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hAnsi="华文中宋" w:eastAsia="华文中宋" w:cs="黑体"/>
          <w:sz w:val="52"/>
          <w:szCs w:val="52"/>
        </w:rPr>
      </w:pPr>
      <w:bookmarkStart w:id="762" w:name="_GoBack"/>
      <w:bookmarkEnd w:id="762"/>
      <w:r>
        <w:rPr>
          <w:rFonts w:hint="eastAsia" w:ascii="华文中宋" w:hAnsi="华文中宋" w:eastAsia="华文中宋" w:cs="黑体"/>
          <w:sz w:val="52"/>
          <w:szCs w:val="52"/>
        </w:rPr>
        <w:t>首都师范大学留学生公寓楼物业服务项目</w:t>
      </w:r>
    </w:p>
    <w:p>
      <w:pPr>
        <w:jc w:val="center"/>
        <w:rPr>
          <w:rFonts w:ascii="华文中宋" w:hAnsi="华文中宋" w:eastAsia="华文中宋" w:cs="黑体"/>
          <w:sz w:val="52"/>
          <w:szCs w:val="52"/>
        </w:rPr>
      </w:pPr>
    </w:p>
    <w:p>
      <w:pPr>
        <w:spacing w:line="240" w:lineRule="atLeast"/>
        <w:ind w:right="-57" w:rightChars="-27"/>
        <w:jc w:val="center"/>
        <w:rPr>
          <w:rFonts w:ascii="华文中宋" w:hAnsi="华文中宋" w:eastAsia="华文中宋" w:cs="黑体"/>
          <w:sz w:val="84"/>
          <w:szCs w:val="84"/>
        </w:rPr>
      </w:pPr>
      <w:r>
        <w:rPr>
          <w:rFonts w:hint="eastAsia" w:ascii="华文中宋" w:hAnsi="华文中宋" w:eastAsia="华文中宋" w:cs="黑体"/>
          <w:sz w:val="84"/>
          <w:szCs w:val="84"/>
        </w:rPr>
        <w:t>比 选 文 件</w:t>
      </w:r>
    </w:p>
    <w:p>
      <w:pPr>
        <w:ind w:firstLine="2814" w:firstLineChars="1001"/>
        <w:rPr>
          <w:rFonts w:ascii="宋体" w:hAnsi="宋体"/>
          <w:b/>
          <w:sz w:val="28"/>
        </w:rPr>
      </w:pPr>
    </w:p>
    <w:p>
      <w:pPr>
        <w:ind w:firstLine="2814" w:firstLineChars="1001"/>
        <w:rPr>
          <w:rFonts w:ascii="宋体" w:hAnsi="宋体"/>
          <w:b/>
          <w:sz w:val="28"/>
        </w:rPr>
      </w:pPr>
    </w:p>
    <w:p>
      <w:pPr>
        <w:jc w:val="center"/>
        <w:rPr>
          <w:rFonts w:ascii="宋体" w:hAnsi="宋体"/>
          <w:b/>
          <w:sz w:val="32"/>
        </w:rPr>
      </w:pPr>
      <w:r>
        <w:rPr>
          <w:rFonts w:ascii="宋体" w:hAnsi="宋体"/>
          <w:b/>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19"/>
                    <a:stretch>
                      <a:fillRect/>
                    </a:stretch>
                  </pic:blipFill>
                  <pic:spPr>
                    <a:xfrm>
                      <a:off x="0" y="0"/>
                      <a:ext cx="3434080" cy="2421255"/>
                    </a:xfrm>
                    <a:prstGeom prst="rect">
                      <a:avLst/>
                    </a:prstGeom>
                    <a:noFill/>
                    <a:ln>
                      <a:noFill/>
                    </a:ln>
                  </pic:spPr>
                </pic:pic>
              </a:graphicData>
            </a:graphic>
          </wp:inline>
        </w:drawing>
      </w:r>
    </w:p>
    <w:p>
      <w:pPr>
        <w:spacing w:line="480" w:lineRule="auto"/>
        <w:ind w:right="-57" w:rightChars="-27" w:firstLine="1084" w:firstLineChars="300"/>
        <w:rPr>
          <w:rFonts w:eastAsia="黑体"/>
          <w:b/>
          <w:sz w:val="36"/>
          <w:szCs w:val="36"/>
        </w:rPr>
      </w:pPr>
    </w:p>
    <w:p>
      <w:pPr>
        <w:spacing w:line="480" w:lineRule="auto"/>
        <w:ind w:right="-57" w:rightChars="-27" w:firstLine="1084" w:firstLineChars="300"/>
        <w:rPr>
          <w:rFonts w:eastAsia="黑体"/>
          <w:b/>
          <w:sz w:val="36"/>
          <w:szCs w:val="36"/>
        </w:rPr>
      </w:pPr>
      <w:r>
        <w:rPr>
          <w:rFonts w:eastAsia="黑体"/>
          <w:b/>
          <w:sz w:val="36"/>
          <w:szCs w:val="36"/>
        </w:rPr>
        <w:t>项目编号：</w:t>
      </w:r>
      <w:r>
        <w:rPr>
          <w:rFonts w:hint="eastAsia" w:eastAsia="黑体"/>
          <w:b/>
          <w:sz w:val="36"/>
          <w:szCs w:val="36"/>
        </w:rPr>
        <w:t>BMCC-ZC22-0340</w:t>
      </w:r>
    </w:p>
    <w:p>
      <w:pPr>
        <w:spacing w:line="480" w:lineRule="auto"/>
        <w:ind w:right="-57" w:rightChars="-27" w:firstLine="1084" w:firstLineChars="300"/>
        <w:rPr>
          <w:rFonts w:eastAsia="黑体"/>
          <w:b/>
          <w:sz w:val="36"/>
          <w:szCs w:val="36"/>
        </w:rPr>
      </w:pPr>
      <w:r>
        <w:rPr>
          <w:rFonts w:eastAsia="黑体"/>
          <w:b/>
          <w:sz w:val="36"/>
          <w:szCs w:val="36"/>
        </w:rPr>
        <w:t>采购人</w:t>
      </w:r>
      <w:r>
        <w:rPr>
          <w:rFonts w:hint="eastAsia" w:eastAsia="黑体"/>
          <w:b/>
          <w:sz w:val="36"/>
          <w:szCs w:val="36"/>
        </w:rPr>
        <w:t>：首都师范大学</w:t>
      </w:r>
    </w:p>
    <w:p>
      <w:pPr>
        <w:spacing w:line="480" w:lineRule="auto"/>
        <w:ind w:right="-57" w:rightChars="-27" w:firstLine="1084" w:firstLineChars="300"/>
        <w:rPr>
          <w:rFonts w:eastAsia="黑体"/>
          <w:b/>
          <w:sz w:val="36"/>
          <w:szCs w:val="36"/>
        </w:rPr>
      </w:pPr>
      <w:r>
        <w:rPr>
          <w:rFonts w:eastAsia="黑体"/>
          <w:b/>
          <w:sz w:val="36"/>
          <w:szCs w:val="36"/>
        </w:rPr>
        <w:t>采购代理机构</w:t>
      </w:r>
      <w:r>
        <w:rPr>
          <w:rFonts w:hint="eastAsia" w:eastAsia="黑体"/>
          <w:b/>
          <w:sz w:val="36"/>
          <w:szCs w:val="36"/>
        </w:rPr>
        <w:t>：北京明德致信咨询有限公司</w:t>
      </w:r>
    </w:p>
    <w:p>
      <w:pPr>
        <w:pStyle w:val="6"/>
        <w:rPr>
          <w:rFonts w:hAnsi="宋体"/>
          <w:b/>
          <w:sz w:val="72"/>
        </w:rPr>
      </w:pPr>
    </w:p>
    <w:p>
      <w:pPr>
        <w:pStyle w:val="6"/>
        <w:rPr>
          <w:rFonts w:hAnsi="宋体"/>
          <w:b/>
          <w:sz w:val="72"/>
        </w:rPr>
      </w:pPr>
    </w:p>
    <w:p>
      <w:pPr>
        <w:spacing w:line="360" w:lineRule="auto"/>
        <w:jc w:val="center"/>
        <w:outlineLvl w:val="0"/>
        <w:rPr>
          <w:rFonts w:ascii="宋体" w:hAnsi="宋体"/>
          <w:b/>
          <w:sz w:val="36"/>
          <w:szCs w:val="36"/>
        </w:rPr>
      </w:pPr>
      <w:bookmarkStart w:id="0" w:name="_Toc17531"/>
      <w:bookmarkStart w:id="1" w:name="_Toc100564784"/>
      <w:bookmarkStart w:id="2" w:name="_Toc99301418"/>
      <w:bookmarkStart w:id="3" w:name="_Toc27935"/>
      <w:bookmarkStart w:id="4" w:name="_Toc32426"/>
      <w:r>
        <w:rPr>
          <w:rFonts w:ascii="宋体" w:hAnsi="宋体"/>
          <w:b/>
          <w:sz w:val="36"/>
          <w:szCs w:val="36"/>
        </w:rPr>
        <w:t>目  录</w:t>
      </w:r>
      <w:bookmarkEnd w:id="0"/>
      <w:bookmarkEnd w:id="1"/>
      <w:bookmarkEnd w:id="2"/>
      <w:bookmarkEnd w:id="3"/>
      <w:bookmarkEnd w:id="4"/>
    </w:p>
    <w:p>
      <w:pPr>
        <w:pStyle w:val="29"/>
        <w:tabs>
          <w:tab w:val="right" w:leader="dot" w:pos="9072"/>
        </w:tabs>
      </w:pPr>
      <w:r>
        <w:fldChar w:fldCharType="begin"/>
      </w:r>
      <w:r>
        <w:instrText xml:space="preserve">TOC \o "1-1" \h \u </w:instrText>
      </w:r>
      <w:r>
        <w:fldChar w:fldCharType="separate"/>
      </w:r>
      <w:r>
        <w:fldChar w:fldCharType="begin"/>
      </w:r>
      <w:r>
        <w:instrText xml:space="preserve"> HYPERLINK \l "_Toc19864" </w:instrText>
      </w:r>
      <w:r>
        <w:fldChar w:fldCharType="separate"/>
      </w:r>
      <w:r>
        <w:rPr>
          <w:rFonts w:ascii="宋体" w:hAnsi="宋体"/>
          <w:szCs w:val="36"/>
        </w:rPr>
        <w:t xml:space="preserve">第一章  </w:t>
      </w:r>
      <w:r>
        <w:rPr>
          <w:rFonts w:hint="eastAsia" w:ascii="宋体" w:hAnsi="宋体"/>
          <w:szCs w:val="36"/>
        </w:rPr>
        <w:t>比选邀请</w:t>
      </w:r>
      <w:r>
        <w:tab/>
      </w:r>
      <w:r>
        <w:fldChar w:fldCharType="begin"/>
      </w:r>
      <w:r>
        <w:instrText xml:space="preserve"> PAGEREF _Toc19864 \h </w:instrText>
      </w:r>
      <w:r>
        <w:fldChar w:fldCharType="separate"/>
      </w:r>
      <w:r>
        <w:t>2</w:t>
      </w:r>
      <w:r>
        <w:fldChar w:fldCharType="end"/>
      </w:r>
      <w:r>
        <w:fldChar w:fldCharType="end"/>
      </w:r>
    </w:p>
    <w:p>
      <w:pPr>
        <w:pStyle w:val="29"/>
        <w:tabs>
          <w:tab w:val="right" w:leader="dot" w:pos="9072"/>
        </w:tabs>
      </w:pPr>
      <w:r>
        <w:fldChar w:fldCharType="begin"/>
      </w:r>
      <w:r>
        <w:instrText xml:space="preserve"> HYPERLINK \l "_Toc5899" </w:instrText>
      </w:r>
      <w:r>
        <w:fldChar w:fldCharType="separate"/>
      </w:r>
      <w:r>
        <w:rPr>
          <w:rFonts w:ascii="宋体" w:hAnsi="宋体"/>
          <w:szCs w:val="36"/>
        </w:rPr>
        <w:t xml:space="preserve">第二章  </w:t>
      </w:r>
      <w:r>
        <w:rPr>
          <w:rFonts w:hint="eastAsia" w:ascii="宋体" w:hAnsi="宋体"/>
          <w:szCs w:val="36"/>
        </w:rPr>
        <w:t>供应商</w:t>
      </w:r>
      <w:r>
        <w:rPr>
          <w:rFonts w:ascii="宋体" w:hAnsi="宋体"/>
          <w:szCs w:val="36"/>
        </w:rPr>
        <w:t>须知</w:t>
      </w:r>
      <w:r>
        <w:tab/>
      </w:r>
      <w:r>
        <w:fldChar w:fldCharType="begin"/>
      </w:r>
      <w:r>
        <w:instrText xml:space="preserve"> PAGEREF _Toc5899 \h </w:instrText>
      </w:r>
      <w:r>
        <w:fldChar w:fldCharType="separate"/>
      </w:r>
      <w:r>
        <w:t>5</w:t>
      </w:r>
      <w:r>
        <w:fldChar w:fldCharType="end"/>
      </w:r>
      <w:r>
        <w:fldChar w:fldCharType="end"/>
      </w:r>
    </w:p>
    <w:p>
      <w:pPr>
        <w:pStyle w:val="29"/>
        <w:tabs>
          <w:tab w:val="right" w:leader="dot" w:pos="9072"/>
        </w:tabs>
      </w:pPr>
      <w:r>
        <w:fldChar w:fldCharType="begin"/>
      </w:r>
      <w:r>
        <w:instrText xml:space="preserve"> HYPERLINK \l "_Toc19436" </w:instrText>
      </w:r>
      <w:r>
        <w:fldChar w:fldCharType="separate"/>
      </w:r>
      <w:r>
        <w:rPr>
          <w:szCs w:val="36"/>
        </w:rPr>
        <w:t>第三章  评审方法和评审标准</w:t>
      </w:r>
      <w:r>
        <w:tab/>
      </w:r>
      <w:r>
        <w:fldChar w:fldCharType="begin"/>
      </w:r>
      <w:r>
        <w:instrText xml:space="preserve"> PAGEREF _Toc19436 \h </w:instrText>
      </w:r>
      <w:r>
        <w:fldChar w:fldCharType="separate"/>
      </w:r>
      <w:r>
        <w:t>23</w:t>
      </w:r>
      <w:r>
        <w:fldChar w:fldCharType="end"/>
      </w:r>
      <w:r>
        <w:fldChar w:fldCharType="end"/>
      </w:r>
    </w:p>
    <w:p>
      <w:pPr>
        <w:pStyle w:val="29"/>
        <w:tabs>
          <w:tab w:val="right" w:leader="dot" w:pos="9072"/>
        </w:tabs>
      </w:pPr>
      <w:r>
        <w:fldChar w:fldCharType="begin"/>
      </w:r>
      <w:r>
        <w:instrText xml:space="preserve"> HYPERLINK \l "_Toc7625" </w:instrText>
      </w:r>
      <w:r>
        <w:fldChar w:fldCharType="separate"/>
      </w:r>
      <w:r>
        <w:rPr>
          <w:rFonts w:ascii="宋体" w:hAnsi="宋体"/>
          <w:szCs w:val="36"/>
        </w:rPr>
        <w:t>第</w:t>
      </w:r>
      <w:r>
        <w:rPr>
          <w:rFonts w:hint="eastAsia" w:ascii="宋体" w:hAnsi="宋体"/>
          <w:szCs w:val="36"/>
        </w:rPr>
        <w:t>四</w:t>
      </w:r>
      <w:r>
        <w:rPr>
          <w:rFonts w:ascii="宋体" w:hAnsi="宋体"/>
          <w:szCs w:val="36"/>
        </w:rPr>
        <w:t>章  采购需求</w:t>
      </w:r>
      <w:r>
        <w:tab/>
      </w:r>
      <w:r>
        <w:fldChar w:fldCharType="begin"/>
      </w:r>
      <w:r>
        <w:instrText xml:space="preserve"> PAGEREF _Toc7625 \h </w:instrText>
      </w:r>
      <w:r>
        <w:fldChar w:fldCharType="separate"/>
      </w:r>
      <w:r>
        <w:t>37</w:t>
      </w:r>
      <w:r>
        <w:fldChar w:fldCharType="end"/>
      </w:r>
      <w:r>
        <w:fldChar w:fldCharType="end"/>
      </w:r>
    </w:p>
    <w:p>
      <w:pPr>
        <w:pStyle w:val="29"/>
        <w:tabs>
          <w:tab w:val="right" w:leader="dot" w:pos="9072"/>
        </w:tabs>
      </w:pPr>
      <w:r>
        <w:fldChar w:fldCharType="begin"/>
      </w:r>
      <w:r>
        <w:instrText xml:space="preserve"> HYPERLINK \l "_Toc10792" </w:instrText>
      </w:r>
      <w:r>
        <w:fldChar w:fldCharType="separate"/>
      </w:r>
      <w:r>
        <w:rPr>
          <w:rFonts w:ascii="宋体" w:hAnsi="宋体"/>
          <w:szCs w:val="36"/>
        </w:rPr>
        <w:t>第</w:t>
      </w:r>
      <w:r>
        <w:rPr>
          <w:rFonts w:hint="eastAsia" w:ascii="宋体" w:hAnsi="宋体"/>
          <w:szCs w:val="36"/>
        </w:rPr>
        <w:t>五</w:t>
      </w:r>
      <w:r>
        <w:rPr>
          <w:rFonts w:ascii="宋体" w:hAnsi="宋体"/>
          <w:szCs w:val="36"/>
        </w:rPr>
        <w:t>章  拟签订的合同文本</w:t>
      </w:r>
      <w:r>
        <w:tab/>
      </w:r>
      <w:r>
        <w:fldChar w:fldCharType="begin"/>
      </w:r>
      <w:r>
        <w:instrText xml:space="preserve"> PAGEREF _Toc10792 \h </w:instrText>
      </w:r>
      <w:r>
        <w:fldChar w:fldCharType="separate"/>
      </w:r>
      <w:r>
        <w:t>52</w:t>
      </w:r>
      <w:r>
        <w:fldChar w:fldCharType="end"/>
      </w:r>
      <w:r>
        <w:fldChar w:fldCharType="end"/>
      </w:r>
    </w:p>
    <w:p>
      <w:pPr>
        <w:pStyle w:val="29"/>
        <w:tabs>
          <w:tab w:val="right" w:leader="dot" w:pos="9072"/>
        </w:tabs>
      </w:pPr>
      <w:r>
        <w:fldChar w:fldCharType="begin"/>
      </w:r>
      <w:r>
        <w:instrText xml:space="preserve"> HYPERLINK \l "_Toc20502" </w:instrText>
      </w:r>
      <w:r>
        <w:fldChar w:fldCharType="separate"/>
      </w:r>
      <w:r>
        <w:rPr>
          <w:rFonts w:ascii="宋体" w:hAnsi="宋体"/>
          <w:szCs w:val="36"/>
        </w:rPr>
        <w:t>第</w:t>
      </w:r>
      <w:r>
        <w:rPr>
          <w:rFonts w:hint="eastAsia" w:ascii="宋体" w:hAnsi="宋体"/>
          <w:szCs w:val="36"/>
        </w:rPr>
        <w:t>六</w:t>
      </w:r>
      <w:r>
        <w:rPr>
          <w:rFonts w:ascii="宋体" w:hAnsi="宋体"/>
          <w:szCs w:val="36"/>
        </w:rPr>
        <w:t xml:space="preserve">章  </w:t>
      </w:r>
      <w:r>
        <w:rPr>
          <w:rFonts w:hint="eastAsia" w:ascii="宋体" w:hAnsi="宋体"/>
          <w:szCs w:val="36"/>
        </w:rPr>
        <w:t>响应文件</w:t>
      </w:r>
      <w:r>
        <w:rPr>
          <w:rFonts w:ascii="宋体" w:hAnsi="宋体"/>
          <w:szCs w:val="36"/>
        </w:rPr>
        <w:t>格式</w:t>
      </w:r>
      <w:r>
        <w:tab/>
      </w:r>
      <w:r>
        <w:fldChar w:fldCharType="begin"/>
      </w:r>
      <w:r>
        <w:instrText xml:space="preserve"> PAGEREF _Toc20502 \h </w:instrText>
      </w:r>
      <w:r>
        <w:fldChar w:fldCharType="separate"/>
      </w:r>
      <w:r>
        <w:t>57</w:t>
      </w:r>
      <w:r>
        <w:fldChar w:fldCharType="end"/>
      </w:r>
      <w:r>
        <w:fldChar w:fldCharType="end"/>
      </w:r>
    </w:p>
    <w:p>
      <w:pPr>
        <w:pStyle w:val="76"/>
        <w:spacing w:line="360" w:lineRule="auto"/>
        <w:rPr>
          <w:b w:val="0"/>
        </w:rPr>
      </w:pPr>
      <w:r>
        <w:fldChar w:fldCharType="end"/>
      </w:r>
    </w:p>
    <w:p>
      <w:pPr>
        <w:spacing w:line="360" w:lineRule="auto"/>
        <w:jc w:val="center"/>
        <w:outlineLvl w:val="0"/>
        <w:rPr>
          <w:rFonts w:ascii="宋体" w:hAnsi="宋体"/>
          <w:b/>
          <w:sz w:val="36"/>
          <w:szCs w:val="36"/>
        </w:rPr>
      </w:pPr>
      <w:r>
        <w:rPr>
          <w:rFonts w:ascii="宋体" w:hAnsi="宋体"/>
          <w:sz w:val="24"/>
        </w:rPr>
        <w:br w:type="page"/>
      </w:r>
      <w:bookmarkStart w:id="5" w:name="_Toc12300"/>
      <w:bookmarkStart w:id="6" w:name="_Toc19864"/>
      <w:r>
        <w:rPr>
          <w:rFonts w:ascii="宋体" w:hAnsi="宋体"/>
          <w:b/>
          <w:sz w:val="36"/>
          <w:szCs w:val="36"/>
        </w:rPr>
        <w:t xml:space="preserve">第一章  </w:t>
      </w:r>
      <w:bookmarkEnd w:id="5"/>
      <w:r>
        <w:rPr>
          <w:rFonts w:hint="eastAsia" w:ascii="宋体" w:hAnsi="宋体"/>
          <w:b/>
          <w:sz w:val="36"/>
          <w:szCs w:val="36"/>
        </w:rPr>
        <w:t>比选邀请</w:t>
      </w:r>
      <w:bookmarkEnd w:id="6"/>
    </w:p>
    <w:p>
      <w:pPr>
        <w:pStyle w:val="5"/>
        <w:spacing w:before="0" w:line="360" w:lineRule="auto"/>
        <w:jc w:val="left"/>
        <w:rPr>
          <w:rFonts w:ascii="宋体" w:hAnsi="宋体" w:eastAsia="宋体"/>
          <w:sz w:val="24"/>
          <w:szCs w:val="24"/>
        </w:rPr>
      </w:pPr>
      <w:bookmarkStart w:id="7" w:name="_Toc35393621"/>
      <w:bookmarkStart w:id="8" w:name="_Toc35393790"/>
      <w:bookmarkStart w:id="9" w:name="_Toc28359079"/>
      <w:bookmarkStart w:id="10" w:name="_Toc28359002"/>
      <w:bookmarkStart w:id="11" w:name="_Hlk24379207"/>
      <w:r>
        <w:rPr>
          <w:rFonts w:ascii="宋体" w:hAnsi="宋体" w:eastAsia="宋体"/>
          <w:sz w:val="24"/>
          <w:szCs w:val="24"/>
        </w:rPr>
        <w:t>一、项目基本情况</w:t>
      </w:r>
      <w:bookmarkEnd w:id="7"/>
      <w:bookmarkEnd w:id="8"/>
      <w:bookmarkEnd w:id="9"/>
      <w:bookmarkEnd w:id="10"/>
    </w:p>
    <w:p>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号：BMCC-ZC22-0340</w:t>
      </w:r>
    </w:p>
    <w:p>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rPr>
        <w:t>首都师范大学留学生公寓楼物业服务项目</w:t>
      </w:r>
      <w:r>
        <w:rPr>
          <w:rFonts w:ascii="宋体" w:hAnsi="宋体"/>
          <w:sz w:val="24"/>
        </w:rPr>
        <w:t xml:space="preserve"> </w:t>
      </w:r>
    </w:p>
    <w:bookmarkEnd w:id="11"/>
    <w:p>
      <w:pPr>
        <w:spacing w:line="360" w:lineRule="auto"/>
        <w:ind w:firstLine="480" w:firstLineChars="200"/>
        <w:rPr>
          <w:rFonts w:ascii="宋体" w:hAnsi="宋体"/>
          <w:sz w:val="24"/>
        </w:rPr>
      </w:pPr>
      <w:r>
        <w:rPr>
          <w:rFonts w:ascii="宋体" w:hAnsi="宋体"/>
          <w:sz w:val="24"/>
        </w:rPr>
        <w:t>3.项目预算金额：</w:t>
      </w:r>
      <w:r>
        <w:rPr>
          <w:rFonts w:ascii="宋体" w:hAnsi="宋体"/>
          <w:sz w:val="24"/>
          <w:u w:val="single"/>
        </w:rPr>
        <w:t xml:space="preserve"> </w:t>
      </w:r>
      <w:r>
        <w:rPr>
          <w:rFonts w:hint="eastAsia" w:ascii="宋体" w:hAnsi="宋体"/>
          <w:sz w:val="24"/>
          <w:u w:val="single"/>
        </w:rPr>
        <w:t>399</w:t>
      </w:r>
      <w:r>
        <w:rPr>
          <w:rFonts w:ascii="宋体" w:hAnsi="宋体"/>
          <w:sz w:val="24"/>
          <w:u w:val="single"/>
        </w:rPr>
        <w:t xml:space="preserve"> </w:t>
      </w:r>
      <w:r>
        <w:rPr>
          <w:rFonts w:hint="eastAsia" w:ascii="宋体" w:hAnsi="宋体"/>
          <w:sz w:val="24"/>
        </w:rPr>
        <w:t>万元</w:t>
      </w:r>
      <w:r>
        <w:rPr>
          <w:rFonts w:ascii="宋体" w:hAnsi="宋体"/>
          <w:sz w:val="24"/>
        </w:rPr>
        <w:t>、项目最高限价：</w:t>
      </w:r>
      <w:r>
        <w:rPr>
          <w:rFonts w:ascii="宋体" w:hAnsi="宋体"/>
          <w:sz w:val="24"/>
          <w:u w:val="single"/>
        </w:rPr>
        <w:t xml:space="preserve"> </w:t>
      </w:r>
      <w:r>
        <w:rPr>
          <w:rFonts w:hint="eastAsia" w:ascii="宋体" w:hAnsi="宋体"/>
          <w:sz w:val="24"/>
          <w:u w:val="single"/>
        </w:rPr>
        <w:t>399</w:t>
      </w:r>
      <w:r>
        <w:rPr>
          <w:rFonts w:ascii="宋体" w:hAnsi="宋体"/>
          <w:sz w:val="24"/>
          <w:u w:val="single"/>
        </w:rPr>
        <w:t xml:space="preserve">  </w:t>
      </w:r>
      <w:r>
        <w:rPr>
          <w:rFonts w:ascii="宋体" w:hAnsi="宋体"/>
          <w:sz w:val="24"/>
        </w:rPr>
        <w:t>万元</w:t>
      </w:r>
    </w:p>
    <w:p>
      <w:pPr>
        <w:spacing w:line="360" w:lineRule="auto"/>
        <w:ind w:firstLine="480" w:firstLineChars="200"/>
        <w:rPr>
          <w:rFonts w:ascii="宋体" w:hAnsi="宋体"/>
          <w:sz w:val="24"/>
        </w:rPr>
      </w:pPr>
      <w:r>
        <w:rPr>
          <w:rFonts w:ascii="宋体" w:hAnsi="宋体"/>
          <w:sz w:val="24"/>
        </w:rPr>
        <w:t>4.采购需求：</w:t>
      </w:r>
    </w:p>
    <w:tbl>
      <w:tblPr>
        <w:tblStyle w:val="4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包号</w:t>
            </w:r>
          </w:p>
        </w:tc>
        <w:tc>
          <w:tcPr>
            <w:tcW w:w="843" w:type="pct"/>
            <w:vAlign w:val="center"/>
          </w:tcPr>
          <w:p>
            <w:pPr>
              <w:jc w:val="center"/>
              <w:rPr>
                <w:bCs/>
                <w:szCs w:val="21"/>
              </w:rPr>
            </w:pPr>
            <w:r>
              <w:rPr>
                <w:bCs/>
                <w:szCs w:val="21"/>
              </w:rPr>
              <w:t>标的名称</w:t>
            </w:r>
          </w:p>
        </w:tc>
        <w:tc>
          <w:tcPr>
            <w:tcW w:w="921" w:type="pct"/>
            <w:vAlign w:val="center"/>
          </w:tcPr>
          <w:p>
            <w:pPr>
              <w:jc w:val="center"/>
              <w:rPr>
                <w:bCs/>
                <w:szCs w:val="21"/>
              </w:rPr>
            </w:pPr>
            <w:r>
              <w:rPr>
                <w:bCs/>
                <w:szCs w:val="21"/>
              </w:rPr>
              <w:t>采购包预算金额</w:t>
            </w:r>
          </w:p>
          <w:p>
            <w:pPr>
              <w:jc w:val="center"/>
              <w:rPr>
                <w:bCs/>
                <w:szCs w:val="21"/>
              </w:rPr>
            </w:pPr>
            <w:r>
              <w:rPr>
                <w:bCs/>
                <w:szCs w:val="21"/>
              </w:rPr>
              <w:t>（万元）</w:t>
            </w:r>
          </w:p>
        </w:tc>
        <w:tc>
          <w:tcPr>
            <w:tcW w:w="540" w:type="pct"/>
            <w:vAlign w:val="center"/>
          </w:tcPr>
          <w:p>
            <w:pPr>
              <w:jc w:val="center"/>
              <w:rPr>
                <w:bCs/>
                <w:szCs w:val="21"/>
              </w:rPr>
            </w:pPr>
            <w:r>
              <w:rPr>
                <w:bCs/>
                <w:szCs w:val="21"/>
              </w:rPr>
              <w:t>数量</w:t>
            </w:r>
          </w:p>
        </w:tc>
        <w:tc>
          <w:tcPr>
            <w:tcW w:w="2314"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01</w:t>
            </w:r>
          </w:p>
        </w:tc>
        <w:tc>
          <w:tcPr>
            <w:tcW w:w="843" w:type="pct"/>
            <w:vAlign w:val="center"/>
          </w:tcPr>
          <w:p>
            <w:pPr>
              <w:jc w:val="center"/>
              <w:rPr>
                <w:bCs/>
                <w:szCs w:val="21"/>
              </w:rPr>
            </w:pPr>
            <w:r>
              <w:rPr>
                <w:rFonts w:hint="eastAsia"/>
                <w:bCs/>
                <w:szCs w:val="21"/>
              </w:rPr>
              <w:t>物业服务</w:t>
            </w:r>
          </w:p>
        </w:tc>
        <w:tc>
          <w:tcPr>
            <w:tcW w:w="921" w:type="pct"/>
            <w:vAlign w:val="center"/>
          </w:tcPr>
          <w:p>
            <w:pPr>
              <w:jc w:val="center"/>
              <w:rPr>
                <w:rFonts w:ascii="宋体" w:hAnsi="宋体" w:cs="Yu Mincho Light"/>
                <w:kern w:val="0"/>
                <w:szCs w:val="21"/>
              </w:rPr>
            </w:pPr>
            <w:r>
              <w:rPr>
                <w:rFonts w:hint="eastAsia" w:ascii="宋体" w:hAnsi="宋体" w:cs="Yu Mincho Light"/>
                <w:kern w:val="0"/>
                <w:szCs w:val="21"/>
              </w:rPr>
              <w:t>399.00</w:t>
            </w:r>
          </w:p>
        </w:tc>
        <w:tc>
          <w:tcPr>
            <w:tcW w:w="540" w:type="pct"/>
            <w:vAlign w:val="center"/>
          </w:tcPr>
          <w:p>
            <w:pPr>
              <w:jc w:val="center"/>
              <w:rPr>
                <w:rFonts w:ascii="宋体" w:hAnsi="宋体" w:cs="Yu Mincho Light"/>
                <w:kern w:val="0"/>
                <w:szCs w:val="21"/>
              </w:rPr>
            </w:pPr>
            <w:r>
              <w:rPr>
                <w:rFonts w:hint="eastAsia" w:ascii="宋体" w:hAnsi="宋体" w:cs="Yu Mincho Light"/>
                <w:kern w:val="0"/>
                <w:szCs w:val="21"/>
              </w:rPr>
              <w:t>1项</w:t>
            </w:r>
          </w:p>
        </w:tc>
        <w:tc>
          <w:tcPr>
            <w:tcW w:w="2314" w:type="pct"/>
            <w:vAlign w:val="center"/>
          </w:tcPr>
          <w:p>
            <w:pPr>
              <w:rPr>
                <w:kern w:val="0"/>
                <w:szCs w:val="21"/>
              </w:rPr>
            </w:pPr>
            <w:r>
              <w:rPr>
                <w:rFonts w:hint="eastAsia"/>
                <w:kern w:val="0"/>
                <w:szCs w:val="21"/>
              </w:rPr>
              <w:t>总建筑面积约25760㎡，负责首都师范大学留学生公寓楼（地下一层、地上14层）范围内的各项服务工作</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服务期限1年</w:t>
      </w:r>
      <w:r>
        <w:rPr>
          <w:rFonts w:ascii="宋体" w:hAnsi="宋体"/>
          <w:sz w:val="24"/>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pPr>
      <w:r>
        <w:rPr>
          <w:rFonts w:ascii="宋体" w:hAnsi="宋体"/>
          <w:sz w:val="24"/>
        </w:rPr>
        <w:t>6.本项目是否接受联合体</w:t>
      </w:r>
      <w:r>
        <w:rPr>
          <w:rFonts w:hint="eastAsia" w:ascii="宋体" w:hAnsi="宋体"/>
          <w:sz w:val="24"/>
        </w:rPr>
        <w:t>响应</w:t>
      </w:r>
      <w:r>
        <w:rPr>
          <w:rFonts w:ascii="宋体" w:hAnsi="宋体"/>
          <w:sz w:val="24"/>
        </w:rPr>
        <w:t xml:space="preserve">：□是  </w:t>
      </w:r>
      <w:r>
        <w:rPr>
          <w:rFonts w:hint="eastAsia" w:ascii="宋体" w:hAnsi="宋体"/>
          <w:sz w:val="24"/>
        </w:rPr>
        <w:t>■</w:t>
      </w:r>
      <w:r>
        <w:rPr>
          <w:rFonts w:ascii="宋体" w:hAnsi="宋体"/>
          <w:sz w:val="24"/>
        </w:rPr>
        <w:t>否。</w:t>
      </w:r>
    </w:p>
    <w:p>
      <w:pPr>
        <w:pStyle w:val="34"/>
        <w:ind w:firstLine="480" w:firstLineChars="200"/>
        <w:rPr>
          <w:rFonts w:cs="Times New Roman"/>
          <w:kern w:val="2"/>
        </w:rPr>
      </w:pPr>
    </w:p>
    <w:p>
      <w:pPr>
        <w:pStyle w:val="5"/>
        <w:spacing w:before="0" w:line="360" w:lineRule="auto"/>
        <w:jc w:val="left"/>
        <w:rPr>
          <w:rFonts w:ascii="宋体" w:hAnsi="宋体" w:eastAsia="宋体"/>
          <w:sz w:val="24"/>
          <w:szCs w:val="24"/>
        </w:rPr>
      </w:pPr>
      <w:bookmarkStart w:id="12" w:name="_Toc35393791"/>
      <w:bookmarkStart w:id="13" w:name="_Toc35393622"/>
      <w:bookmarkStart w:id="14" w:name="_Toc28359080"/>
      <w:bookmarkStart w:id="15" w:name="_Toc28359003"/>
      <w:r>
        <w:rPr>
          <w:rFonts w:ascii="宋体" w:hAnsi="宋体" w:eastAsia="宋体"/>
          <w:sz w:val="24"/>
          <w:szCs w:val="24"/>
        </w:rPr>
        <w:t>二、申请人的资格要求（须同时满足）</w:t>
      </w:r>
      <w:bookmarkEnd w:id="12"/>
      <w:bookmarkEnd w:id="13"/>
      <w:bookmarkEnd w:id="14"/>
      <w:bookmarkEnd w:id="15"/>
    </w:p>
    <w:p>
      <w:pPr>
        <w:spacing w:line="360" w:lineRule="auto"/>
        <w:ind w:firstLine="480" w:firstLineChars="200"/>
        <w:rPr>
          <w:rFonts w:ascii="宋体" w:hAnsi="宋体"/>
          <w:sz w:val="24"/>
        </w:rPr>
      </w:pPr>
      <w:r>
        <w:rPr>
          <w:rFonts w:ascii="宋体" w:hAnsi="宋体"/>
          <w:sz w:val="24"/>
        </w:rPr>
        <w:t>1.满足《中华人民共和国政府采购法》第二十二条规定；</w:t>
      </w:r>
    </w:p>
    <w:p>
      <w:pPr>
        <w:spacing w:line="360" w:lineRule="auto"/>
        <w:ind w:firstLine="480" w:firstLineChars="200"/>
        <w:rPr>
          <w:rFonts w:ascii="宋体" w:hAnsi="宋体"/>
          <w:color w:val="000000"/>
          <w:sz w:val="24"/>
        </w:rPr>
      </w:pPr>
      <w:bookmarkStart w:id="16" w:name="_Toc28359004"/>
      <w:bookmarkStart w:id="17" w:name="_Toc28359081"/>
      <w:r>
        <w:rPr>
          <w:rFonts w:ascii="宋体" w:hAnsi="宋体"/>
          <w:color w:val="000000"/>
          <w:sz w:val="24"/>
        </w:rPr>
        <w:t>2.落实政府采购政策需满足的资格要求：</w:t>
      </w:r>
    </w:p>
    <w:p>
      <w:pPr>
        <w:spacing w:line="360" w:lineRule="auto"/>
        <w:ind w:firstLine="480" w:firstLineChars="200"/>
        <w:rPr>
          <w:rFonts w:ascii="宋体" w:hAnsi="宋体"/>
          <w:color w:val="000000"/>
          <w:sz w:val="24"/>
        </w:rPr>
      </w:pPr>
      <w:r>
        <w:rPr>
          <w:rFonts w:ascii="宋体" w:hAnsi="宋体"/>
          <w:color w:val="000000"/>
          <w:sz w:val="24"/>
        </w:rPr>
        <w:t>2.1中小企业政策</w:t>
      </w:r>
    </w:p>
    <w:p>
      <w:pPr>
        <w:spacing w:line="360" w:lineRule="auto"/>
        <w:ind w:firstLine="480" w:firstLineChars="200"/>
        <w:rPr>
          <w:rFonts w:ascii="宋体" w:hAnsi="宋体"/>
          <w:sz w:val="24"/>
        </w:rPr>
      </w:pPr>
      <w:r>
        <w:rPr>
          <w:rFonts w:ascii="宋体" w:hAnsi="宋体"/>
          <w:sz w:val="24"/>
        </w:rPr>
        <w:t>□本项目不专门面向中小企业预留采购份额。</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本项目专门面向</w:t>
      </w:r>
      <w:r>
        <w:rPr>
          <w:rFonts w:hint="eastAsia" w:ascii="宋体" w:hAnsi="宋体"/>
          <w:sz w:val="24"/>
        </w:rPr>
        <w:t>■</w:t>
      </w:r>
      <w:r>
        <w:rPr>
          <w:rFonts w:ascii="宋体" w:hAnsi="宋体"/>
          <w:sz w:val="24"/>
        </w:rPr>
        <w:t>中小□小微企业采购。即：提供的货物全部由符合政策要求的中小企业制造、服务全部由符合政策要求的中小企业承接。</w:t>
      </w:r>
    </w:p>
    <w:p>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3.1本项目是否接受分支机构参与</w:t>
      </w:r>
      <w:r>
        <w:rPr>
          <w:rFonts w:hint="eastAsia" w:ascii="宋体" w:hAnsi="宋体"/>
          <w:sz w:val="24"/>
        </w:rPr>
        <w:t>响应</w:t>
      </w:r>
      <w:r>
        <w:rPr>
          <w:rFonts w:ascii="宋体" w:hAnsi="宋体"/>
          <w:sz w:val="24"/>
        </w:rPr>
        <w:t xml:space="preserve">：□是  </w:t>
      </w: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3.2本项目是否属于政府购买服务：</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□否</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pPr>
      <w:r>
        <w:rPr>
          <w:rFonts w:ascii="宋体" w:hAnsi="宋体"/>
          <w:sz w:val="24"/>
        </w:rPr>
        <w:t>3.3</w:t>
      </w:r>
      <w:bookmarkStart w:id="18" w:name="_Hlk100673152"/>
      <w:r>
        <w:rPr>
          <w:rFonts w:ascii="宋体" w:hAnsi="宋体"/>
          <w:sz w:val="24"/>
        </w:rPr>
        <w:t>其他特定资格</w:t>
      </w:r>
      <w:bookmarkEnd w:id="18"/>
      <w:r>
        <w:rPr>
          <w:rFonts w:ascii="宋体" w:hAnsi="宋体"/>
          <w:sz w:val="24"/>
        </w:rPr>
        <w:t>要求：</w:t>
      </w:r>
      <w:r>
        <w:rPr>
          <w:rFonts w:hint="eastAsia"/>
          <w:sz w:val="24"/>
          <w:u w:val="single"/>
        </w:rPr>
        <w:t xml:space="preserve"> 供应商须为“北京市政府采购电子卖场（京华云采）”物业管理服务的协议供应商。  </w:t>
      </w:r>
    </w:p>
    <w:bookmarkEnd w:id="16"/>
    <w:bookmarkEnd w:id="17"/>
    <w:p>
      <w:pPr>
        <w:pStyle w:val="5"/>
        <w:widowControl/>
        <w:spacing w:before="0" w:line="360" w:lineRule="auto"/>
        <w:jc w:val="left"/>
        <w:rPr>
          <w:rFonts w:ascii="宋体" w:hAnsi="宋体" w:eastAsia="宋体"/>
          <w:sz w:val="24"/>
          <w:szCs w:val="24"/>
        </w:rPr>
      </w:pPr>
      <w:bookmarkStart w:id="19" w:name="_Toc35393792"/>
      <w:bookmarkStart w:id="20" w:name="_Toc35393623"/>
      <w:r>
        <w:rPr>
          <w:rFonts w:ascii="宋体" w:hAnsi="宋体" w:eastAsia="宋体"/>
          <w:sz w:val="24"/>
          <w:szCs w:val="24"/>
        </w:rPr>
        <w:t>三、获取</w:t>
      </w:r>
      <w:bookmarkEnd w:id="19"/>
      <w:bookmarkEnd w:id="20"/>
      <w:r>
        <w:rPr>
          <w:rFonts w:hint="eastAsia" w:ascii="宋体" w:hAnsi="宋体" w:eastAsia="宋体"/>
          <w:sz w:val="24"/>
          <w:szCs w:val="24"/>
        </w:rPr>
        <w:t>比选文件</w:t>
      </w:r>
    </w:p>
    <w:p>
      <w:pPr>
        <w:adjustRightInd w:val="0"/>
        <w:snapToGrid w:val="0"/>
        <w:spacing w:line="360" w:lineRule="auto"/>
        <w:ind w:firstLine="480" w:firstLineChars="200"/>
        <w:rPr>
          <w:rFonts w:ascii="宋体" w:hAnsi="宋体"/>
          <w:sz w:val="24"/>
          <w:lang w:bidi="ar"/>
        </w:rPr>
      </w:pPr>
      <w:r>
        <w:rPr>
          <w:rFonts w:ascii="宋体" w:hAnsi="宋体"/>
          <w:sz w:val="24"/>
          <w:lang w:bidi="ar"/>
        </w:rPr>
        <w:t>1.时间：</w:t>
      </w:r>
      <w:r>
        <w:rPr>
          <w:rFonts w:hint="eastAsia" w:ascii="宋体" w:hAnsi="宋体"/>
          <w:sz w:val="24"/>
          <w:u w:val="single"/>
          <w:lang w:bidi="ar"/>
        </w:rPr>
        <w:t>2022</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9</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13</w:t>
      </w:r>
      <w:r>
        <w:rPr>
          <w:rFonts w:hint="eastAsia" w:ascii="宋体" w:hAnsi="宋体"/>
          <w:sz w:val="24"/>
          <w:u w:val="single"/>
          <w:lang w:bidi="ar"/>
        </w:rPr>
        <w:t xml:space="preserve">  </w:t>
      </w:r>
      <w:r>
        <w:rPr>
          <w:rFonts w:ascii="宋体" w:hAnsi="宋体"/>
          <w:sz w:val="24"/>
          <w:lang w:bidi="ar"/>
        </w:rPr>
        <w:t>日至</w:t>
      </w:r>
      <w:r>
        <w:rPr>
          <w:rFonts w:hint="eastAsia" w:ascii="宋体" w:hAnsi="宋体"/>
          <w:sz w:val="24"/>
          <w:u w:val="single"/>
          <w:lang w:bidi="ar"/>
        </w:rPr>
        <w:t>2022</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 xml:space="preserve">9 </w:t>
      </w:r>
      <w:r>
        <w:rPr>
          <w:rFonts w:hint="eastAsia" w:ascii="宋体" w:hAnsi="宋体"/>
          <w:sz w:val="24"/>
          <w:u w:val="single"/>
          <w:lang w:bidi="ar"/>
        </w:rPr>
        <w:t xml:space="preserve"> </w:t>
      </w:r>
      <w:r>
        <w:rPr>
          <w:rFonts w:hint="eastAsia" w:ascii="宋体" w:hAnsi="宋体"/>
          <w:sz w:val="24"/>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16</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lang w:bidi="ar"/>
        </w:rPr>
        <w:t>每天上午9时00分至11时30分，下午13时00分至16时30分（北京时间，法定节假日除外）。</w:t>
      </w:r>
    </w:p>
    <w:p>
      <w:pPr>
        <w:adjustRightInd w:val="0"/>
        <w:snapToGrid w:val="0"/>
        <w:spacing w:line="360" w:lineRule="auto"/>
        <w:ind w:firstLine="480" w:firstLineChars="200"/>
        <w:rPr>
          <w:rFonts w:ascii="宋体" w:hAnsi="宋体"/>
          <w:sz w:val="24"/>
          <w:lang w:bidi="ar"/>
        </w:rPr>
      </w:pPr>
      <w:r>
        <w:rPr>
          <w:rFonts w:ascii="宋体" w:hAnsi="宋体"/>
          <w:sz w:val="24"/>
          <w:lang w:bidi="ar"/>
        </w:rPr>
        <w:t>2.地点：</w:t>
      </w:r>
      <w:r>
        <w:rPr>
          <w:rFonts w:hint="eastAsia" w:ascii="宋体" w:hAnsi="宋体"/>
          <w:sz w:val="24"/>
          <w:lang w:bidi="ar"/>
        </w:rPr>
        <w:t>线上邮箱报名</w:t>
      </w:r>
    </w:p>
    <w:p>
      <w:pPr>
        <w:adjustRightInd w:val="0"/>
        <w:snapToGrid w:val="0"/>
        <w:spacing w:line="360" w:lineRule="auto"/>
        <w:ind w:firstLine="480" w:firstLineChars="200"/>
        <w:rPr>
          <w:rFonts w:ascii="宋体" w:hAnsi="宋体"/>
          <w:sz w:val="24"/>
        </w:rPr>
      </w:pPr>
      <w:r>
        <w:rPr>
          <w:rFonts w:ascii="宋体" w:hAnsi="宋体"/>
          <w:sz w:val="24"/>
          <w:lang w:bidi="ar"/>
        </w:rPr>
        <w:t>3.方式：</w:t>
      </w:r>
      <w:r>
        <w:rPr>
          <w:rFonts w:hint="eastAsia" w:ascii="宋体" w:hAnsi="宋体"/>
          <w:sz w:val="24"/>
          <w:lang w:bidi="ar"/>
        </w:rPr>
        <w:t>本项目只接受电汇或网银获取标书。</w:t>
      </w:r>
      <w:r>
        <w:rPr>
          <w:rFonts w:hint="eastAsia" w:ascii="宋体" w:hAnsi="宋体"/>
          <w:sz w:val="24"/>
        </w:rPr>
        <w:t>请供应商汇款时务必注明“项目编号+用途”（比如：ZC22-0340保证金或者ZC22-0340标书款），以便财务查账及汇总。电汇或网银获取标书，请将电汇底单（网银转账页面）扫描件及以下表格发邮件至bjmdzx@vip.163.com，邮件主题请务必注明“（项目编号）获取标书信息”。请相关供应商严格按照以上流程获取并提供相关资料，否则无权参与本次比选。</w:t>
      </w:r>
    </w:p>
    <w:tbl>
      <w:tblPr>
        <w:tblStyle w:val="40"/>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项目编号</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ascii="宋体" w:hAnsi="宋体" w:cs="宋体"/>
                <w:kern w:val="0"/>
                <w:sz w:val="24"/>
              </w:rPr>
              <w:t>BMCC-</w:t>
            </w:r>
            <w:r>
              <w:rPr>
                <w:rFonts w:hint="eastAsia" w:ascii="宋体" w:hAnsi="宋体"/>
                <w:sz w:val="24"/>
              </w:rPr>
              <w:t>ZC22-0340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包号</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单位名称</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纳税人识别号</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快递地址</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联系人</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邮箱</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r>
    </w:tbl>
    <w:p>
      <w:pPr>
        <w:widowControl/>
        <w:spacing w:line="360" w:lineRule="auto"/>
        <w:ind w:firstLine="566" w:firstLineChars="236"/>
        <w:jc w:val="left"/>
        <w:rPr>
          <w:rFonts w:ascii="宋体" w:hAnsi="宋体" w:cs="宋体"/>
          <w:kern w:val="0"/>
          <w:sz w:val="24"/>
        </w:rPr>
      </w:pPr>
      <w:r>
        <w:rPr>
          <w:rFonts w:hint="eastAsia" w:ascii="宋体" w:hAnsi="宋体" w:cs="宋体"/>
          <w:kern w:val="0"/>
          <w:sz w:val="24"/>
        </w:rPr>
        <w:t>账户名称：北京明德致信咨询有限公司</w:t>
      </w:r>
    </w:p>
    <w:p>
      <w:pPr>
        <w:spacing w:line="360" w:lineRule="auto"/>
        <w:ind w:left="495" w:firstLine="72" w:firstLineChars="30"/>
        <w:rPr>
          <w:rFonts w:ascii="宋体" w:hAnsi="宋体" w:cs="宋体"/>
          <w:kern w:val="0"/>
          <w:sz w:val="24"/>
        </w:rPr>
      </w:pPr>
      <w:r>
        <w:rPr>
          <w:rFonts w:hint="eastAsia" w:ascii="宋体" w:hAnsi="宋体" w:cs="宋体"/>
          <w:kern w:val="0"/>
          <w:sz w:val="24"/>
        </w:rPr>
        <w:t>开</w:t>
      </w:r>
      <w:r>
        <w:rPr>
          <w:rFonts w:ascii="宋体" w:hAnsi="宋体" w:cs="宋体"/>
          <w:kern w:val="0"/>
          <w:sz w:val="24"/>
        </w:rPr>
        <w:t xml:space="preserve"> 户 行：中国工商银行股份有限公司北京东升路支行</w:t>
      </w:r>
    </w:p>
    <w:p>
      <w:pPr>
        <w:spacing w:line="360" w:lineRule="auto"/>
        <w:ind w:left="495" w:firstLine="72" w:firstLineChars="30"/>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号：0200 0062 1920 0492 968</w:t>
      </w:r>
    </w:p>
    <w:p>
      <w:pPr>
        <w:spacing w:line="360" w:lineRule="auto"/>
        <w:ind w:left="495" w:firstLine="72" w:firstLineChars="30"/>
        <w:rPr>
          <w:rFonts w:ascii="宋体" w:hAnsi="宋体"/>
          <w:sz w:val="24"/>
        </w:rPr>
      </w:pPr>
      <w:r>
        <w:rPr>
          <w:rFonts w:hint="eastAsia" w:ascii="宋体" w:hAnsi="宋体"/>
          <w:sz w:val="24"/>
        </w:rPr>
        <w:t>比选文件电子版文件下载网址：www.zbbmcc.com，进入首页后点击导航栏“招标公告”，打开对应项目后自行下载。</w:t>
      </w:r>
    </w:p>
    <w:p>
      <w:pPr>
        <w:widowControl/>
        <w:adjustRightInd w:val="0"/>
        <w:snapToGrid w:val="0"/>
        <w:spacing w:line="360" w:lineRule="auto"/>
        <w:ind w:firstLine="480" w:firstLineChars="200"/>
        <w:jc w:val="left"/>
        <w:rPr>
          <w:rFonts w:ascii="宋体" w:hAnsi="宋体"/>
          <w:sz w:val="24"/>
        </w:rPr>
      </w:pPr>
      <w:r>
        <w:rPr>
          <w:rFonts w:ascii="宋体" w:hAnsi="宋体"/>
          <w:sz w:val="24"/>
          <w:lang w:bidi="ar"/>
        </w:rPr>
        <w:t>4.售价：</w:t>
      </w:r>
      <w:r>
        <w:rPr>
          <w:rFonts w:hint="eastAsia" w:ascii="宋体" w:hAnsi="宋体"/>
          <w:sz w:val="24"/>
          <w:lang w:bidi="ar"/>
        </w:rPr>
        <w:t>人民币500元/包（售后不退）。</w:t>
      </w:r>
    </w:p>
    <w:p>
      <w:pPr>
        <w:pStyle w:val="5"/>
        <w:widowControl/>
        <w:spacing w:before="0" w:line="360" w:lineRule="auto"/>
        <w:jc w:val="left"/>
        <w:rPr>
          <w:rFonts w:ascii="宋体" w:hAnsi="宋体" w:eastAsia="宋体"/>
          <w:sz w:val="24"/>
          <w:szCs w:val="24"/>
        </w:rPr>
      </w:pPr>
      <w:bookmarkStart w:id="21" w:name="_Toc28359005"/>
      <w:bookmarkStart w:id="22" w:name="_Toc28359082"/>
      <w:bookmarkStart w:id="23" w:name="_Toc35393793"/>
      <w:bookmarkStart w:id="24" w:name="_Toc35393624"/>
      <w:r>
        <w:rPr>
          <w:rFonts w:ascii="宋体" w:hAnsi="宋体" w:eastAsia="宋体"/>
          <w:sz w:val="24"/>
          <w:szCs w:val="24"/>
        </w:rPr>
        <w:t>四、提交</w:t>
      </w:r>
      <w:bookmarkEnd w:id="21"/>
      <w:bookmarkEnd w:id="22"/>
      <w:r>
        <w:rPr>
          <w:rFonts w:hint="eastAsia" w:ascii="宋体" w:hAnsi="宋体" w:eastAsia="宋体"/>
          <w:sz w:val="24"/>
          <w:szCs w:val="24"/>
        </w:rPr>
        <w:t>响应文件</w:t>
      </w:r>
      <w:r>
        <w:rPr>
          <w:rFonts w:ascii="宋体" w:hAnsi="宋体" w:eastAsia="宋体"/>
          <w:sz w:val="24"/>
          <w:szCs w:val="24"/>
        </w:rPr>
        <w:t>截止时间、</w:t>
      </w:r>
      <w:r>
        <w:rPr>
          <w:rFonts w:hint="eastAsia" w:ascii="宋体" w:hAnsi="宋体" w:eastAsia="宋体"/>
          <w:sz w:val="24"/>
          <w:szCs w:val="24"/>
        </w:rPr>
        <w:t>开选</w:t>
      </w:r>
      <w:r>
        <w:rPr>
          <w:rFonts w:ascii="宋体" w:hAnsi="宋体" w:eastAsia="宋体"/>
          <w:sz w:val="24"/>
          <w:szCs w:val="24"/>
        </w:rPr>
        <w:t>时间和地点</w:t>
      </w:r>
      <w:bookmarkEnd w:id="23"/>
      <w:bookmarkEnd w:id="24"/>
    </w:p>
    <w:p>
      <w:pPr>
        <w:spacing w:line="360" w:lineRule="auto"/>
        <w:ind w:firstLine="480" w:firstLineChars="200"/>
        <w:rPr>
          <w:rFonts w:ascii="宋体" w:hAnsi="宋体"/>
          <w:bCs/>
          <w:sz w:val="24"/>
          <w:u w:val="single"/>
        </w:rPr>
      </w:pPr>
      <w:r>
        <w:rPr>
          <w:rFonts w:hint="eastAsia" w:ascii="宋体" w:hAnsi="宋体"/>
          <w:sz w:val="24"/>
          <w:lang w:bidi="ar"/>
        </w:rPr>
        <w:t>响应文件提交</w:t>
      </w:r>
      <w:r>
        <w:rPr>
          <w:rFonts w:ascii="宋体" w:hAnsi="宋体"/>
          <w:sz w:val="24"/>
          <w:lang w:bidi="ar"/>
        </w:rPr>
        <w:t>截止时间、</w:t>
      </w:r>
      <w:r>
        <w:rPr>
          <w:rFonts w:hint="eastAsia" w:ascii="宋体" w:hAnsi="宋体"/>
          <w:sz w:val="24"/>
          <w:lang w:bidi="ar"/>
        </w:rPr>
        <w:t>开选</w:t>
      </w:r>
      <w:r>
        <w:rPr>
          <w:rFonts w:ascii="宋体" w:hAnsi="宋体"/>
          <w:sz w:val="24"/>
          <w:lang w:bidi="ar"/>
        </w:rPr>
        <w:t>时间：</w:t>
      </w:r>
      <w:r>
        <w:rPr>
          <w:rFonts w:hint="eastAsia" w:ascii="宋体" w:hAnsi="宋体"/>
          <w:sz w:val="24"/>
          <w:u w:val="single"/>
          <w:lang w:bidi="ar"/>
        </w:rPr>
        <w:t>2022</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9</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26</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u w:val="single"/>
          <w:lang w:val="en-US" w:eastAsia="zh-CN" w:bidi="ar"/>
        </w:rPr>
        <w:t>14</w:t>
      </w:r>
      <w:r>
        <w:rPr>
          <w:rFonts w:ascii="宋体" w:hAnsi="宋体"/>
          <w:sz w:val="24"/>
          <w:lang w:bidi="ar"/>
        </w:rPr>
        <w:t>点</w:t>
      </w:r>
      <w:r>
        <w:rPr>
          <w:rFonts w:hint="eastAsia" w:ascii="宋体" w:hAnsi="宋体"/>
          <w:sz w:val="24"/>
          <w:u w:val="single"/>
          <w:lang w:val="en-US" w:eastAsia="zh-CN" w:bidi="ar"/>
        </w:rPr>
        <w:t>0</w:t>
      </w:r>
      <w:r>
        <w:rPr>
          <w:rFonts w:hint="eastAsia" w:ascii="宋体" w:hAnsi="宋体"/>
          <w:sz w:val="24"/>
          <w:u w:val="single"/>
          <w:lang w:bidi="ar"/>
        </w:rPr>
        <w:t>0</w:t>
      </w:r>
      <w:r>
        <w:rPr>
          <w:rFonts w:ascii="宋体" w:hAnsi="宋体"/>
          <w:sz w:val="24"/>
          <w:lang w:bidi="ar"/>
        </w:rPr>
        <w:t>分</w:t>
      </w:r>
      <w:r>
        <w:rPr>
          <w:rFonts w:ascii="宋体" w:hAnsi="宋体"/>
          <w:bCs/>
          <w:sz w:val="24"/>
          <w:lang w:bidi="ar"/>
        </w:rPr>
        <w:t>（北京时间）</w:t>
      </w:r>
      <w:r>
        <w:rPr>
          <w:rFonts w:ascii="宋体" w:hAnsi="宋体"/>
          <w:iCs/>
          <w:sz w:val="24"/>
          <w:lang w:bidi="ar"/>
        </w:rPr>
        <w:t>。</w:t>
      </w:r>
    </w:p>
    <w:p>
      <w:pPr>
        <w:spacing w:line="360" w:lineRule="auto"/>
        <w:ind w:firstLine="480" w:firstLineChars="200"/>
        <w:rPr>
          <w:rFonts w:ascii="宋体" w:hAnsi="宋体"/>
          <w:sz w:val="24"/>
          <w:lang w:val="zh-TW" w:bidi="ar"/>
        </w:rPr>
      </w:pPr>
      <w:r>
        <w:rPr>
          <w:rFonts w:ascii="宋体" w:hAnsi="宋体"/>
          <w:sz w:val="24"/>
          <w:lang w:bidi="ar"/>
        </w:rPr>
        <w:t>地点：</w:t>
      </w:r>
      <w:r>
        <w:rPr>
          <w:rFonts w:hint="eastAsia"/>
          <w:sz w:val="24"/>
          <w:u w:val="single"/>
        </w:rPr>
        <w:t>北京市海淀区学院路30号科大天工大厦B座17层1706</w:t>
      </w:r>
      <w:r>
        <w:rPr>
          <w:rFonts w:hint="eastAsia"/>
          <w:sz w:val="24"/>
          <w:u w:val="single"/>
          <w:lang w:val="en-US" w:eastAsia="zh-CN"/>
        </w:rPr>
        <w:t>第四</w:t>
      </w:r>
      <w:r>
        <w:rPr>
          <w:rFonts w:hint="eastAsia"/>
          <w:sz w:val="24"/>
          <w:u w:val="single"/>
        </w:rPr>
        <w:t>会议室（提示：楼层较高，请供应商预留递交文件时间提前到场）</w:t>
      </w:r>
      <w:r>
        <w:rPr>
          <w:rFonts w:hint="eastAsia"/>
          <w:sz w:val="24"/>
        </w:rPr>
        <w:t>。</w:t>
      </w:r>
    </w:p>
    <w:p>
      <w:pPr>
        <w:pStyle w:val="5"/>
        <w:spacing w:before="0" w:line="360" w:lineRule="auto"/>
        <w:jc w:val="left"/>
        <w:rPr>
          <w:rFonts w:ascii="宋体" w:hAnsi="宋体" w:eastAsia="宋体"/>
          <w:sz w:val="24"/>
          <w:szCs w:val="24"/>
        </w:rPr>
      </w:pPr>
      <w:bookmarkStart w:id="25" w:name="_Toc28359084"/>
      <w:bookmarkStart w:id="26" w:name="_Toc35393625"/>
      <w:bookmarkStart w:id="27" w:name="_Toc35393794"/>
      <w:bookmarkStart w:id="28" w:name="_Toc28359007"/>
      <w:r>
        <w:rPr>
          <w:rFonts w:ascii="宋体" w:hAnsi="宋体" w:eastAsia="宋体"/>
          <w:sz w:val="24"/>
          <w:szCs w:val="24"/>
        </w:rPr>
        <w:t>五、公告期限</w:t>
      </w:r>
      <w:bookmarkEnd w:id="25"/>
      <w:bookmarkEnd w:id="26"/>
      <w:bookmarkEnd w:id="27"/>
      <w:bookmarkEnd w:id="28"/>
    </w:p>
    <w:p>
      <w:pPr>
        <w:spacing w:line="360" w:lineRule="auto"/>
        <w:ind w:firstLine="480" w:firstLineChars="200"/>
        <w:rPr>
          <w:rFonts w:ascii="宋体" w:hAnsi="宋体"/>
          <w:kern w:val="0"/>
          <w:sz w:val="24"/>
        </w:rPr>
      </w:pPr>
      <w:r>
        <w:rPr>
          <w:rFonts w:ascii="宋体" w:hAnsi="宋体"/>
          <w:kern w:val="0"/>
          <w:sz w:val="24"/>
        </w:rPr>
        <w:t>自本公告发布之日起</w:t>
      </w:r>
      <w:r>
        <w:rPr>
          <w:rFonts w:hint="eastAsia" w:ascii="宋体" w:hAnsi="宋体"/>
          <w:kern w:val="0"/>
          <w:sz w:val="24"/>
        </w:rPr>
        <w:t>3</w:t>
      </w:r>
      <w:r>
        <w:rPr>
          <w:rFonts w:ascii="宋体" w:hAnsi="宋体"/>
          <w:kern w:val="0"/>
          <w:sz w:val="24"/>
        </w:rPr>
        <w:t>个工作日。</w:t>
      </w:r>
    </w:p>
    <w:p>
      <w:pPr>
        <w:pStyle w:val="5"/>
        <w:spacing w:before="0" w:line="360" w:lineRule="auto"/>
        <w:jc w:val="left"/>
        <w:rPr>
          <w:rFonts w:ascii="宋体" w:hAnsi="宋体" w:eastAsia="宋体"/>
          <w:sz w:val="24"/>
          <w:szCs w:val="24"/>
        </w:rPr>
      </w:pPr>
      <w:bookmarkStart w:id="29" w:name="_Toc35393626"/>
      <w:bookmarkStart w:id="30" w:name="_Toc35393795"/>
      <w:r>
        <w:rPr>
          <w:rFonts w:ascii="宋体" w:hAnsi="宋体" w:eastAsia="宋体"/>
          <w:sz w:val="24"/>
          <w:szCs w:val="24"/>
        </w:rPr>
        <w:t>六、其他补充事宜</w:t>
      </w:r>
      <w:bookmarkEnd w:id="29"/>
      <w:bookmarkEnd w:id="30"/>
    </w:p>
    <w:p>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lang w:bidi="ar"/>
        </w:rPr>
        <w:t>如促进中小企业、监狱企业、残疾人福利性单位发展、优先采购节能产品、环境标志产品等</w:t>
      </w:r>
      <w:r>
        <w:rPr>
          <w:rFonts w:hint="eastAsia" w:ascii="宋体" w:hAnsi="宋体"/>
          <w:sz w:val="24"/>
          <w:lang w:bidi="ar"/>
        </w:rPr>
        <w:t>。</w:t>
      </w:r>
    </w:p>
    <w:p>
      <w:pPr>
        <w:spacing w:line="360" w:lineRule="auto"/>
        <w:ind w:firstLine="480" w:firstLineChars="200"/>
        <w:rPr>
          <w:rFonts w:ascii="宋体" w:hAnsi="宋体"/>
          <w:sz w:val="24"/>
        </w:rPr>
      </w:pPr>
      <w:r>
        <w:rPr>
          <w:rFonts w:hint="eastAsia" w:ascii="宋体" w:hAnsi="宋体"/>
          <w:sz w:val="24"/>
        </w:rPr>
        <w:t>2.发布公告的媒介：本公告在首都师范大学校园网发布。</w:t>
      </w:r>
    </w:p>
    <w:p>
      <w:pPr>
        <w:spacing w:line="360" w:lineRule="auto"/>
        <w:ind w:firstLine="480" w:firstLineChars="200"/>
        <w:rPr>
          <w:rFonts w:ascii="宋体" w:hAnsi="宋体"/>
          <w:sz w:val="24"/>
        </w:rPr>
      </w:pPr>
      <w:r>
        <w:rPr>
          <w:rFonts w:hint="eastAsia" w:ascii="宋体" w:hAnsi="宋体"/>
          <w:sz w:val="24"/>
        </w:rPr>
        <w:t>3.响应文件请于开选当日（响应文件提交截止时间之前）递交至开选地点，逾期递交的文件恕不接受。届时请供应商派代表参加开选仪式。参与开选仪式的人员应佩戴口罩、携带身份证。</w:t>
      </w:r>
    </w:p>
    <w:p>
      <w:pPr>
        <w:spacing w:line="360" w:lineRule="auto"/>
        <w:ind w:left="1" w:firstLine="480" w:firstLineChars="200"/>
        <w:rPr>
          <w:rFonts w:ascii="宋体" w:hAnsi="宋体"/>
          <w:sz w:val="24"/>
        </w:rPr>
      </w:pPr>
      <w:r>
        <w:rPr>
          <w:rFonts w:hint="eastAsia" w:ascii="宋体" w:hAnsi="宋体"/>
          <w:sz w:val="24"/>
        </w:rPr>
        <w:t>4.如本公告内容和比选文件内容不一致，以比选文件为准。</w:t>
      </w:r>
    </w:p>
    <w:p>
      <w:pPr>
        <w:pStyle w:val="34"/>
      </w:pPr>
    </w:p>
    <w:p>
      <w:pPr>
        <w:pStyle w:val="5"/>
        <w:spacing w:before="0" w:line="360" w:lineRule="auto"/>
        <w:jc w:val="left"/>
        <w:rPr>
          <w:rFonts w:ascii="宋体" w:hAnsi="宋体" w:eastAsia="宋体"/>
          <w:sz w:val="24"/>
          <w:szCs w:val="24"/>
        </w:rPr>
      </w:pPr>
      <w:bookmarkStart w:id="31" w:name="_Toc28359085"/>
      <w:bookmarkStart w:id="32" w:name="_Toc35393627"/>
      <w:bookmarkStart w:id="33" w:name="_Toc35393796"/>
      <w:bookmarkStart w:id="34" w:name="_Toc28359008"/>
      <w:r>
        <w:rPr>
          <w:rFonts w:ascii="宋体" w:hAnsi="宋体" w:eastAsia="宋体"/>
          <w:sz w:val="24"/>
          <w:szCs w:val="24"/>
        </w:rPr>
        <w:t>七、对本次招标提出询问，请按以下方式联系。</w:t>
      </w:r>
      <w:bookmarkEnd w:id="31"/>
      <w:bookmarkEnd w:id="32"/>
      <w:bookmarkEnd w:id="33"/>
      <w:bookmarkEnd w:id="34"/>
    </w:p>
    <w:p>
      <w:pPr>
        <w:spacing w:line="360" w:lineRule="auto"/>
        <w:ind w:left="1080" w:leftChars="371" w:hanging="301" w:hangingChars="125"/>
        <w:jc w:val="left"/>
        <w:rPr>
          <w:rFonts w:ascii="宋体" w:hAnsi="宋体"/>
          <w:b/>
          <w:sz w:val="24"/>
        </w:rPr>
      </w:pPr>
      <w:r>
        <w:rPr>
          <w:rFonts w:ascii="宋体" w:hAnsi="宋体"/>
          <w:b/>
          <w:sz w:val="24"/>
        </w:rPr>
        <w:t>1.采购人信息</w:t>
      </w:r>
    </w:p>
    <w:p>
      <w:pPr>
        <w:spacing w:line="360" w:lineRule="auto"/>
        <w:ind w:left="1079" w:leftChars="371" w:hanging="300" w:hangingChars="125"/>
        <w:jc w:val="left"/>
        <w:rPr>
          <w:sz w:val="24"/>
        </w:rPr>
      </w:pPr>
      <w:bookmarkStart w:id="35" w:name="_Toc28359086"/>
      <w:bookmarkStart w:id="36" w:name="_Toc28359009"/>
      <w:r>
        <w:rPr>
          <w:sz w:val="24"/>
        </w:rPr>
        <w:t>名    称：</w:t>
      </w:r>
      <w:r>
        <w:rPr>
          <w:rFonts w:hint="eastAsia"/>
          <w:sz w:val="24"/>
          <w:u w:val="single"/>
        </w:rPr>
        <w:t>首都师范大学</w:t>
      </w:r>
    </w:p>
    <w:p>
      <w:pPr>
        <w:spacing w:line="360" w:lineRule="auto"/>
        <w:ind w:left="1079" w:leftChars="371" w:hanging="300" w:hangingChars="125"/>
        <w:jc w:val="left"/>
        <w:rPr>
          <w:sz w:val="24"/>
        </w:rPr>
      </w:pPr>
      <w:r>
        <w:rPr>
          <w:rFonts w:hint="eastAsia"/>
          <w:sz w:val="24"/>
        </w:rPr>
        <w:t>地    址：</w:t>
      </w:r>
      <w:r>
        <w:rPr>
          <w:rFonts w:hint="eastAsia"/>
          <w:sz w:val="24"/>
          <w:u w:val="single"/>
        </w:rPr>
        <w:t>北京市西三环北路105号</w:t>
      </w:r>
    </w:p>
    <w:p>
      <w:pPr>
        <w:spacing w:line="360" w:lineRule="auto"/>
        <w:ind w:left="1079" w:leftChars="371" w:hanging="300" w:hangingChars="125"/>
        <w:jc w:val="left"/>
        <w:rPr>
          <w:sz w:val="24"/>
        </w:rPr>
      </w:pPr>
      <w:r>
        <w:rPr>
          <w:rFonts w:hint="eastAsia"/>
          <w:sz w:val="24"/>
        </w:rPr>
        <w:t>联系方式：</w:t>
      </w:r>
      <w:r>
        <w:rPr>
          <w:rFonts w:hint="eastAsia"/>
          <w:sz w:val="24"/>
          <w:u w:val="single"/>
        </w:rPr>
        <w:t xml:space="preserve">战永佳010-68902830  </w:t>
      </w:r>
    </w:p>
    <w:p>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5"/>
      <w:bookmarkEnd w:id="36"/>
    </w:p>
    <w:p>
      <w:pPr>
        <w:spacing w:line="360" w:lineRule="auto"/>
        <w:ind w:left="1076" w:leftChars="371" w:hanging="297" w:hangingChars="124"/>
        <w:jc w:val="left"/>
        <w:rPr>
          <w:sz w:val="24"/>
        </w:rPr>
      </w:pPr>
      <w:bookmarkStart w:id="37" w:name="_Toc28359010"/>
      <w:bookmarkStart w:id="38" w:name="_Toc28359087"/>
      <w:r>
        <w:rPr>
          <w:sz w:val="24"/>
        </w:rPr>
        <w:t>名    称：</w:t>
      </w:r>
      <w:r>
        <w:rPr>
          <w:rFonts w:hint="eastAsia"/>
          <w:sz w:val="24"/>
          <w:u w:val="single"/>
        </w:rPr>
        <w:t>北京明德致信咨询有限公司</w:t>
      </w:r>
    </w:p>
    <w:p>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王经理、吕绍山010－82370045，13811723926</w:t>
      </w:r>
    </w:p>
    <w:p>
      <w:pPr>
        <w:spacing w:line="360" w:lineRule="auto"/>
        <w:ind w:firstLine="723" w:firstLineChars="300"/>
        <w:rPr>
          <w:rFonts w:ascii="宋体" w:hAnsi="宋体"/>
          <w:b/>
          <w:sz w:val="24"/>
          <w:u w:val="single"/>
        </w:rPr>
      </w:pPr>
      <w:r>
        <w:rPr>
          <w:rFonts w:ascii="宋体" w:hAnsi="宋体"/>
          <w:b/>
          <w:sz w:val="24"/>
        </w:rPr>
        <w:t>3.项目联系方式</w:t>
      </w:r>
      <w:bookmarkEnd w:id="37"/>
      <w:bookmarkEnd w:id="38"/>
    </w:p>
    <w:p>
      <w:pPr>
        <w:pStyle w:val="23"/>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王经理、吕绍山</w:t>
      </w:r>
    </w:p>
    <w:p>
      <w:pPr>
        <w:pStyle w:val="23"/>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sz w:val="24"/>
          <w:u w:val="single"/>
        </w:rPr>
        <w:t>010－82370045，</w:t>
      </w:r>
      <w:r>
        <w:rPr>
          <w:rFonts w:hint="eastAsia"/>
          <w:sz w:val="24"/>
          <w:u w:val="single"/>
        </w:rPr>
        <w:t>13811723926</w:t>
      </w:r>
    </w:p>
    <w:p>
      <w:pPr>
        <w:spacing w:line="360" w:lineRule="auto"/>
        <w:ind w:firstLine="5880" w:firstLineChars="2450"/>
        <w:jc w:val="right"/>
        <w:rPr>
          <w:rFonts w:ascii="宋体" w:hAnsi="宋体"/>
          <w:sz w:val="24"/>
        </w:rPr>
      </w:pPr>
    </w:p>
    <w:p>
      <w:pPr>
        <w:spacing w:line="360" w:lineRule="auto"/>
        <w:jc w:val="center"/>
        <w:outlineLvl w:val="0"/>
        <w:rPr>
          <w:rFonts w:ascii="宋体" w:hAnsi="宋体"/>
          <w:b/>
          <w:sz w:val="32"/>
          <w:szCs w:val="32"/>
        </w:rPr>
      </w:pPr>
      <w:r>
        <w:rPr>
          <w:rFonts w:ascii="宋体" w:hAnsi="宋体"/>
          <w:sz w:val="24"/>
        </w:rPr>
        <w:br w:type="page"/>
      </w:r>
      <w:bookmarkStart w:id="39" w:name="_Toc305158928"/>
      <w:bookmarkStart w:id="40" w:name="_Toc226965856"/>
      <w:bookmarkStart w:id="41" w:name="_Toc264969275"/>
      <w:bookmarkStart w:id="42" w:name="_Toc353873938"/>
      <w:bookmarkStart w:id="43" w:name="_Toc353825548"/>
      <w:bookmarkStart w:id="44" w:name="_Toc265228423"/>
      <w:bookmarkStart w:id="45" w:name="_Toc195842950"/>
      <w:bookmarkStart w:id="46" w:name="_Toc512937850"/>
      <w:bookmarkStart w:id="47" w:name="_Toc5899"/>
      <w:bookmarkStart w:id="48" w:name="_Toc17889"/>
      <w:bookmarkStart w:id="49" w:name="_Toc127151777"/>
      <w:bookmarkStart w:id="50" w:name="_Toc127161488"/>
      <w:bookmarkStart w:id="51" w:name="_Toc150774783"/>
      <w:bookmarkStart w:id="52" w:name="_Toc305158854"/>
      <w:r>
        <w:rPr>
          <w:rFonts w:ascii="宋体" w:hAnsi="宋体"/>
          <w:b/>
          <w:sz w:val="36"/>
          <w:szCs w:val="36"/>
        </w:rPr>
        <w:t xml:space="preserve">第二章  </w:t>
      </w:r>
      <w:r>
        <w:rPr>
          <w:rFonts w:hint="eastAsia" w:ascii="宋体" w:hAnsi="宋体"/>
          <w:b/>
          <w:sz w:val="36"/>
          <w:szCs w:val="36"/>
        </w:rPr>
        <w:t>供应商</w:t>
      </w:r>
      <w:r>
        <w:rPr>
          <w:rFonts w:ascii="宋体" w:hAnsi="宋体"/>
          <w:b/>
          <w:sz w:val="36"/>
          <w:szCs w:val="36"/>
        </w:rPr>
        <w:t>须知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5"/>
        <w:tabs>
          <w:tab w:val="center" w:pos="4592"/>
          <w:tab w:val="left" w:pos="7860"/>
        </w:tabs>
        <w:spacing w:before="0" w:line="360" w:lineRule="auto"/>
        <w:rPr>
          <w:rFonts w:ascii="宋体" w:hAnsi="宋体" w:eastAsia="宋体"/>
          <w:sz w:val="28"/>
        </w:rPr>
      </w:pPr>
      <w:bookmarkStart w:id="53" w:name="_Toc150480757"/>
      <w:bookmarkStart w:id="54" w:name="_Toc151193617"/>
      <w:bookmarkStart w:id="55" w:name="_Toc164351613"/>
      <w:bookmarkStart w:id="56" w:name="_Toc151193689"/>
      <w:bookmarkStart w:id="57" w:name="_Toc151193833"/>
      <w:bookmarkStart w:id="58" w:name="_Toc150774619"/>
      <w:bookmarkStart w:id="59" w:name="_Toc151190146"/>
      <w:bookmarkStart w:id="60" w:name="_Toc164608633"/>
      <w:bookmarkStart w:id="61" w:name="_Toc127151720"/>
      <w:bookmarkStart w:id="62" w:name="_Toc164608788"/>
      <w:bookmarkStart w:id="63" w:name="_Toc150509270"/>
      <w:bookmarkStart w:id="64" w:name="_Toc164229214"/>
      <w:bookmarkStart w:id="65" w:name="_Toc151193907"/>
      <w:bookmarkStart w:id="66" w:name="_Toc127161433"/>
      <w:bookmarkStart w:id="67" w:name="_Toc226965709"/>
      <w:bookmarkStart w:id="68" w:name="_Toc151193761"/>
      <w:bookmarkStart w:id="69" w:name="_Toc226309763"/>
      <w:bookmarkStart w:id="70" w:name="_Toc149720812"/>
      <w:bookmarkStart w:id="71" w:name="_Toc150774724"/>
      <w:bookmarkStart w:id="72" w:name="_Toc142311021"/>
      <w:bookmarkStart w:id="73" w:name="_Toc127151519"/>
      <w:bookmarkStart w:id="74" w:name="_Toc195842884"/>
      <w:bookmarkStart w:id="75" w:name="_Toc226965792"/>
      <w:bookmarkStart w:id="76" w:name="_Toc520356144"/>
      <w:bookmarkStart w:id="77" w:name="_Toc164229360"/>
      <w:bookmarkStart w:id="78" w:name="_Toc226337215"/>
      <w:r>
        <w:rPr>
          <w:rFonts w:hint="eastAsia" w:ascii="宋体" w:hAnsi="宋体" w:eastAsia="宋体"/>
          <w:sz w:val="28"/>
        </w:rPr>
        <w:t>供应商</w:t>
      </w:r>
      <w:r>
        <w:rPr>
          <w:rFonts w:ascii="宋体" w:hAnsi="宋体" w:eastAsia="宋体"/>
          <w:sz w:val="28"/>
        </w:rPr>
        <w:t>须知资料表</w:t>
      </w:r>
    </w:p>
    <w:p>
      <w:pPr>
        <w:spacing w:line="360" w:lineRule="auto"/>
        <w:ind w:firstLine="480"/>
        <w:rPr>
          <w:rFonts w:ascii="宋体" w:hAnsi="宋体"/>
          <w:sz w:val="24"/>
        </w:rPr>
      </w:pPr>
      <w:r>
        <w:rPr>
          <w:rFonts w:ascii="宋体" w:hAnsi="宋体"/>
          <w:sz w:val="24"/>
        </w:rPr>
        <w:t>本表是对</w:t>
      </w:r>
      <w:r>
        <w:rPr>
          <w:rFonts w:hint="eastAsia" w:ascii="宋体" w:hAnsi="宋体"/>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40"/>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pPr>
              <w:spacing w:line="288" w:lineRule="auto"/>
              <w:jc w:val="center"/>
              <w:rPr>
                <w:rFonts w:ascii="宋体" w:hAnsi="宋体"/>
                <w:b/>
                <w:bCs/>
                <w:sz w:val="24"/>
              </w:rPr>
            </w:pPr>
            <w:r>
              <w:rPr>
                <w:rFonts w:ascii="宋体" w:hAnsi="宋体"/>
                <w:b/>
                <w:sz w:val="24"/>
              </w:rPr>
              <w:t>条款号</w:t>
            </w:r>
          </w:p>
        </w:tc>
        <w:tc>
          <w:tcPr>
            <w:tcW w:w="1701" w:type="dxa"/>
            <w:vAlign w:val="center"/>
          </w:tcPr>
          <w:p>
            <w:pPr>
              <w:spacing w:line="288" w:lineRule="auto"/>
              <w:jc w:val="center"/>
              <w:rPr>
                <w:rFonts w:ascii="宋体" w:hAnsi="宋体"/>
                <w:b/>
                <w:bCs/>
                <w:sz w:val="24"/>
              </w:rPr>
            </w:pPr>
            <w:r>
              <w:rPr>
                <w:rFonts w:ascii="宋体" w:hAnsi="宋体"/>
                <w:b/>
                <w:bCs/>
                <w:sz w:val="24"/>
              </w:rPr>
              <w:t>条目</w:t>
            </w:r>
          </w:p>
        </w:tc>
        <w:tc>
          <w:tcPr>
            <w:tcW w:w="7540" w:type="dxa"/>
            <w:vAlign w:val="center"/>
          </w:tcPr>
          <w:p>
            <w:pPr>
              <w:spacing w:line="288" w:lineRule="auto"/>
              <w:jc w:val="center"/>
              <w:rPr>
                <w:rFonts w:ascii="宋体" w:hAnsi="宋体"/>
                <w:b/>
                <w:bCs/>
                <w:sz w:val="24"/>
              </w:rPr>
            </w:pPr>
            <w:r>
              <w:rPr>
                <w:rFonts w:ascii="宋体" w:hAnsi="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2.2</w:t>
            </w:r>
          </w:p>
        </w:tc>
        <w:tc>
          <w:tcPr>
            <w:tcW w:w="1701" w:type="dxa"/>
            <w:vAlign w:val="center"/>
          </w:tcPr>
          <w:p>
            <w:pPr>
              <w:spacing w:line="288" w:lineRule="auto"/>
              <w:jc w:val="center"/>
              <w:rPr>
                <w:rFonts w:ascii="宋体" w:hAnsi="宋体"/>
                <w:sz w:val="24"/>
              </w:rPr>
            </w:pPr>
            <w:r>
              <w:rPr>
                <w:rFonts w:ascii="宋体" w:hAnsi="宋体"/>
                <w:sz w:val="24"/>
              </w:rPr>
              <w:t>项目属性</w:t>
            </w:r>
          </w:p>
        </w:tc>
        <w:tc>
          <w:tcPr>
            <w:tcW w:w="7540" w:type="dxa"/>
            <w:vAlign w:val="center"/>
          </w:tcPr>
          <w:p>
            <w:pPr>
              <w:spacing w:line="288" w:lineRule="auto"/>
              <w:jc w:val="left"/>
              <w:rPr>
                <w:rFonts w:ascii="宋体" w:hAnsi="宋体"/>
                <w:sz w:val="24"/>
              </w:rPr>
            </w:pPr>
            <w:r>
              <w:rPr>
                <w:rFonts w:ascii="宋体" w:hAnsi="宋体"/>
                <w:sz w:val="24"/>
              </w:rPr>
              <w:t>项目属性：</w:t>
            </w:r>
          </w:p>
          <w:p>
            <w:pPr>
              <w:spacing w:line="288" w:lineRule="auto"/>
              <w:jc w:val="left"/>
              <w:rPr>
                <w:rFonts w:ascii="宋体" w:hAnsi="宋体"/>
                <w:sz w:val="24"/>
              </w:rPr>
            </w:pPr>
            <w:r>
              <w:rPr>
                <w:rFonts w:ascii="宋体" w:hAnsi="宋体"/>
                <w:b/>
                <w:color w:val="000000"/>
                <w:sz w:val="24"/>
              </w:rPr>
              <w:t>■</w:t>
            </w:r>
            <w:r>
              <w:rPr>
                <w:rFonts w:ascii="宋体" w:hAnsi="宋体"/>
                <w:sz w:val="24"/>
              </w:rPr>
              <w:t>服务</w:t>
            </w:r>
          </w:p>
          <w:p>
            <w:pPr>
              <w:spacing w:line="288" w:lineRule="auto"/>
              <w:jc w:val="left"/>
              <w:rPr>
                <w:rFonts w:ascii="宋体" w:hAnsi="宋体"/>
                <w:sz w:val="24"/>
                <w:u w:val="single"/>
              </w:rPr>
            </w:pPr>
            <w:r>
              <w:rPr>
                <w:rFonts w:ascii="宋体" w:hAnsi="宋体"/>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2.3</w:t>
            </w:r>
          </w:p>
        </w:tc>
        <w:tc>
          <w:tcPr>
            <w:tcW w:w="1701" w:type="dxa"/>
            <w:vAlign w:val="center"/>
          </w:tcPr>
          <w:p>
            <w:pPr>
              <w:spacing w:line="288" w:lineRule="auto"/>
              <w:jc w:val="center"/>
              <w:rPr>
                <w:rFonts w:ascii="宋体" w:hAnsi="宋体"/>
                <w:sz w:val="24"/>
              </w:rPr>
            </w:pPr>
            <w:r>
              <w:rPr>
                <w:rFonts w:ascii="宋体" w:hAnsi="宋体"/>
                <w:sz w:val="24"/>
              </w:rPr>
              <w:t>科研仪器设备</w:t>
            </w:r>
          </w:p>
        </w:tc>
        <w:tc>
          <w:tcPr>
            <w:tcW w:w="7540" w:type="dxa"/>
            <w:vAlign w:val="center"/>
          </w:tcPr>
          <w:p>
            <w:pPr>
              <w:spacing w:line="288" w:lineRule="auto"/>
              <w:jc w:val="left"/>
              <w:rPr>
                <w:rFonts w:ascii="宋体" w:hAnsi="宋体"/>
                <w:sz w:val="24"/>
              </w:rPr>
            </w:pPr>
            <w:r>
              <w:rPr>
                <w:rFonts w:ascii="宋体" w:hAnsi="宋体"/>
                <w:sz w:val="24"/>
              </w:rPr>
              <w:t>是否属于科研仪器设备采购项目：</w:t>
            </w:r>
          </w:p>
          <w:p>
            <w:pPr>
              <w:spacing w:line="288" w:lineRule="auto"/>
              <w:jc w:val="left"/>
              <w:rPr>
                <w:rFonts w:ascii="宋体" w:hAnsi="宋体"/>
                <w:sz w:val="24"/>
              </w:rPr>
            </w:pPr>
            <w:r>
              <w:rPr>
                <w:rFonts w:ascii="宋体" w:hAnsi="宋体"/>
                <w:sz w:val="24"/>
              </w:rPr>
              <w:t>□是</w:t>
            </w:r>
          </w:p>
          <w:p>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2.4</w:t>
            </w:r>
          </w:p>
        </w:tc>
        <w:tc>
          <w:tcPr>
            <w:tcW w:w="1701" w:type="dxa"/>
            <w:vAlign w:val="center"/>
          </w:tcPr>
          <w:p>
            <w:pPr>
              <w:spacing w:line="288" w:lineRule="auto"/>
              <w:jc w:val="center"/>
              <w:rPr>
                <w:rFonts w:ascii="宋体" w:hAnsi="宋体"/>
                <w:sz w:val="24"/>
              </w:rPr>
            </w:pPr>
            <w:r>
              <w:rPr>
                <w:rFonts w:ascii="宋体" w:hAnsi="宋体"/>
                <w:sz w:val="24"/>
              </w:rPr>
              <w:t>核心产品</w:t>
            </w:r>
          </w:p>
        </w:tc>
        <w:tc>
          <w:tcPr>
            <w:tcW w:w="7540" w:type="dxa"/>
            <w:vAlign w:val="center"/>
          </w:tcPr>
          <w:p>
            <w:pPr>
              <w:pStyle w:val="23"/>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关于核心产品本项目不适用。</w:t>
            </w:r>
          </w:p>
          <w:p>
            <w:pPr>
              <w:pStyle w:val="23"/>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本项目为单一产品采购项目</w:t>
            </w:r>
          </w:p>
          <w:p>
            <w:pPr>
              <w:pStyle w:val="23"/>
              <w:adjustRightInd w:val="0"/>
              <w:snapToGrid w:val="0"/>
              <w:spacing w:line="288" w:lineRule="auto"/>
              <w:rPr>
                <w:rFonts w:hint="default" w:hAnsi="宋体"/>
                <w:sz w:val="24"/>
                <w:szCs w:val="24"/>
              </w:rPr>
            </w:pPr>
            <w:r>
              <w:rPr>
                <w:rFonts w:hAnsi="宋体"/>
                <w:sz w:val="24"/>
              </w:rPr>
              <w:t>□本项目为非单一产品采购项目，各分包的核心产品为：</w:t>
            </w:r>
            <w:r>
              <w:rPr>
                <w:rFonts w:hint="default"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3.1</w:t>
            </w:r>
          </w:p>
        </w:tc>
        <w:tc>
          <w:tcPr>
            <w:tcW w:w="1701" w:type="dxa"/>
            <w:vAlign w:val="center"/>
          </w:tcPr>
          <w:p>
            <w:pPr>
              <w:spacing w:line="288" w:lineRule="auto"/>
              <w:jc w:val="center"/>
              <w:rPr>
                <w:rFonts w:ascii="宋体" w:hAnsi="宋体"/>
                <w:sz w:val="24"/>
              </w:rPr>
            </w:pPr>
            <w:r>
              <w:rPr>
                <w:rFonts w:ascii="宋体" w:hAnsi="宋体"/>
                <w:sz w:val="24"/>
              </w:rPr>
              <w:t>现场考察</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pPr>
              <w:pStyle w:val="23"/>
              <w:adjustRightInd w:val="0"/>
              <w:snapToGrid w:val="0"/>
              <w:spacing w:line="288" w:lineRule="auto"/>
              <w:rPr>
                <w:rFonts w:hint="default" w:hAnsi="宋体"/>
                <w:sz w:val="24"/>
                <w:szCs w:val="24"/>
              </w:rPr>
            </w:pPr>
            <w:r>
              <w:rPr>
                <w:rFonts w:hint="default" w:hAnsi="宋体"/>
                <w:sz w:val="24"/>
              </w:rPr>
              <w:t>考察地点：____________</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pStyle w:val="23"/>
              <w:adjustRightInd w:val="0"/>
              <w:snapToGrid w:val="0"/>
              <w:spacing w:line="288" w:lineRule="auto"/>
              <w:jc w:val="center"/>
              <w:rPr>
                <w:rFonts w:hint="default" w:hAnsi="宋体"/>
                <w:sz w:val="24"/>
                <w:szCs w:val="24"/>
              </w:rPr>
            </w:pPr>
          </w:p>
        </w:tc>
        <w:tc>
          <w:tcPr>
            <w:tcW w:w="1701" w:type="dxa"/>
            <w:vAlign w:val="center"/>
          </w:tcPr>
          <w:p>
            <w:pPr>
              <w:spacing w:line="288" w:lineRule="auto"/>
              <w:jc w:val="center"/>
              <w:rPr>
                <w:rFonts w:ascii="宋体" w:hAnsi="宋体"/>
                <w:sz w:val="24"/>
              </w:rPr>
            </w:pPr>
            <w:r>
              <w:rPr>
                <w:rFonts w:hint="eastAsia" w:ascii="宋体" w:hAnsi="宋体"/>
                <w:sz w:val="24"/>
              </w:rPr>
              <w:t>开选</w:t>
            </w:r>
            <w:r>
              <w:rPr>
                <w:rFonts w:ascii="宋体" w:hAnsi="宋体"/>
                <w:sz w:val="24"/>
              </w:rPr>
              <w:t>前答疑会</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pPr>
              <w:spacing w:line="288" w:lineRule="auto"/>
              <w:jc w:val="left"/>
              <w:rPr>
                <w:rFonts w:ascii="宋体" w:hAnsi="宋体"/>
                <w:sz w:val="24"/>
              </w:rPr>
            </w:pPr>
            <w:r>
              <w:rPr>
                <w:rFonts w:ascii="宋体" w:hAnsi="宋体"/>
                <w:sz w:val="24"/>
              </w:rPr>
              <w:t>召开地点：____________</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4.1</w:t>
            </w:r>
          </w:p>
        </w:tc>
        <w:tc>
          <w:tcPr>
            <w:tcW w:w="1701" w:type="dxa"/>
            <w:vAlign w:val="center"/>
          </w:tcPr>
          <w:p>
            <w:pPr>
              <w:spacing w:line="288" w:lineRule="auto"/>
              <w:jc w:val="center"/>
              <w:rPr>
                <w:rFonts w:ascii="宋体" w:hAnsi="宋体"/>
                <w:sz w:val="24"/>
              </w:rPr>
            </w:pPr>
            <w:r>
              <w:rPr>
                <w:rFonts w:ascii="宋体" w:hAnsi="宋体"/>
                <w:sz w:val="24"/>
              </w:rPr>
              <w:t>样品</w:t>
            </w:r>
          </w:p>
        </w:tc>
        <w:tc>
          <w:tcPr>
            <w:tcW w:w="7540" w:type="dxa"/>
            <w:vAlign w:val="center"/>
          </w:tcPr>
          <w:p>
            <w:pPr>
              <w:spacing w:line="288" w:lineRule="auto"/>
              <w:jc w:val="left"/>
              <w:rPr>
                <w:rFonts w:ascii="宋体" w:hAnsi="宋体"/>
                <w:sz w:val="24"/>
              </w:rPr>
            </w:pPr>
            <w:r>
              <w:rPr>
                <w:rFonts w:hint="eastAsia" w:ascii="宋体" w:hAnsi="宋体"/>
                <w:sz w:val="24"/>
              </w:rPr>
              <w:t>响应</w:t>
            </w:r>
            <w:r>
              <w:rPr>
                <w:rFonts w:ascii="宋体" w:hAnsi="宋体"/>
                <w:sz w:val="24"/>
              </w:rPr>
              <w:t>样品递交：</w:t>
            </w:r>
          </w:p>
          <w:p>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jc w:val="left"/>
              <w:rPr>
                <w:rFonts w:ascii="宋体" w:hAnsi="宋体"/>
                <w:sz w:val="24"/>
              </w:rPr>
            </w:pPr>
            <w:r>
              <w:rPr>
                <w:rFonts w:ascii="宋体" w:hAnsi="宋体"/>
                <w:sz w:val="24"/>
              </w:rPr>
              <w:t>□需要，具体要求如下：</w:t>
            </w:r>
          </w:p>
          <w:p>
            <w:pPr>
              <w:spacing w:line="288" w:lineRule="auto"/>
              <w:jc w:val="left"/>
              <w:rPr>
                <w:rFonts w:ascii="宋体" w:hAnsi="宋体"/>
                <w:sz w:val="24"/>
                <w:u w:val="single"/>
              </w:rPr>
            </w:pPr>
            <w:r>
              <w:rPr>
                <w:rFonts w:ascii="宋体" w:hAnsi="宋体"/>
                <w:sz w:val="24"/>
              </w:rPr>
              <w:t>（1）样品制作的标准和要求：____；</w:t>
            </w:r>
          </w:p>
          <w:p>
            <w:pPr>
              <w:spacing w:line="288" w:lineRule="auto"/>
              <w:jc w:val="left"/>
              <w:rPr>
                <w:rFonts w:ascii="宋体" w:hAnsi="宋体"/>
                <w:sz w:val="24"/>
              </w:rPr>
            </w:pPr>
            <w:r>
              <w:rPr>
                <w:rFonts w:ascii="宋体" w:hAnsi="宋体"/>
                <w:sz w:val="24"/>
              </w:rPr>
              <w:t>（2）是否需要随样品提交相关检测报告：</w:t>
            </w:r>
          </w:p>
          <w:p>
            <w:pPr>
              <w:spacing w:line="288" w:lineRule="auto"/>
              <w:ind w:firstLine="602" w:firstLineChars="250"/>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ind w:firstLine="600" w:firstLineChars="250"/>
              <w:jc w:val="left"/>
              <w:rPr>
                <w:rFonts w:ascii="宋体" w:hAnsi="宋体"/>
                <w:sz w:val="24"/>
              </w:rPr>
            </w:pPr>
            <w:r>
              <w:rPr>
                <w:rFonts w:ascii="宋体" w:hAnsi="宋体"/>
                <w:sz w:val="24"/>
              </w:rPr>
              <w:t>□需要</w:t>
            </w:r>
          </w:p>
          <w:p>
            <w:pPr>
              <w:spacing w:line="288" w:lineRule="auto"/>
              <w:jc w:val="left"/>
              <w:rPr>
                <w:rFonts w:ascii="宋体" w:hAnsi="宋体"/>
                <w:sz w:val="24"/>
              </w:rPr>
            </w:pPr>
            <w:r>
              <w:rPr>
                <w:rFonts w:ascii="宋体" w:hAnsi="宋体"/>
                <w:sz w:val="24"/>
              </w:rPr>
              <w:t>（3）样品递交要求：__</w:t>
            </w:r>
            <w:r>
              <w:rPr>
                <w:rFonts w:hint="eastAsia" w:ascii="宋体" w:hAnsi="宋体"/>
                <w:sz w:val="24"/>
              </w:rPr>
              <w:t xml:space="preserve">  </w:t>
            </w:r>
            <w:r>
              <w:rPr>
                <w:rFonts w:ascii="宋体" w:hAnsi="宋体"/>
                <w:sz w:val="24"/>
              </w:rPr>
              <w:t>_；</w:t>
            </w:r>
          </w:p>
          <w:p>
            <w:pPr>
              <w:spacing w:line="288" w:lineRule="auto"/>
              <w:jc w:val="left"/>
              <w:rPr>
                <w:rFonts w:ascii="宋体" w:hAnsi="宋体"/>
                <w:sz w:val="24"/>
              </w:rPr>
            </w:pPr>
            <w:r>
              <w:rPr>
                <w:rFonts w:ascii="宋体" w:hAnsi="宋体"/>
                <w:sz w:val="24"/>
              </w:rPr>
              <w:t>（4）未</w:t>
            </w:r>
            <w:r>
              <w:rPr>
                <w:rFonts w:hint="eastAsia" w:ascii="宋体" w:hAnsi="宋体"/>
                <w:sz w:val="24"/>
              </w:rPr>
              <w:t>成交人</w:t>
            </w:r>
            <w:r>
              <w:rPr>
                <w:rFonts w:ascii="宋体" w:hAnsi="宋体"/>
                <w:sz w:val="24"/>
              </w:rPr>
              <w:t>样品退还：__</w:t>
            </w:r>
            <w:r>
              <w:rPr>
                <w:rFonts w:hint="eastAsia" w:ascii="宋体" w:hAnsi="宋体"/>
                <w:sz w:val="24"/>
              </w:rPr>
              <w:t xml:space="preserve">   </w:t>
            </w:r>
            <w:r>
              <w:rPr>
                <w:rFonts w:ascii="宋体" w:hAnsi="宋体"/>
                <w:sz w:val="24"/>
              </w:rPr>
              <w:t>；</w:t>
            </w:r>
          </w:p>
          <w:p>
            <w:pPr>
              <w:spacing w:line="288" w:lineRule="auto"/>
              <w:jc w:val="left"/>
              <w:rPr>
                <w:rFonts w:ascii="宋体" w:hAnsi="宋体"/>
                <w:sz w:val="24"/>
                <w:u w:val="single"/>
              </w:rPr>
            </w:pPr>
            <w:r>
              <w:rPr>
                <w:rFonts w:ascii="宋体" w:hAnsi="宋体"/>
                <w:sz w:val="24"/>
              </w:rPr>
              <w:t>（5）</w:t>
            </w:r>
            <w:r>
              <w:rPr>
                <w:rFonts w:hint="eastAsia" w:ascii="宋体" w:hAnsi="宋体"/>
                <w:sz w:val="24"/>
              </w:rPr>
              <w:t>成交人</w:t>
            </w:r>
            <w:r>
              <w:rPr>
                <w:rFonts w:ascii="宋体" w:hAnsi="宋体"/>
                <w:sz w:val="24"/>
              </w:rPr>
              <w:t>样品保管、封存及退还：______；</w:t>
            </w:r>
          </w:p>
          <w:p>
            <w:pPr>
              <w:spacing w:line="288" w:lineRule="auto"/>
              <w:jc w:val="left"/>
              <w:rPr>
                <w:rFonts w:ascii="宋体" w:hAnsi="宋体"/>
                <w:sz w:val="24"/>
              </w:rPr>
            </w:pPr>
            <w:r>
              <w:rPr>
                <w:rFonts w:ascii="宋体" w:hAnsi="宋体"/>
                <w:sz w:val="24"/>
              </w:rPr>
              <w:t>（6）其他要求：</w:t>
            </w:r>
            <w:r>
              <w:rPr>
                <w:rFonts w:hint="eastAsia" w:ascii="宋体" w:hAnsi="宋体"/>
                <w:sz w:val="24"/>
                <w:u w:val="single"/>
              </w:rPr>
              <w:t xml:space="preserve"> /  </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5.2.5</w:t>
            </w:r>
          </w:p>
        </w:tc>
        <w:tc>
          <w:tcPr>
            <w:tcW w:w="1701" w:type="dxa"/>
            <w:vAlign w:val="center"/>
          </w:tcPr>
          <w:p>
            <w:pPr>
              <w:spacing w:line="288" w:lineRule="auto"/>
              <w:jc w:val="center"/>
              <w:rPr>
                <w:rFonts w:ascii="宋体" w:hAnsi="宋体"/>
                <w:sz w:val="24"/>
              </w:rPr>
            </w:pPr>
            <w:r>
              <w:rPr>
                <w:rFonts w:ascii="宋体" w:hAnsi="宋体"/>
                <w:sz w:val="24"/>
              </w:rPr>
              <w:t>标的所属行业</w:t>
            </w:r>
          </w:p>
        </w:tc>
        <w:tc>
          <w:tcPr>
            <w:tcW w:w="7540" w:type="dxa"/>
            <w:vAlign w:val="center"/>
          </w:tcPr>
          <w:p>
            <w:pPr>
              <w:spacing w:line="288" w:lineRule="auto"/>
              <w:jc w:val="left"/>
              <w:rPr>
                <w:rFonts w:ascii="宋体" w:hAnsi="宋体"/>
                <w:sz w:val="24"/>
              </w:rPr>
            </w:pPr>
            <w:r>
              <w:rPr>
                <w:rFonts w:ascii="宋体" w:hAnsi="宋体"/>
                <w:sz w:val="24"/>
              </w:rPr>
              <w:t>本项目采购标的对应的中小企业划分标准所属行业：</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886"/>
              <w:gridCol w:w="4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包号</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01</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int="eastAsia"/>
                      <w:kern w:val="0"/>
                      <w:sz w:val="24"/>
                    </w:rPr>
                    <w:t>物业服务</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int="eastAsia"/>
                      <w:kern w:val="0"/>
                      <w:sz w:val="24"/>
                    </w:rPr>
                    <w:t>物业管理</w:t>
                  </w:r>
                </w:p>
              </w:tc>
            </w:tr>
          </w:tbl>
          <w:p>
            <w:pPr>
              <w:spacing w:line="288"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pPr>
              <w:spacing w:line="288" w:lineRule="auto"/>
              <w:jc w:val="center"/>
              <w:rPr>
                <w:rFonts w:ascii="宋体" w:hAnsi="宋体"/>
                <w:sz w:val="24"/>
              </w:rPr>
            </w:pPr>
            <w:r>
              <w:rPr>
                <w:rFonts w:hint="eastAsia" w:ascii="宋体" w:hAnsi="宋体"/>
                <w:sz w:val="24"/>
              </w:rPr>
              <w:t>响应报价</w:t>
            </w:r>
          </w:p>
        </w:tc>
        <w:tc>
          <w:tcPr>
            <w:tcW w:w="7540" w:type="dxa"/>
            <w:vAlign w:val="center"/>
          </w:tcPr>
          <w:p>
            <w:pPr>
              <w:spacing w:line="288" w:lineRule="auto"/>
              <w:jc w:val="left"/>
              <w:rPr>
                <w:rFonts w:ascii="宋体" w:hAnsi="宋体"/>
                <w:sz w:val="24"/>
              </w:rPr>
            </w:pPr>
            <w:r>
              <w:rPr>
                <w:rFonts w:hint="eastAsia" w:ascii="宋体" w:hAnsi="宋体"/>
                <w:sz w:val="24"/>
              </w:rPr>
              <w:t>响应报价的特殊规定：</w:t>
            </w:r>
          </w:p>
          <w:p>
            <w:pPr>
              <w:spacing w:line="288" w:lineRule="auto"/>
              <w:jc w:val="left"/>
              <w:rPr>
                <w:rFonts w:ascii="宋体" w:hAnsi="宋体"/>
                <w:sz w:val="24"/>
              </w:rPr>
            </w:pPr>
            <w:r>
              <w:rPr>
                <w:rFonts w:ascii="宋体" w:hAnsi="宋体"/>
                <w:b/>
                <w:color w:val="000000"/>
                <w:sz w:val="24"/>
              </w:rPr>
              <w:t>■</w:t>
            </w:r>
            <w:r>
              <w:rPr>
                <w:rFonts w:ascii="宋体" w:hAnsi="宋体"/>
                <w:sz w:val="24"/>
              </w:rPr>
              <w:t>无</w:t>
            </w:r>
          </w:p>
          <w:p>
            <w:pPr>
              <w:spacing w:line="288" w:lineRule="auto"/>
              <w:jc w:val="left"/>
              <w:rPr>
                <w:rFonts w:ascii="宋体" w:hAnsi="宋体"/>
                <w:sz w:val="24"/>
                <w:u w:val="single"/>
              </w:rPr>
            </w:pPr>
            <w:r>
              <w:rPr>
                <w:rFonts w:ascii="宋体" w:hAnsi="宋体"/>
                <w:sz w:val="24"/>
              </w:rPr>
              <w:t xml:space="preserve">□有，具体情形： </w:t>
            </w:r>
            <w:r>
              <w:rPr>
                <w:rFonts w:hint="eastAsia" w:ascii="宋体" w:hAnsi="宋体"/>
                <w:sz w:val="24"/>
                <w:u w:val="single"/>
              </w:rPr>
              <w:t xml:space="preserve"> </w:t>
            </w:r>
            <w:r>
              <w:rPr>
                <w:rFonts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12.1</w:t>
            </w:r>
          </w:p>
        </w:tc>
        <w:tc>
          <w:tcPr>
            <w:tcW w:w="1701" w:type="dxa"/>
            <w:vMerge w:val="restart"/>
            <w:vAlign w:val="center"/>
          </w:tcPr>
          <w:p>
            <w:pPr>
              <w:spacing w:line="288" w:lineRule="auto"/>
              <w:jc w:val="center"/>
              <w:rPr>
                <w:rFonts w:ascii="宋体" w:hAnsi="宋体"/>
                <w:sz w:val="24"/>
              </w:rPr>
            </w:pPr>
            <w:r>
              <w:rPr>
                <w:rFonts w:hint="eastAsia" w:ascii="宋体" w:hAnsi="宋体"/>
                <w:sz w:val="24"/>
              </w:rPr>
              <w:t>报价保证金</w:t>
            </w:r>
          </w:p>
        </w:tc>
        <w:tc>
          <w:tcPr>
            <w:tcW w:w="7540" w:type="dxa"/>
            <w:vAlign w:val="center"/>
          </w:tcPr>
          <w:p>
            <w:pPr>
              <w:pStyle w:val="23"/>
              <w:adjustRightInd w:val="0"/>
              <w:snapToGrid w:val="0"/>
              <w:spacing w:line="288" w:lineRule="auto"/>
              <w:rPr>
                <w:rFonts w:hint="default" w:hAnsi="宋体"/>
                <w:sz w:val="24"/>
                <w:szCs w:val="24"/>
              </w:rPr>
            </w:pPr>
            <w:r>
              <w:rPr>
                <w:rFonts w:hAnsi="宋体"/>
                <w:sz w:val="24"/>
                <w:szCs w:val="24"/>
              </w:rPr>
              <w:t>报价保证金</w:t>
            </w:r>
            <w:r>
              <w:rPr>
                <w:rFonts w:hint="default" w:hAnsi="宋体"/>
                <w:sz w:val="24"/>
                <w:szCs w:val="24"/>
              </w:rPr>
              <w:t>金额：</w:t>
            </w:r>
          </w:p>
          <w:p>
            <w:pPr>
              <w:pStyle w:val="23"/>
              <w:adjustRightInd w:val="0"/>
              <w:snapToGrid w:val="0"/>
              <w:spacing w:line="288" w:lineRule="auto"/>
              <w:rPr>
                <w:rFonts w:hint="default" w:hAnsi="宋体"/>
                <w:sz w:val="24"/>
                <w:szCs w:val="24"/>
              </w:rPr>
            </w:pPr>
            <w:r>
              <w:rPr>
                <w:rFonts w:hint="default" w:hAnsi="宋体"/>
                <w:sz w:val="24"/>
                <w:szCs w:val="24"/>
              </w:rPr>
              <w:t>01包：</w:t>
            </w:r>
            <w:r>
              <w:rPr>
                <w:rFonts w:hAnsi="宋体"/>
                <w:sz w:val="24"/>
                <w:u w:val="single"/>
              </w:rPr>
              <w:t>人民币59850</w:t>
            </w:r>
            <w:r>
              <w:rPr>
                <w:rFonts w:hAnsi="宋体"/>
                <w:sz w:val="24"/>
              </w:rPr>
              <w:t>元</w:t>
            </w:r>
            <w:r>
              <w:rPr>
                <w:rFonts w:hint="default" w:hAnsi="宋体"/>
                <w:sz w:val="24"/>
                <w:szCs w:val="24"/>
              </w:rPr>
              <w:t>；</w:t>
            </w:r>
          </w:p>
          <w:p>
            <w:pPr>
              <w:spacing w:line="288" w:lineRule="auto"/>
              <w:jc w:val="left"/>
              <w:rPr>
                <w:rFonts w:ascii="宋体" w:hAnsi="宋体"/>
                <w:sz w:val="24"/>
                <w:u w:val="single"/>
              </w:rPr>
            </w:pPr>
            <w:r>
              <w:rPr>
                <w:rFonts w:hint="eastAsia" w:ascii="宋体" w:hAnsi="宋体"/>
                <w:sz w:val="24"/>
              </w:rPr>
              <w:t>报价保证金</w:t>
            </w:r>
            <w:r>
              <w:rPr>
                <w:rFonts w:ascii="宋体" w:hAnsi="宋体"/>
                <w:sz w:val="24"/>
              </w:rPr>
              <w:t>收受人信息：</w:t>
            </w:r>
          </w:p>
          <w:p>
            <w:pPr>
              <w:spacing w:line="288" w:lineRule="auto"/>
              <w:jc w:val="left"/>
              <w:rPr>
                <w:sz w:val="24"/>
              </w:rPr>
            </w:pPr>
            <w:r>
              <w:rPr>
                <w:rFonts w:hint="eastAsia"/>
                <w:sz w:val="24"/>
              </w:rPr>
              <w:t>账户名称：北京明德致信咨询有限公司</w:t>
            </w:r>
          </w:p>
          <w:p>
            <w:pPr>
              <w:spacing w:line="288" w:lineRule="auto"/>
              <w:jc w:val="left"/>
              <w:rPr>
                <w:sz w:val="24"/>
              </w:rPr>
            </w:pPr>
            <w:r>
              <w:rPr>
                <w:rFonts w:hint="eastAsia"/>
                <w:sz w:val="24"/>
              </w:rPr>
              <w:t>开 户 行：中国工商银行股份有限公司北京东升路支行</w:t>
            </w:r>
          </w:p>
          <w:p>
            <w:pPr>
              <w:spacing w:line="288" w:lineRule="auto"/>
              <w:jc w:val="left"/>
              <w:rPr>
                <w:sz w:val="24"/>
              </w:rPr>
            </w:pPr>
            <w:r>
              <w:rPr>
                <w:rFonts w:hint="eastAsia"/>
                <w:sz w:val="24"/>
              </w:rPr>
              <w:t>账    号：0200 0062 1920 0492 968</w:t>
            </w:r>
            <w:r>
              <w:rPr>
                <w:sz w:val="24"/>
              </w:rPr>
              <w:t xml:space="preserve"> </w:t>
            </w:r>
          </w:p>
          <w:p>
            <w:pPr>
              <w:spacing w:line="288" w:lineRule="auto"/>
              <w:jc w:val="left"/>
              <w:rPr>
                <w:rFonts w:ascii="宋体" w:hAnsi="宋体"/>
                <w:sz w:val="24"/>
              </w:rPr>
            </w:pPr>
            <w:r>
              <w:rPr>
                <w:rFonts w:hint="eastAsia" w:ascii="宋体" w:hAnsi="宋体"/>
                <w:sz w:val="24"/>
              </w:rPr>
              <w:t>注：汇款或转账时请务必附言“项目编号+用途”，例如：ZC22-0340保证金。</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12.7.2</w:t>
            </w:r>
          </w:p>
        </w:tc>
        <w:tc>
          <w:tcPr>
            <w:tcW w:w="1701" w:type="dxa"/>
            <w:vMerge w:val="continue"/>
            <w:vAlign w:val="center"/>
          </w:tcPr>
          <w:p>
            <w:pPr>
              <w:spacing w:line="288" w:lineRule="auto"/>
              <w:jc w:val="center"/>
              <w:rPr>
                <w:rFonts w:ascii="宋体" w:hAnsi="宋体"/>
                <w:sz w:val="24"/>
              </w:rPr>
            </w:pPr>
          </w:p>
        </w:tc>
        <w:tc>
          <w:tcPr>
            <w:tcW w:w="7540" w:type="dxa"/>
            <w:vAlign w:val="center"/>
          </w:tcPr>
          <w:p>
            <w:pPr>
              <w:spacing w:line="288" w:lineRule="auto"/>
              <w:jc w:val="left"/>
              <w:rPr>
                <w:rFonts w:ascii="宋体" w:hAnsi="宋体"/>
                <w:sz w:val="24"/>
              </w:rPr>
            </w:pPr>
            <w:r>
              <w:rPr>
                <w:rFonts w:hint="eastAsia" w:ascii="宋体" w:hAnsi="宋体"/>
                <w:sz w:val="24"/>
              </w:rPr>
              <w:t>报价保证金</w:t>
            </w:r>
            <w:r>
              <w:rPr>
                <w:rFonts w:ascii="宋体" w:hAnsi="宋体"/>
                <w:sz w:val="24"/>
              </w:rPr>
              <w:t>可以不予退还的其他情形：</w:t>
            </w:r>
          </w:p>
          <w:p>
            <w:pPr>
              <w:spacing w:line="288" w:lineRule="auto"/>
              <w:jc w:val="left"/>
              <w:rPr>
                <w:rFonts w:ascii="宋体" w:hAnsi="宋体"/>
                <w:sz w:val="24"/>
              </w:rPr>
            </w:pPr>
            <w:r>
              <w:rPr>
                <w:rFonts w:ascii="宋体" w:hAnsi="宋体"/>
                <w:sz w:val="24"/>
              </w:rPr>
              <w:t>□无</w:t>
            </w:r>
          </w:p>
          <w:p>
            <w:pPr>
              <w:pStyle w:val="23"/>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有，具体情形：</w:t>
            </w:r>
          </w:p>
          <w:p>
            <w:pPr>
              <w:pStyle w:val="23"/>
              <w:tabs>
                <w:tab w:val="left" w:pos="2240"/>
              </w:tabs>
              <w:spacing w:line="360" w:lineRule="auto"/>
              <w:rPr>
                <w:rFonts w:hint="default" w:hAnsi="宋体"/>
                <w:sz w:val="24"/>
                <w:szCs w:val="24"/>
              </w:rPr>
            </w:pPr>
            <w:r>
              <w:rPr>
                <w:rFonts w:hAnsi="宋体"/>
                <w:sz w:val="24"/>
                <w:szCs w:val="24"/>
              </w:rPr>
              <w:t>（1）在开选之日后到报价有效期满前，供应商因自身原因撤回响应文件的；</w:t>
            </w:r>
          </w:p>
          <w:p>
            <w:pPr>
              <w:pStyle w:val="23"/>
              <w:tabs>
                <w:tab w:val="left" w:pos="2240"/>
              </w:tabs>
              <w:spacing w:line="360" w:lineRule="auto"/>
              <w:rPr>
                <w:rFonts w:hint="default" w:hAnsi="宋体"/>
                <w:sz w:val="24"/>
                <w:szCs w:val="24"/>
              </w:rPr>
            </w:pPr>
            <w:r>
              <w:rPr>
                <w:rFonts w:hAnsi="宋体"/>
                <w:sz w:val="24"/>
                <w:szCs w:val="24"/>
              </w:rPr>
              <w:t>（2）供应商以他人名义响应、相互串通响应或者以其他方式弄虚作假的，供应商提交的响应文件中提交虚假资料或失实资料的；</w:t>
            </w:r>
          </w:p>
          <w:p>
            <w:pPr>
              <w:pStyle w:val="23"/>
              <w:tabs>
                <w:tab w:val="left" w:pos="2240"/>
              </w:tabs>
              <w:spacing w:line="360" w:lineRule="auto"/>
              <w:rPr>
                <w:rFonts w:hint="default" w:hAnsi="宋体"/>
                <w:sz w:val="24"/>
                <w:szCs w:val="24"/>
              </w:rPr>
            </w:pPr>
            <w:r>
              <w:rPr>
                <w:rFonts w:hAnsi="宋体"/>
                <w:sz w:val="24"/>
                <w:szCs w:val="24"/>
              </w:rPr>
              <w:t>（3）除因不可抗力或比选文件认可的情形以外，成交人放弃成交或者不按比选文件规定与采购人签订合同的；</w:t>
            </w:r>
          </w:p>
          <w:p>
            <w:pPr>
              <w:pStyle w:val="23"/>
              <w:tabs>
                <w:tab w:val="left" w:pos="2240"/>
              </w:tabs>
              <w:spacing w:line="360" w:lineRule="auto"/>
              <w:rPr>
                <w:rFonts w:hint="default" w:hAnsi="宋体"/>
                <w:sz w:val="24"/>
                <w:szCs w:val="24"/>
              </w:rPr>
            </w:pPr>
            <w:r>
              <w:rPr>
                <w:rFonts w:hAnsi="宋体"/>
                <w:sz w:val="24"/>
                <w:szCs w:val="24"/>
              </w:rPr>
              <w:t>（4）成交人未按比选文件规定缴纳成交服务费的；</w:t>
            </w:r>
          </w:p>
          <w:p>
            <w:pPr>
              <w:pStyle w:val="23"/>
              <w:tabs>
                <w:tab w:val="left" w:pos="2240"/>
              </w:tabs>
              <w:spacing w:line="360" w:lineRule="auto"/>
              <w:rPr>
                <w:rFonts w:hint="default" w:hAnsi="宋体"/>
                <w:sz w:val="24"/>
                <w:szCs w:val="24"/>
              </w:rPr>
            </w:pPr>
            <w:r>
              <w:rPr>
                <w:rFonts w:hAnsi="宋体"/>
                <w:sz w:val="24"/>
                <w:szCs w:val="24"/>
              </w:rPr>
              <w:t>（5）比选文件规定的其他情形。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13.1</w:t>
            </w:r>
          </w:p>
        </w:tc>
        <w:tc>
          <w:tcPr>
            <w:tcW w:w="1701" w:type="dxa"/>
            <w:vAlign w:val="center"/>
          </w:tcPr>
          <w:p>
            <w:pPr>
              <w:spacing w:line="288" w:lineRule="auto"/>
              <w:jc w:val="center"/>
              <w:rPr>
                <w:rFonts w:ascii="宋体" w:hAnsi="宋体"/>
                <w:sz w:val="24"/>
              </w:rPr>
            </w:pPr>
            <w:r>
              <w:rPr>
                <w:rFonts w:hint="eastAsia" w:ascii="宋体" w:hAnsi="宋体"/>
                <w:sz w:val="24"/>
              </w:rPr>
              <w:t>报价有效期</w:t>
            </w:r>
          </w:p>
        </w:tc>
        <w:tc>
          <w:tcPr>
            <w:tcW w:w="7540" w:type="dxa"/>
            <w:vAlign w:val="center"/>
          </w:tcPr>
          <w:p>
            <w:pPr>
              <w:spacing w:line="288" w:lineRule="auto"/>
              <w:jc w:val="left"/>
              <w:rPr>
                <w:rFonts w:ascii="宋体" w:hAnsi="宋体"/>
                <w:sz w:val="24"/>
              </w:rPr>
            </w:pPr>
            <w:r>
              <w:rPr>
                <w:rFonts w:ascii="宋体" w:hAnsi="宋体"/>
                <w:sz w:val="24"/>
              </w:rPr>
              <w:t>自提交</w:t>
            </w:r>
            <w:r>
              <w:rPr>
                <w:rFonts w:hint="eastAsia" w:ascii="宋体" w:hAnsi="宋体"/>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4.1</w:t>
            </w:r>
          </w:p>
        </w:tc>
        <w:tc>
          <w:tcPr>
            <w:tcW w:w="1701" w:type="dxa"/>
            <w:vAlign w:val="center"/>
          </w:tcPr>
          <w:p>
            <w:pPr>
              <w:spacing w:line="288" w:lineRule="auto"/>
              <w:jc w:val="center"/>
              <w:rPr>
                <w:rFonts w:ascii="宋体" w:hAnsi="宋体"/>
                <w:sz w:val="24"/>
              </w:rPr>
            </w:pPr>
            <w:r>
              <w:rPr>
                <w:rFonts w:hint="eastAsia" w:ascii="宋体" w:hAnsi="宋体"/>
                <w:sz w:val="24"/>
              </w:rPr>
              <w:t>响应文件份数</w:t>
            </w:r>
          </w:p>
        </w:tc>
        <w:tc>
          <w:tcPr>
            <w:tcW w:w="7540" w:type="dxa"/>
            <w:vAlign w:val="center"/>
          </w:tcPr>
          <w:p>
            <w:pPr>
              <w:spacing w:line="360" w:lineRule="auto"/>
              <w:rPr>
                <w:rFonts w:ascii="宋体" w:hAnsi="宋体"/>
                <w:sz w:val="24"/>
              </w:rPr>
            </w:pPr>
            <w:r>
              <w:rPr>
                <w:rFonts w:hint="eastAsia" w:ascii="宋体" w:hAnsi="宋体"/>
                <w:sz w:val="24"/>
              </w:rPr>
              <w:t>响应文件：正本：</w:t>
            </w:r>
            <w:r>
              <w:rPr>
                <w:rFonts w:ascii="宋体" w:hAnsi="宋体"/>
                <w:sz w:val="24"/>
              </w:rPr>
              <w:t>1份；副本：</w:t>
            </w:r>
            <w:r>
              <w:rPr>
                <w:rFonts w:hint="eastAsia" w:ascii="宋体" w:hAnsi="宋体"/>
                <w:sz w:val="24"/>
              </w:rPr>
              <w:t>2</w:t>
            </w:r>
            <w:r>
              <w:rPr>
                <w:rFonts w:ascii="宋体" w:hAnsi="宋体"/>
                <w:sz w:val="24"/>
              </w:rPr>
              <w:t>份；电子版：1份</w:t>
            </w:r>
            <w:r>
              <w:rPr>
                <w:rFonts w:hint="eastAsia" w:ascii="宋体" w:hAnsi="宋体"/>
                <w:sz w:val="24"/>
              </w:rPr>
              <w:t>；</w:t>
            </w:r>
          </w:p>
          <w:p>
            <w:pPr>
              <w:spacing w:line="360" w:lineRule="auto"/>
              <w:rPr>
                <w:rFonts w:ascii="宋体" w:hAnsi="宋体"/>
                <w:sz w:val="24"/>
              </w:rPr>
            </w:pPr>
            <w:r>
              <w:rPr>
                <w:rFonts w:hint="eastAsia" w:ascii="宋体" w:hAnsi="宋体"/>
                <w:sz w:val="24"/>
              </w:rPr>
              <w:t>电子版内容为响应文件的word格式可编辑版本和正本盖章后扫描的PDF文本格式，电子版响应文件以U盘形式提交。</w:t>
            </w:r>
          </w:p>
          <w:p>
            <w:pPr>
              <w:spacing w:line="360" w:lineRule="auto"/>
              <w:rPr>
                <w:rFonts w:ascii="宋体" w:hAnsi="宋体"/>
                <w:sz w:val="24"/>
              </w:rPr>
            </w:pPr>
            <w:r>
              <w:rPr>
                <w:rFonts w:hint="eastAsia" w:ascii="宋体" w:hAnsi="宋体"/>
                <w:sz w:val="24"/>
              </w:rPr>
              <w:t>此外，还应提交单独密封的开选一览表和报价保证金各1份。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22.1</w:t>
            </w:r>
          </w:p>
        </w:tc>
        <w:tc>
          <w:tcPr>
            <w:tcW w:w="1701" w:type="dxa"/>
            <w:vAlign w:val="center"/>
          </w:tcPr>
          <w:p>
            <w:pPr>
              <w:spacing w:line="288" w:lineRule="auto"/>
              <w:jc w:val="center"/>
              <w:rPr>
                <w:rFonts w:ascii="宋体" w:hAnsi="宋体"/>
                <w:color w:val="000000"/>
                <w:sz w:val="24"/>
              </w:rPr>
            </w:pPr>
            <w:r>
              <w:rPr>
                <w:rFonts w:ascii="宋体" w:hAnsi="宋体"/>
                <w:color w:val="000000"/>
                <w:sz w:val="24"/>
              </w:rPr>
              <w:t>确定</w:t>
            </w:r>
            <w:r>
              <w:rPr>
                <w:rFonts w:hint="eastAsia" w:ascii="宋体" w:hAnsi="宋体"/>
                <w:color w:val="000000"/>
                <w:sz w:val="24"/>
              </w:rPr>
              <w:t>成交人</w:t>
            </w:r>
          </w:p>
        </w:tc>
        <w:tc>
          <w:tcPr>
            <w:tcW w:w="7540" w:type="dxa"/>
            <w:vAlign w:val="center"/>
          </w:tcPr>
          <w:p>
            <w:pPr>
              <w:pStyle w:val="23"/>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候选人并列的，采购人是否委托评标委员会确定</w:t>
            </w:r>
            <w:r>
              <w:rPr>
                <w:rFonts w:hAnsi="宋体"/>
                <w:sz w:val="24"/>
                <w:szCs w:val="24"/>
              </w:rPr>
              <w:t>成交人</w:t>
            </w:r>
            <w:r>
              <w:rPr>
                <w:rFonts w:hint="default" w:hAnsi="宋体"/>
                <w:sz w:val="24"/>
                <w:szCs w:val="24"/>
              </w:rPr>
              <w:t>：</w:t>
            </w:r>
          </w:p>
          <w:p>
            <w:pPr>
              <w:pStyle w:val="23"/>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否</w:t>
            </w:r>
          </w:p>
          <w:p>
            <w:pPr>
              <w:pStyle w:val="23"/>
              <w:adjustRightInd w:val="0"/>
              <w:snapToGrid w:val="0"/>
              <w:spacing w:line="288" w:lineRule="auto"/>
              <w:rPr>
                <w:rFonts w:hint="default" w:hAnsi="宋体"/>
                <w:sz w:val="24"/>
                <w:szCs w:val="24"/>
              </w:rPr>
            </w:pPr>
            <w:r>
              <w:rPr>
                <w:rFonts w:hint="default" w:hAnsi="宋体"/>
                <w:sz w:val="24"/>
                <w:szCs w:val="24"/>
              </w:rPr>
              <w:t>□是</w:t>
            </w:r>
          </w:p>
          <w:p>
            <w:pPr>
              <w:pStyle w:val="23"/>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候选人并列的，按照以下方式确定</w:t>
            </w:r>
            <w:r>
              <w:rPr>
                <w:rFonts w:hAnsi="宋体"/>
                <w:sz w:val="24"/>
                <w:szCs w:val="24"/>
              </w:rPr>
              <w:t>成交人</w:t>
            </w:r>
            <w:r>
              <w:rPr>
                <w:rFonts w:hint="default" w:hAnsi="宋体"/>
                <w:sz w:val="24"/>
                <w:szCs w:val="24"/>
              </w:rPr>
              <w:t>：</w:t>
            </w:r>
          </w:p>
          <w:p>
            <w:pPr>
              <w:pStyle w:val="23"/>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得分且</w:t>
            </w:r>
            <w:r>
              <w:rPr>
                <w:rFonts w:hAnsi="宋体"/>
                <w:sz w:val="24"/>
                <w:szCs w:val="24"/>
              </w:rPr>
              <w:t>响应</w:t>
            </w:r>
            <w:r>
              <w:rPr>
                <w:rFonts w:hint="default" w:hAnsi="宋体"/>
                <w:sz w:val="24"/>
                <w:szCs w:val="24"/>
              </w:rPr>
              <w:t>报价均相同的，以</w:t>
            </w:r>
            <w:r>
              <w:rPr>
                <w:rFonts w:hAnsi="宋体"/>
                <w:sz w:val="24"/>
                <w:szCs w:val="24"/>
                <w:u w:val="single"/>
              </w:rPr>
              <w:t>技术部分</w:t>
            </w:r>
            <w:r>
              <w:rPr>
                <w:rFonts w:hint="default" w:hAnsi="宋体"/>
                <w:sz w:val="24"/>
                <w:szCs w:val="24"/>
              </w:rPr>
              <w:t>得分高者为</w:t>
            </w:r>
            <w:r>
              <w:rPr>
                <w:rFonts w:hAnsi="宋体"/>
                <w:sz w:val="24"/>
                <w:szCs w:val="24"/>
              </w:rPr>
              <w:t>成交人</w:t>
            </w:r>
          </w:p>
          <w:p>
            <w:pPr>
              <w:spacing w:line="288" w:lineRule="auto"/>
              <w:jc w:val="left"/>
              <w:rPr>
                <w:rFonts w:ascii="宋体" w:hAnsi="宋体"/>
                <w:sz w:val="24"/>
                <w:u w:val="single"/>
              </w:rPr>
            </w:pPr>
            <w:r>
              <w:rPr>
                <w:rFonts w:ascii="宋体" w:hAnsi="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25.5</w:t>
            </w:r>
          </w:p>
        </w:tc>
        <w:tc>
          <w:tcPr>
            <w:tcW w:w="1701" w:type="dxa"/>
            <w:vAlign w:val="center"/>
          </w:tcPr>
          <w:p>
            <w:pPr>
              <w:spacing w:line="288" w:lineRule="auto"/>
              <w:jc w:val="center"/>
              <w:rPr>
                <w:rFonts w:ascii="宋体" w:hAnsi="宋体"/>
                <w:sz w:val="24"/>
              </w:rPr>
            </w:pPr>
            <w:r>
              <w:rPr>
                <w:rFonts w:ascii="宋体" w:hAnsi="宋体"/>
                <w:sz w:val="24"/>
              </w:rPr>
              <w:t>分包</w:t>
            </w:r>
          </w:p>
        </w:tc>
        <w:tc>
          <w:tcPr>
            <w:tcW w:w="7540" w:type="dxa"/>
            <w:vAlign w:val="center"/>
          </w:tcPr>
          <w:p>
            <w:pPr>
              <w:spacing w:line="288" w:lineRule="auto"/>
              <w:jc w:val="left"/>
              <w:rPr>
                <w:rFonts w:ascii="宋体" w:hAnsi="宋体"/>
                <w:sz w:val="24"/>
              </w:rPr>
            </w:pPr>
            <w:r>
              <w:rPr>
                <w:rFonts w:ascii="宋体" w:hAnsi="宋体"/>
                <w:sz w:val="24"/>
              </w:rPr>
              <w:t xml:space="preserve">本项目的非主体、非关键性工作是否允许分包： </w:t>
            </w:r>
          </w:p>
          <w:p>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pPr>
              <w:spacing w:line="288" w:lineRule="auto"/>
              <w:jc w:val="left"/>
              <w:rPr>
                <w:rFonts w:ascii="宋体" w:hAnsi="宋体"/>
                <w:sz w:val="24"/>
              </w:rPr>
            </w:pPr>
            <w:r>
              <w:rPr>
                <w:rFonts w:ascii="宋体" w:hAnsi="宋体"/>
                <w:sz w:val="24"/>
              </w:rPr>
              <w:t>□允许，具体要求：</w:t>
            </w:r>
          </w:p>
          <w:p>
            <w:pPr>
              <w:spacing w:line="288" w:lineRule="auto"/>
              <w:jc w:val="left"/>
              <w:rPr>
                <w:rFonts w:ascii="宋体" w:hAnsi="宋体"/>
                <w:sz w:val="24"/>
              </w:rPr>
            </w:pPr>
            <w:r>
              <w:rPr>
                <w:rFonts w:ascii="宋体" w:hAnsi="宋体"/>
                <w:sz w:val="24"/>
              </w:rPr>
              <w:t>（1）可以分包履行的具体内容：_____；</w:t>
            </w:r>
          </w:p>
          <w:p>
            <w:pPr>
              <w:spacing w:line="288" w:lineRule="auto"/>
              <w:jc w:val="left"/>
              <w:rPr>
                <w:rFonts w:ascii="宋体" w:hAnsi="宋体"/>
                <w:sz w:val="24"/>
              </w:rPr>
            </w:pPr>
            <w:r>
              <w:rPr>
                <w:rFonts w:ascii="宋体" w:hAnsi="宋体"/>
                <w:sz w:val="24"/>
              </w:rPr>
              <w:t>（2）允许分包的金额或者比例：_____；</w:t>
            </w:r>
          </w:p>
          <w:p>
            <w:pPr>
              <w:spacing w:line="288" w:lineRule="auto"/>
              <w:jc w:val="left"/>
              <w:rPr>
                <w:rFonts w:ascii="宋体" w:hAnsi="宋体"/>
                <w:sz w:val="24"/>
                <w:u w:val="single"/>
              </w:rPr>
            </w:pPr>
            <w:r>
              <w:rPr>
                <w:rFonts w:ascii="宋体" w:hAnsi="宋体"/>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26.1.1</w:t>
            </w:r>
          </w:p>
        </w:tc>
        <w:tc>
          <w:tcPr>
            <w:tcW w:w="1701" w:type="dxa"/>
            <w:vAlign w:val="center"/>
          </w:tcPr>
          <w:p>
            <w:pPr>
              <w:spacing w:line="288" w:lineRule="auto"/>
              <w:jc w:val="center"/>
              <w:rPr>
                <w:rFonts w:ascii="宋体" w:hAnsi="宋体"/>
                <w:sz w:val="24"/>
              </w:rPr>
            </w:pPr>
            <w:r>
              <w:rPr>
                <w:rFonts w:ascii="宋体" w:hAnsi="宋体"/>
                <w:sz w:val="24"/>
              </w:rPr>
              <w:t>询问</w:t>
            </w:r>
          </w:p>
        </w:tc>
        <w:tc>
          <w:tcPr>
            <w:tcW w:w="7540" w:type="dxa"/>
            <w:vAlign w:val="center"/>
          </w:tcPr>
          <w:p>
            <w:pPr>
              <w:spacing w:line="288" w:lineRule="auto"/>
              <w:jc w:val="left"/>
              <w:rPr>
                <w:rFonts w:ascii="宋体" w:hAnsi="宋体"/>
                <w:sz w:val="24"/>
              </w:rPr>
            </w:pPr>
            <w:r>
              <w:rPr>
                <w:rFonts w:ascii="宋体" w:hAnsi="宋体"/>
                <w:sz w:val="24"/>
              </w:rPr>
              <w:t>询问送达形式：</w:t>
            </w:r>
            <w:r>
              <w:rPr>
                <w:rFonts w:hint="eastAsia" w:ascii="宋体" w:hAnsi="宋体"/>
                <w:sz w:val="24"/>
                <w:u w:val="singl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26.3</w:t>
            </w:r>
          </w:p>
        </w:tc>
        <w:tc>
          <w:tcPr>
            <w:tcW w:w="1701" w:type="dxa"/>
            <w:vAlign w:val="center"/>
          </w:tcPr>
          <w:p>
            <w:pPr>
              <w:spacing w:line="288" w:lineRule="auto"/>
              <w:jc w:val="center"/>
              <w:rPr>
                <w:rFonts w:ascii="宋体" w:hAnsi="宋体"/>
                <w:sz w:val="24"/>
              </w:rPr>
            </w:pPr>
            <w:r>
              <w:rPr>
                <w:rFonts w:ascii="宋体" w:hAnsi="宋体"/>
                <w:sz w:val="24"/>
              </w:rPr>
              <w:t>联系方式</w:t>
            </w:r>
          </w:p>
        </w:tc>
        <w:tc>
          <w:tcPr>
            <w:tcW w:w="7540" w:type="dxa"/>
            <w:vAlign w:val="center"/>
          </w:tcPr>
          <w:p>
            <w:pPr>
              <w:spacing w:line="288" w:lineRule="auto"/>
              <w:jc w:val="left"/>
              <w:rPr>
                <w:rFonts w:ascii="宋体" w:hAnsi="宋体"/>
                <w:sz w:val="24"/>
              </w:rPr>
            </w:pPr>
            <w:r>
              <w:rPr>
                <w:rFonts w:ascii="宋体" w:hAnsi="宋体"/>
                <w:sz w:val="24"/>
              </w:rPr>
              <w:t>接收询问和质疑的联系方式</w:t>
            </w:r>
          </w:p>
          <w:p>
            <w:pPr>
              <w:jc w:val="left"/>
              <w:rPr>
                <w:sz w:val="24"/>
              </w:rPr>
            </w:pPr>
            <w:r>
              <w:rPr>
                <w:sz w:val="24"/>
              </w:rPr>
              <w:t>联系部门：</w:t>
            </w:r>
            <w:r>
              <w:rPr>
                <w:rFonts w:hint="eastAsia"/>
                <w:sz w:val="24"/>
                <w:u w:val="single"/>
              </w:rPr>
              <w:t>北京明德致信咨询有限公司</w:t>
            </w:r>
            <w:r>
              <w:rPr>
                <w:sz w:val="24"/>
              </w:rPr>
              <w:t>；</w:t>
            </w:r>
          </w:p>
          <w:p>
            <w:pPr>
              <w:jc w:val="left"/>
              <w:rPr>
                <w:sz w:val="24"/>
              </w:rPr>
            </w:pPr>
            <w:r>
              <w:rPr>
                <w:sz w:val="24"/>
              </w:rPr>
              <w:t>联系电话：</w:t>
            </w:r>
            <w:r>
              <w:rPr>
                <w:rFonts w:hint="eastAsia"/>
                <w:sz w:val="24"/>
                <w:u w:val="single"/>
              </w:rPr>
              <w:t>82370045</w:t>
            </w:r>
            <w:r>
              <w:rPr>
                <w:sz w:val="24"/>
              </w:rPr>
              <w:t>；</w:t>
            </w:r>
          </w:p>
          <w:p>
            <w:pPr>
              <w:spacing w:line="288" w:lineRule="auto"/>
              <w:jc w:val="left"/>
              <w:rPr>
                <w:rFonts w:ascii="宋体" w:hAnsi="宋体"/>
                <w:sz w:val="24"/>
              </w:rPr>
            </w:pPr>
            <w:r>
              <w:rPr>
                <w:sz w:val="24"/>
              </w:rPr>
              <w:t>通讯地址：</w:t>
            </w:r>
            <w:r>
              <w:rPr>
                <w:rFonts w:hint="eastAsia"/>
                <w:sz w:val="24"/>
                <w:u w:val="single"/>
              </w:rPr>
              <w:t>北京市海淀区学院路30号科大天工大厦B座1709</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sz w:val="24"/>
              </w:rPr>
            </w:pPr>
            <w:r>
              <w:rPr>
                <w:rFonts w:ascii="宋体" w:hAnsi="宋体"/>
                <w:sz w:val="24"/>
              </w:rPr>
              <w:t>收费对象：</w:t>
            </w:r>
          </w:p>
          <w:p>
            <w:pPr>
              <w:spacing w:line="288" w:lineRule="auto"/>
              <w:jc w:val="left"/>
              <w:rPr>
                <w:rFonts w:ascii="宋体" w:hAnsi="宋体"/>
                <w:sz w:val="24"/>
              </w:rPr>
            </w:pPr>
            <w:r>
              <w:rPr>
                <w:rFonts w:ascii="宋体" w:hAnsi="宋体"/>
                <w:sz w:val="24"/>
              </w:rPr>
              <w:t>□采购人</w:t>
            </w:r>
          </w:p>
          <w:p>
            <w:pPr>
              <w:spacing w:line="288" w:lineRule="auto"/>
              <w:jc w:val="left"/>
              <w:rPr>
                <w:rFonts w:ascii="宋体" w:hAnsi="宋体"/>
                <w:sz w:val="24"/>
              </w:rPr>
            </w:pPr>
            <w:r>
              <w:rPr>
                <w:rFonts w:ascii="宋体" w:hAnsi="宋体"/>
                <w:b/>
                <w:color w:val="000000"/>
                <w:sz w:val="24"/>
              </w:rPr>
              <w:t>■</w:t>
            </w:r>
            <w:r>
              <w:rPr>
                <w:rFonts w:hint="eastAsia" w:ascii="宋体" w:hAnsi="宋体"/>
                <w:sz w:val="24"/>
              </w:rPr>
              <w:t>成交人</w:t>
            </w:r>
          </w:p>
          <w:p>
            <w:pPr>
              <w:spacing w:line="288" w:lineRule="auto"/>
              <w:jc w:val="left"/>
              <w:rPr>
                <w:rFonts w:ascii="宋体" w:hAnsi="宋体"/>
                <w:color w:val="FF0000"/>
                <w:sz w:val="24"/>
              </w:rPr>
            </w:pPr>
            <w:r>
              <w:rPr>
                <w:rFonts w:ascii="宋体" w:hAnsi="宋体"/>
                <w:sz w:val="24"/>
              </w:rPr>
              <w:t>收费标准：</w:t>
            </w:r>
            <w:r>
              <w:rPr>
                <w:rFonts w:hint="eastAsia" w:ascii="宋体" w:hAnsi="宋体"/>
                <w:sz w:val="24"/>
                <w:u w:val="single"/>
              </w:rPr>
              <w:t>参照《招标代理服务收费管理暂行办法》（计价格[2002]1980号）及《国家发展改革委办公厅关于招标代理服务收费有关问题的通知》（发改办价格[2003]857号）执行，按成交金额差额定率累进法计算</w:t>
            </w:r>
            <w:r>
              <w:rPr>
                <w:rFonts w:ascii="宋体" w:hAnsi="宋体"/>
                <w:sz w:val="24"/>
              </w:rPr>
              <w:t>；</w:t>
            </w:r>
          </w:p>
          <w:p>
            <w:pPr>
              <w:spacing w:line="288" w:lineRule="auto"/>
              <w:jc w:val="left"/>
              <w:rPr>
                <w:rFonts w:ascii="宋体" w:hAnsi="宋体"/>
                <w:sz w:val="24"/>
              </w:rPr>
            </w:pPr>
            <w:r>
              <w:rPr>
                <w:rFonts w:ascii="宋体" w:hAnsi="宋体"/>
                <w:sz w:val="24"/>
              </w:rPr>
              <w:t>缴纳时间：</w:t>
            </w:r>
            <w:r>
              <w:rPr>
                <w:rFonts w:hint="eastAsia" w:ascii="宋体" w:hAnsi="宋体"/>
                <w:sz w:val="24"/>
                <w:u w:val="single"/>
              </w:rPr>
              <w:t>成交人在领取成交通知书时须向采购代理机构缴纳成交服务费</w:t>
            </w:r>
            <w:r>
              <w:rPr>
                <w:rFonts w:ascii="宋体" w:hAnsi="宋体"/>
                <w:sz w:val="24"/>
              </w:rPr>
              <w:t>。</w:t>
            </w:r>
          </w:p>
        </w:tc>
      </w:tr>
    </w:tbl>
    <w:p>
      <w:pPr>
        <w:tabs>
          <w:tab w:val="left" w:pos="5580"/>
        </w:tabs>
        <w:adjustRightInd w:val="0"/>
        <w:spacing w:line="360" w:lineRule="auto"/>
        <w:jc w:val="distribute"/>
        <w:rPr>
          <w:rFonts w:ascii="宋体" w:hAnsi="宋体"/>
          <w:sz w:val="24"/>
        </w:rPr>
        <w:sectPr>
          <w:footerReference r:id="rId4" w:type="first"/>
          <w:footerReference r:id="rId3"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b/>
          <w:sz w:val="28"/>
          <w:szCs w:val="28"/>
        </w:rPr>
      </w:pPr>
      <w:bookmarkStart w:id="79" w:name="_Toc305158859"/>
      <w:bookmarkStart w:id="80" w:name="_Toc226337213"/>
      <w:bookmarkStart w:id="81" w:name="_Toc142311019"/>
      <w:bookmarkStart w:id="82" w:name="_Toc127151517"/>
      <w:bookmarkStart w:id="83" w:name="_Toc353873662"/>
      <w:bookmarkStart w:id="84" w:name="_Toc264969207"/>
      <w:bookmarkStart w:id="85" w:name="_Toc150480755"/>
      <w:bookmarkStart w:id="86" w:name="_Toc353825542"/>
      <w:bookmarkStart w:id="87" w:name="_Toc353873932"/>
      <w:bookmarkStart w:id="88" w:name="_Toc150774722"/>
      <w:bookmarkStart w:id="89" w:name="_Toc226965790"/>
      <w:bookmarkStart w:id="90" w:name="_Toc265228355"/>
      <w:bookmarkStart w:id="91" w:name="_Toc195842882"/>
      <w:bookmarkStart w:id="92" w:name="_Toc305158785"/>
      <w:r>
        <w:rPr>
          <w:rFonts w:hint="eastAsia" w:ascii="宋体" w:hAnsi="宋体"/>
          <w:b/>
          <w:sz w:val="28"/>
          <w:szCs w:val="28"/>
        </w:rPr>
        <w:t>供应商</w:t>
      </w:r>
      <w:r>
        <w:rPr>
          <w:rFonts w:ascii="宋体" w:hAnsi="宋体"/>
          <w:b/>
          <w:sz w:val="28"/>
          <w:szCs w:val="28"/>
        </w:rPr>
        <w:t>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5"/>
        <w:tabs>
          <w:tab w:val="center" w:pos="4592"/>
          <w:tab w:val="left" w:pos="7860"/>
        </w:tabs>
        <w:spacing w:before="0" w:line="360" w:lineRule="auto"/>
        <w:rPr>
          <w:rFonts w:ascii="宋体" w:hAnsi="宋体" w:eastAsia="宋体"/>
          <w:sz w:val="28"/>
        </w:rPr>
      </w:pPr>
      <w:bookmarkStart w:id="93" w:name="_Toc150509269"/>
      <w:bookmarkStart w:id="94" w:name="_Toc226309762"/>
      <w:bookmarkStart w:id="95" w:name="_Toc520356143"/>
      <w:bookmarkStart w:id="96" w:name="_Toc226965791"/>
      <w:bookmarkStart w:id="97" w:name="_Toc151193616"/>
      <w:bookmarkStart w:id="98" w:name="_Toc226965708"/>
      <w:bookmarkStart w:id="99" w:name="_Toc151193906"/>
      <w:bookmarkStart w:id="100" w:name="_Toc265228356"/>
      <w:bookmarkStart w:id="101" w:name="_Toc151190145"/>
      <w:bookmarkStart w:id="102" w:name="_Toc264969208"/>
      <w:bookmarkStart w:id="103" w:name="_Toc226337214"/>
      <w:bookmarkStart w:id="104" w:name="_Toc127151518"/>
      <w:bookmarkStart w:id="105" w:name="_Toc151193760"/>
      <w:bookmarkStart w:id="106" w:name="_Toc195842883"/>
      <w:bookmarkStart w:id="107" w:name="_Toc150774723"/>
      <w:bookmarkStart w:id="108" w:name="_Toc305158786"/>
      <w:bookmarkStart w:id="109" w:name="_Toc305158860"/>
      <w:bookmarkStart w:id="110" w:name="_Toc151193688"/>
      <w:bookmarkStart w:id="111" w:name="_Toc150480756"/>
      <w:bookmarkStart w:id="112" w:name="_Toc151193832"/>
      <w:bookmarkStart w:id="113" w:name="_Toc142311020"/>
      <w:bookmarkStart w:id="114" w:name="_Toc150774618"/>
      <w:r>
        <w:rPr>
          <w:rFonts w:ascii="宋体" w:hAnsi="宋体" w:eastAsia="宋体"/>
          <w:sz w:val="28"/>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5" w:name="_Toc264969209"/>
      <w:bookmarkStart w:id="116" w:name="_Toc265228357"/>
      <w:bookmarkStart w:id="117" w:name="_Toc305158861"/>
      <w:bookmarkStart w:id="118" w:name="_Toc305158787"/>
      <w:r>
        <w:rPr>
          <w:rFonts w:ascii="宋体" w:hAnsi="宋体"/>
          <w:sz w:val="24"/>
        </w:rPr>
        <w:t>采购人、采购代理机构、</w:t>
      </w:r>
      <w:bookmarkEnd w:id="115"/>
      <w:bookmarkEnd w:id="116"/>
      <w:bookmarkEnd w:id="117"/>
      <w:bookmarkEnd w:id="118"/>
      <w:r>
        <w:rPr>
          <w:rFonts w:hint="eastAsia" w:ascii="宋体" w:hAnsi="宋体"/>
          <w:sz w:val="24"/>
        </w:rPr>
        <w:t>供应商、联合体</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w:t>
      </w:r>
      <w:r>
        <w:rPr>
          <w:rFonts w:hint="eastAsia" w:ascii="宋体" w:hAnsi="宋体"/>
          <w:sz w:val="24"/>
        </w:rPr>
        <w:t>比选邀请</w:t>
      </w:r>
      <w:r>
        <w:rPr>
          <w:rFonts w:ascii="宋体" w:hAnsi="宋体"/>
          <w:sz w:val="24"/>
        </w:rPr>
        <w:t>》。</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9" w:name="_Toc226965793"/>
      <w:bookmarkStart w:id="120" w:name="_Toc151193908"/>
      <w:bookmarkStart w:id="121" w:name="_Toc305158862"/>
      <w:bookmarkStart w:id="122" w:name="_Toc305158788"/>
      <w:bookmarkStart w:id="123" w:name="_Toc151193834"/>
      <w:bookmarkStart w:id="124" w:name="_Toc150480758"/>
      <w:bookmarkStart w:id="125" w:name="_Toc127161434"/>
      <w:bookmarkStart w:id="126" w:name="_Toc151190147"/>
      <w:bookmarkStart w:id="127" w:name="_Toc150509271"/>
      <w:bookmarkStart w:id="128" w:name="_Toc164229215"/>
      <w:bookmarkStart w:id="129" w:name="_Toc164608789"/>
      <w:bookmarkStart w:id="130" w:name="_Toc127151520"/>
      <w:bookmarkStart w:id="131" w:name="_Toc265228358"/>
      <w:bookmarkStart w:id="132" w:name="_Toc164229361"/>
      <w:bookmarkStart w:id="133" w:name="_Toc164351614"/>
      <w:bookmarkStart w:id="134" w:name="_Toc164608634"/>
      <w:bookmarkStart w:id="135" w:name="_Toc142311022"/>
      <w:bookmarkStart w:id="136" w:name="_Toc151193618"/>
      <w:bookmarkStart w:id="137" w:name="_Toc149720813"/>
      <w:bookmarkStart w:id="138" w:name="_Toc151193690"/>
      <w:bookmarkStart w:id="139" w:name="_Toc195842885"/>
      <w:bookmarkStart w:id="140" w:name="_Toc226309764"/>
      <w:bookmarkStart w:id="141" w:name="_Toc150774620"/>
      <w:bookmarkStart w:id="142" w:name="_Toc226337216"/>
      <w:bookmarkStart w:id="143" w:name="_Toc226965710"/>
      <w:bookmarkStart w:id="144" w:name="_Toc264969210"/>
      <w:bookmarkStart w:id="145" w:name="_Toc150774725"/>
      <w:bookmarkStart w:id="146" w:name="_Toc127151721"/>
      <w:bookmarkStart w:id="147" w:name="_Toc151193762"/>
      <w:r>
        <w:rPr>
          <w:rFonts w:ascii="宋体" w:hAnsi="宋体"/>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宋体" w:hAnsi="宋体"/>
          <w:sz w:val="24"/>
        </w:rPr>
        <w:t>、项目属性、科研仪器设备采购、核心产品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hint="eastAsia" w:ascii="宋体" w:hAnsi="宋体"/>
          <w:sz w:val="24"/>
        </w:rPr>
        <w:t>，项目预算未达政府采购限额</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hint="eastAsia" w:ascii="宋体" w:hAnsi="宋体"/>
          <w:sz w:val="24"/>
        </w:rPr>
        <w:t>供应商</w:t>
      </w:r>
      <w:r>
        <w:rPr>
          <w:rFonts w:ascii="宋体" w:hAnsi="宋体"/>
          <w:sz w:val="24"/>
        </w:rPr>
        <w:t>须知资料表》。</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hint="eastAsia" w:ascii="宋体" w:hAnsi="宋体"/>
          <w:sz w:val="24"/>
        </w:rPr>
        <w:t>开选</w:t>
      </w:r>
      <w:r>
        <w:rPr>
          <w:rFonts w:ascii="宋体" w:hAnsi="宋体"/>
          <w:sz w:val="24"/>
        </w:rPr>
        <w:t>前答疑会</w:t>
      </w:r>
    </w:p>
    <w:p>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hint="eastAsia" w:ascii="宋体" w:hAnsi="宋体"/>
          <w:sz w:val="24"/>
        </w:rPr>
        <w:t>供应商</w:t>
      </w:r>
      <w:r>
        <w:rPr>
          <w:rFonts w:ascii="宋体" w:hAnsi="宋体"/>
          <w:sz w:val="24"/>
        </w:rPr>
        <w:t>须知资料表》中规定了组织现场考察、召开</w:t>
      </w:r>
      <w:r>
        <w:rPr>
          <w:rFonts w:hint="eastAsia" w:ascii="宋体" w:hAnsi="宋体"/>
          <w:sz w:val="24"/>
        </w:rPr>
        <w:t>开选</w:t>
      </w:r>
      <w:r>
        <w:rPr>
          <w:rFonts w:ascii="宋体" w:hAnsi="宋体"/>
          <w:sz w:val="24"/>
        </w:rPr>
        <w:t>前答疑会，则</w:t>
      </w:r>
      <w:r>
        <w:rPr>
          <w:rFonts w:hint="eastAsia" w:ascii="宋体" w:hAnsi="宋体"/>
          <w:sz w:val="24"/>
        </w:rPr>
        <w:t>供应商</w:t>
      </w:r>
      <w:r>
        <w:rPr>
          <w:rFonts w:ascii="宋体" w:hAnsi="宋体"/>
          <w:sz w:val="24"/>
        </w:rPr>
        <w:t>应按要求在规定的时间和地点参加。</w:t>
      </w:r>
      <w:bookmarkStart w:id="148" w:name="_Toc226965712"/>
      <w:bookmarkStart w:id="149" w:name="_Toc151193692"/>
      <w:bookmarkStart w:id="150" w:name="_Toc151193764"/>
      <w:bookmarkStart w:id="151" w:name="_Toc305158790"/>
      <w:bookmarkStart w:id="152" w:name="_Toc151190149"/>
      <w:bookmarkStart w:id="153" w:name="_Toc150480760"/>
      <w:bookmarkStart w:id="154" w:name="_Toc150509273"/>
      <w:bookmarkStart w:id="155" w:name="_Toc264969212"/>
      <w:bookmarkStart w:id="156" w:name="_Toc150774622"/>
      <w:bookmarkStart w:id="157" w:name="_Toc195842887"/>
      <w:bookmarkStart w:id="158" w:name="_Toc151193910"/>
      <w:bookmarkStart w:id="159" w:name="_Toc226965795"/>
      <w:bookmarkStart w:id="160" w:name="_Toc305158864"/>
      <w:bookmarkStart w:id="161" w:name="_Toc226309766"/>
      <w:bookmarkStart w:id="162" w:name="_Toc142311024"/>
      <w:bookmarkStart w:id="163" w:name="_Toc265228360"/>
      <w:bookmarkStart w:id="164" w:name="_Toc520356146"/>
      <w:bookmarkStart w:id="165" w:name="_Toc150774727"/>
      <w:bookmarkStart w:id="166" w:name="_Toc151193836"/>
      <w:bookmarkStart w:id="167" w:name="_Toc226337218"/>
      <w:bookmarkStart w:id="168" w:name="_Toc151193620"/>
      <w:bookmarkStart w:id="169" w:name="_Toc127151522"/>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hint="eastAsia" w:ascii="宋体" w:hAnsi="宋体"/>
          <w:sz w:val="24"/>
        </w:rPr>
        <w:t>开选</w:t>
      </w:r>
      <w:r>
        <w:rPr>
          <w:rFonts w:ascii="宋体" w:hAnsi="宋体"/>
          <w:sz w:val="24"/>
        </w:rPr>
        <w:t>前答疑会而导致对项目实际情况不了解，影响</w:t>
      </w:r>
      <w:r>
        <w:rPr>
          <w:rFonts w:hint="eastAsia" w:ascii="宋体" w:hAnsi="宋体"/>
          <w:sz w:val="24"/>
        </w:rPr>
        <w:t>响应文件</w:t>
      </w:r>
      <w:r>
        <w:rPr>
          <w:rFonts w:ascii="宋体" w:hAnsi="宋体"/>
          <w:sz w:val="24"/>
        </w:rPr>
        <w:t>编制、</w:t>
      </w:r>
      <w:r>
        <w:rPr>
          <w:rFonts w:hint="eastAsia" w:ascii="宋体" w:hAnsi="宋体"/>
          <w:sz w:val="24"/>
        </w:rPr>
        <w:t>响应</w:t>
      </w:r>
      <w:r>
        <w:rPr>
          <w:rFonts w:ascii="宋体" w:hAnsi="宋体"/>
          <w:sz w:val="24"/>
        </w:rPr>
        <w:t>报价准确性、综合因素响应不全面等问题的，由</w:t>
      </w:r>
      <w:r>
        <w:rPr>
          <w:rFonts w:hint="eastAsia" w:ascii="宋体" w:hAnsi="宋体"/>
          <w:sz w:val="24"/>
        </w:rPr>
        <w:t>供应商</w:t>
      </w:r>
      <w:r>
        <w:rPr>
          <w:rFonts w:ascii="宋体" w:hAnsi="宋体"/>
          <w:sz w:val="24"/>
        </w:rPr>
        <w:t>自行承担不利评审后果。</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hint="eastAsia" w:ascii="宋体" w:hAnsi="宋体"/>
          <w:sz w:val="24"/>
        </w:rPr>
        <w:t>供应商</w:t>
      </w:r>
      <w:r>
        <w:rPr>
          <w:rFonts w:ascii="宋体" w:hAnsi="宋体"/>
          <w:sz w:val="24"/>
        </w:rPr>
        <w:t>提供样品，以及样品制作的标准和要求、是否需要随样品提交相关检测报告、样品的递交与退还等要求见《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pPr>
        <w:numPr>
          <w:ilvl w:val="0"/>
          <w:numId w:val="8"/>
        </w:numPr>
        <w:tabs>
          <w:tab w:val="left" w:pos="360"/>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hint="eastAsia" w:ascii="宋体" w:hAnsi="宋体"/>
          <w:sz w:val="24"/>
        </w:rPr>
        <w:t>第四章《采购需求》</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pPr>
        <w:numPr>
          <w:ilvl w:val="2"/>
          <w:numId w:val="8"/>
        </w:numPr>
        <w:snapToGrid w:val="0"/>
        <w:spacing w:line="360" w:lineRule="auto"/>
        <w:rPr>
          <w:rFonts w:ascii="宋体" w:hAnsi="宋体"/>
          <w:sz w:val="24"/>
        </w:rPr>
      </w:pPr>
      <w:r>
        <w:rPr>
          <w:rFonts w:ascii="宋体" w:hAnsi="宋体"/>
          <w:sz w:val="24"/>
        </w:rPr>
        <w:t>中小企业定义：</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hint="eastAsia" w:ascii="宋体" w:hAnsi="宋体"/>
          <w:sz w:val="24"/>
        </w:rPr>
        <w:t>比选邀请</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hint="eastAsia" w:ascii="宋体" w:hAnsi="宋体"/>
          <w:sz w:val="24"/>
        </w:rPr>
        <w:t>供应商</w:t>
      </w:r>
      <w:r>
        <w:rPr>
          <w:rFonts w:ascii="宋体" w:hAnsi="宋体"/>
          <w:sz w:val="24"/>
        </w:rPr>
        <w:t>须知资料表》。</w:t>
      </w:r>
    </w:p>
    <w:p>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hint="eastAsia" w:ascii="宋体" w:hAnsi="宋体"/>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w:t>
      </w:r>
      <w:r>
        <w:rPr>
          <w:rFonts w:hint="eastAsia" w:ascii="宋体" w:hAnsi="宋体"/>
          <w:sz w:val="24"/>
        </w:rPr>
        <w:t>第四章《采购需求》</w:t>
      </w:r>
      <w:r>
        <w:rPr>
          <w:rFonts w:ascii="宋体" w:hAnsi="宋体"/>
          <w:sz w:val="24"/>
        </w:rPr>
        <w:t>（如涉及）。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。关于信息安全相关规定依据《关于信息安全产品实施政府采购的通知》（财库〔2010〕48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Pr>
          <w:rFonts w:hint="eastAsia" w:ascii="宋体" w:hAnsi="宋体"/>
          <w:sz w:val="24"/>
        </w:rPr>
        <w:t>第四章《采购需求》</w:t>
      </w:r>
      <w:r>
        <w:rPr>
          <w:rFonts w:ascii="宋体" w:hAnsi="宋体"/>
          <w:sz w:val="24"/>
        </w:rPr>
        <w:t>），</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；属于推荐性标准的，优先采购，具体见第四章《评标方法和评标标准》。</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w:t>
      </w:r>
      <w:r>
        <w:rPr>
          <w:rFonts w:ascii="宋体" w:hAnsi="宋体"/>
          <w:sz w:val="24"/>
        </w:rPr>
        <w:t>费用</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应自行承担所有与准备和参加</w:t>
      </w:r>
      <w:r>
        <w:rPr>
          <w:rFonts w:hint="eastAsia" w:ascii="宋体" w:hAnsi="宋体"/>
          <w:sz w:val="24"/>
        </w:rPr>
        <w:t>响应</w:t>
      </w:r>
      <w:r>
        <w:rPr>
          <w:rFonts w:ascii="宋体" w:hAnsi="宋体"/>
          <w:sz w:val="24"/>
        </w:rPr>
        <w:t>有关的费用，无论</w:t>
      </w:r>
      <w:r>
        <w:rPr>
          <w:rFonts w:hint="eastAsia" w:ascii="宋体" w:hAnsi="宋体"/>
          <w:sz w:val="24"/>
        </w:rPr>
        <w:t>响应</w:t>
      </w:r>
      <w:r>
        <w:rPr>
          <w:rFonts w:ascii="宋体" w:hAnsi="宋体"/>
          <w:sz w:val="24"/>
        </w:rPr>
        <w:t>的结果如何，采购人或采购代理机构在任何情况下均无承担这些费用的义务和责任。</w:t>
      </w:r>
    </w:p>
    <w:p>
      <w:pPr>
        <w:pStyle w:val="5"/>
        <w:spacing w:before="0" w:line="360" w:lineRule="auto"/>
        <w:rPr>
          <w:rFonts w:ascii="宋体" w:hAnsi="宋体" w:eastAsia="宋体"/>
          <w:sz w:val="28"/>
        </w:rPr>
      </w:pPr>
      <w:bookmarkStart w:id="170" w:name="_1.8_计量单位"/>
      <w:bookmarkEnd w:id="170"/>
      <w:r>
        <w:rPr>
          <w:rFonts w:ascii="宋体" w:hAnsi="宋体" w:eastAsia="宋体"/>
          <w:sz w:val="28"/>
        </w:rPr>
        <w:t xml:space="preserve">二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ascii="宋体" w:hAnsi="宋体" w:eastAsia="宋体"/>
          <w:sz w:val="28"/>
        </w:rPr>
        <w:t>比选文件</w:t>
      </w:r>
    </w:p>
    <w:p>
      <w:pPr>
        <w:numPr>
          <w:ilvl w:val="0"/>
          <w:numId w:val="8"/>
        </w:numPr>
        <w:tabs>
          <w:tab w:val="left" w:pos="360"/>
        </w:tabs>
        <w:snapToGrid w:val="0"/>
        <w:spacing w:line="360" w:lineRule="auto"/>
        <w:ind w:left="357" w:hanging="357"/>
        <w:outlineLvl w:val="1"/>
        <w:rPr>
          <w:rFonts w:ascii="宋体" w:hAnsi="宋体"/>
          <w:sz w:val="24"/>
        </w:rPr>
      </w:pPr>
      <w:bookmarkStart w:id="171" w:name="_Toc226309767"/>
      <w:bookmarkStart w:id="172" w:name="_Toc226337219"/>
      <w:bookmarkStart w:id="173" w:name="_Toc149720816"/>
      <w:bookmarkStart w:id="174" w:name="_Toc150509274"/>
      <w:bookmarkStart w:id="175" w:name="_Toc150774728"/>
      <w:bookmarkStart w:id="176" w:name="_Toc164229364"/>
      <w:bookmarkStart w:id="177" w:name="_Toc127151724"/>
      <w:bookmarkStart w:id="178" w:name="_Toc226965713"/>
      <w:bookmarkStart w:id="179" w:name="_Toc520356147"/>
      <w:bookmarkStart w:id="180" w:name="_Toc151193765"/>
      <w:bookmarkStart w:id="181" w:name="_Toc164608792"/>
      <w:bookmarkStart w:id="182" w:name="_Toc151193837"/>
      <w:bookmarkStart w:id="183" w:name="_Toc305158791"/>
      <w:bookmarkStart w:id="184" w:name="_Toc264969213"/>
      <w:bookmarkStart w:id="185" w:name="_Toc226965796"/>
      <w:bookmarkStart w:id="186" w:name="_Toc195842888"/>
      <w:bookmarkStart w:id="187" w:name="_Toc164229218"/>
      <w:bookmarkStart w:id="188" w:name="_Toc142311025"/>
      <w:bookmarkStart w:id="189" w:name="_Toc151193621"/>
      <w:bookmarkStart w:id="190" w:name="_Toc151190150"/>
      <w:bookmarkStart w:id="191" w:name="_Toc150774623"/>
      <w:bookmarkStart w:id="192" w:name="_Toc305158865"/>
      <w:bookmarkStart w:id="193" w:name="_Toc164608637"/>
      <w:bookmarkStart w:id="194" w:name="_Toc164351617"/>
      <w:bookmarkStart w:id="195" w:name="_Toc150480761"/>
      <w:bookmarkStart w:id="196" w:name="_Toc265228361"/>
      <w:bookmarkStart w:id="197" w:name="_Toc151193911"/>
      <w:bookmarkStart w:id="198" w:name="_Toc127151523"/>
      <w:bookmarkStart w:id="199" w:name="_Toc127161437"/>
      <w:bookmarkStart w:id="200" w:name="_Toc151193693"/>
      <w:r>
        <w:rPr>
          <w:rFonts w:hint="eastAsia" w:ascii="宋体" w:hAnsi="宋体"/>
          <w:sz w:val="24"/>
        </w:rPr>
        <w:t>比选文件</w:t>
      </w:r>
      <w:r>
        <w:rPr>
          <w:rFonts w:ascii="宋体" w:hAnsi="宋体"/>
          <w:sz w:val="24"/>
        </w:rPr>
        <w:t>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hAnsi="宋体"/>
          <w:sz w:val="24"/>
        </w:rPr>
        <w:t>成</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要求提供货物与服务的内容及详细技术需求、响应须知和合同条件等在比选文件中均有说明。比选文件</w:t>
      </w:r>
      <w:r>
        <w:rPr>
          <w:rFonts w:ascii="宋体" w:hAnsi="宋体"/>
          <w:sz w:val="24"/>
        </w:rPr>
        <w:t>包括以下部分：</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比选邀请</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供应商</w:t>
      </w:r>
      <w:r>
        <w:rPr>
          <w:rFonts w:ascii="宋体" w:hAnsi="宋体"/>
          <w:sz w:val="24"/>
        </w:rPr>
        <w:t>须知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比选文件</w:t>
      </w:r>
      <w:r>
        <w:rPr>
          <w:sz w:val="24"/>
        </w:rPr>
        <w:t>的全部内容。</w:t>
      </w:r>
      <w:r>
        <w:rPr>
          <w:rFonts w:hint="eastAsia"/>
          <w:sz w:val="24"/>
        </w:rPr>
        <w:t>供应商</w:t>
      </w:r>
      <w:r>
        <w:rPr>
          <w:sz w:val="24"/>
        </w:rPr>
        <w:t>应按照</w:t>
      </w:r>
      <w:r>
        <w:rPr>
          <w:rFonts w:hint="eastAsia"/>
          <w:sz w:val="24"/>
        </w:rPr>
        <w:t>比选文件</w:t>
      </w:r>
      <w:r>
        <w:rPr>
          <w:sz w:val="24"/>
        </w:rPr>
        <w:t>要求提交</w:t>
      </w:r>
      <w:r>
        <w:rPr>
          <w:rFonts w:hint="eastAsia"/>
          <w:sz w:val="24"/>
        </w:rPr>
        <w:t>响应文件</w:t>
      </w:r>
      <w:r>
        <w:rPr>
          <w:sz w:val="24"/>
        </w:rPr>
        <w:t>并保证所提供的全部资料的真实性，并对</w:t>
      </w:r>
      <w:r>
        <w:rPr>
          <w:rFonts w:hint="eastAsia"/>
          <w:sz w:val="24"/>
        </w:rPr>
        <w:t>比选文件</w:t>
      </w:r>
      <w:r>
        <w:rPr>
          <w:sz w:val="24"/>
        </w:rPr>
        <w:t>做出实质性响应，否则</w:t>
      </w:r>
      <w:r>
        <w:rPr>
          <w:rFonts w:hint="eastAsia"/>
          <w:b/>
          <w:sz w:val="24"/>
        </w:rPr>
        <w:t>响应</w:t>
      </w:r>
      <w:r>
        <w:rPr>
          <w:b/>
          <w:sz w:val="24"/>
        </w:rPr>
        <w:t>无效</w:t>
      </w:r>
      <w:r>
        <w:rPr>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应注意比选文件第四章《采购需求》中指出的工艺、材料和设备的标准，以及参照的牌号或分类号仅起说明作用，并没有任何限制性。供应商在响应中可以选用替代标准、牌号或分类号，但这些替代要实质上相当于或优于</w:t>
      </w:r>
      <w:r>
        <w:rPr>
          <w:rFonts w:ascii="宋体" w:hAnsi="宋体"/>
          <w:sz w:val="24"/>
        </w:rPr>
        <w:t>《采购需求》</w:t>
      </w:r>
      <w:r>
        <w:rPr>
          <w:rFonts w:hint="eastAsia" w:ascii="宋体" w:hAnsi="宋体"/>
          <w:sz w:val="24"/>
        </w:rPr>
        <w:t>的要求。</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除非有特殊要求，比选文件不单独提供货物安装使用地的自然环境、气候条件、公用设施等情况，供应商被视为熟悉上述与履行合同有关的一切情况。</w:t>
      </w:r>
    </w:p>
    <w:p>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hint="eastAsia" w:ascii="宋体" w:hAnsi="宋体"/>
          <w:sz w:val="24"/>
        </w:rPr>
        <w:t>比选文件</w:t>
      </w:r>
      <w:r>
        <w:rPr>
          <w:rFonts w:ascii="宋体" w:hAnsi="宋体"/>
          <w:sz w:val="24"/>
        </w:rPr>
        <w:t>的澄清或修改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hint="eastAsia" w:ascii="宋体" w:hAnsi="宋体"/>
          <w:sz w:val="24"/>
        </w:rPr>
        <w:t>比选文件</w:t>
      </w:r>
      <w:r>
        <w:rPr>
          <w:rFonts w:ascii="宋体" w:hAnsi="宋体"/>
          <w:sz w:val="24"/>
        </w:rPr>
        <w:t>进行必要澄清或者修改的，将在原公告发布媒体上发布更正公告，并以书面形式通知所有获取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hint="eastAsia" w:ascii="宋体" w:hAnsi="宋体"/>
          <w:sz w:val="24"/>
        </w:rPr>
        <w:t>比选文件</w:t>
      </w:r>
      <w:r>
        <w:rPr>
          <w:rFonts w:ascii="宋体" w:hAnsi="宋体"/>
          <w:sz w:val="24"/>
        </w:rPr>
        <w:t>的组成部分，并对所有获取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具有约束力。澄清或者修改的内容可能影响</w:t>
      </w:r>
      <w:r>
        <w:rPr>
          <w:rFonts w:hint="eastAsia" w:ascii="宋体" w:hAnsi="宋体"/>
          <w:sz w:val="24"/>
        </w:rPr>
        <w:t>响应文件</w:t>
      </w:r>
      <w:r>
        <w:rPr>
          <w:rFonts w:ascii="宋体" w:hAnsi="宋体"/>
          <w:sz w:val="24"/>
        </w:rPr>
        <w:t>编制的，将在</w:t>
      </w:r>
      <w:r>
        <w:rPr>
          <w:rFonts w:hint="eastAsia" w:ascii="宋体" w:hAnsi="宋体"/>
          <w:sz w:val="24"/>
        </w:rPr>
        <w:t>响应</w:t>
      </w:r>
      <w:r>
        <w:rPr>
          <w:rFonts w:ascii="宋体" w:hAnsi="宋体"/>
          <w:sz w:val="24"/>
        </w:rPr>
        <w:t>截止时间至少</w:t>
      </w:r>
      <w:r>
        <w:rPr>
          <w:rFonts w:hint="eastAsia" w:ascii="宋体" w:hAnsi="宋体"/>
          <w:sz w:val="24"/>
        </w:rPr>
        <w:t>3</w:t>
      </w:r>
      <w:r>
        <w:rPr>
          <w:rFonts w:ascii="宋体" w:hAnsi="宋体"/>
          <w:sz w:val="24"/>
        </w:rPr>
        <w:t>日前，以书面形式通知所有获取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；不足</w:t>
      </w:r>
      <w:r>
        <w:rPr>
          <w:rFonts w:hint="eastAsia" w:ascii="宋体" w:hAnsi="宋体"/>
          <w:sz w:val="24"/>
        </w:rPr>
        <w:t>3</w:t>
      </w:r>
      <w:r>
        <w:rPr>
          <w:rFonts w:ascii="宋体" w:hAnsi="宋体"/>
          <w:sz w:val="24"/>
        </w:rPr>
        <w:t>日的，将顺延提交</w:t>
      </w:r>
      <w:r>
        <w:rPr>
          <w:rFonts w:hint="eastAsia" w:ascii="宋体" w:hAnsi="宋体"/>
          <w:sz w:val="24"/>
        </w:rPr>
        <w:t>响应文件</w:t>
      </w:r>
      <w:r>
        <w:rPr>
          <w:rFonts w:ascii="宋体" w:hAnsi="宋体"/>
          <w:sz w:val="24"/>
        </w:rPr>
        <w:t>的截止时间和</w:t>
      </w:r>
      <w:r>
        <w:rPr>
          <w:rFonts w:hint="eastAsia" w:ascii="宋体" w:hAnsi="宋体"/>
          <w:sz w:val="24"/>
        </w:rPr>
        <w:t>开选</w:t>
      </w:r>
      <w:r>
        <w:rPr>
          <w:rFonts w:ascii="宋体" w:hAnsi="宋体"/>
          <w:sz w:val="24"/>
        </w:rPr>
        <w:t>时间。</w:t>
      </w:r>
      <w:bookmarkStart w:id="201" w:name="_Toc516367020"/>
      <w:bookmarkStart w:id="202" w:name="_Toc142311028"/>
      <w:bookmarkStart w:id="203" w:name="_Toc151193696"/>
      <w:bookmarkStart w:id="204" w:name="_Toc264969216"/>
      <w:bookmarkStart w:id="205" w:name="_Toc150774731"/>
      <w:bookmarkStart w:id="206" w:name="_Toc305158794"/>
      <w:bookmarkStart w:id="207" w:name="_Toc226337222"/>
      <w:bookmarkStart w:id="208" w:name="_Toc151190153"/>
      <w:bookmarkStart w:id="209" w:name="_Toc151193914"/>
      <w:bookmarkStart w:id="210" w:name="_Toc226965716"/>
      <w:bookmarkStart w:id="211" w:name="_Toc226965799"/>
      <w:bookmarkStart w:id="212" w:name="_Toc195842891"/>
      <w:bookmarkStart w:id="213" w:name="_Toc150509277"/>
      <w:bookmarkStart w:id="214" w:name="_Toc265228364"/>
      <w:bookmarkStart w:id="215" w:name="_Toc226309770"/>
      <w:bookmarkStart w:id="216" w:name="_Toc520356150"/>
      <w:bookmarkStart w:id="217" w:name="_Toc127151526"/>
      <w:bookmarkStart w:id="218" w:name="_Toc305158868"/>
      <w:bookmarkStart w:id="219" w:name="_Toc150480764"/>
      <w:bookmarkStart w:id="220" w:name="_Toc151193624"/>
      <w:bookmarkStart w:id="221" w:name="_Toc150774626"/>
      <w:bookmarkStart w:id="222" w:name="_Toc151193768"/>
      <w:bookmarkStart w:id="223" w:name="_Toc151193840"/>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供应商在收到澄清或修改的书面通知后，应在一个工作日内向</w:t>
      </w:r>
      <w:r>
        <w:rPr>
          <w:rFonts w:ascii="宋体" w:hAnsi="宋体"/>
          <w:sz w:val="24"/>
        </w:rPr>
        <w:t>采购代理机构</w:t>
      </w:r>
      <w:r>
        <w:rPr>
          <w:rFonts w:hint="eastAsia" w:ascii="宋体" w:hAnsi="宋体"/>
          <w:sz w:val="24"/>
        </w:rPr>
        <w:t>回函确认，否则招标采购单位将视为其已完全知道并接受此澄清或修改的内容。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任何要求对比选文件进行澄清的供应商，均应以书面形式通知</w:t>
      </w:r>
      <w:r>
        <w:rPr>
          <w:rFonts w:ascii="宋体" w:hAnsi="宋体"/>
          <w:sz w:val="24"/>
        </w:rPr>
        <w:t>采购代理机构</w:t>
      </w:r>
      <w:r>
        <w:rPr>
          <w:rFonts w:hint="eastAsia" w:ascii="宋体" w:hAnsi="宋体"/>
          <w:sz w:val="24"/>
        </w:rPr>
        <w:t>。</w:t>
      </w:r>
      <w:r>
        <w:rPr>
          <w:rFonts w:ascii="宋体" w:hAnsi="宋体"/>
          <w:sz w:val="24"/>
        </w:rPr>
        <w:t>采购人或采购代理机构</w:t>
      </w:r>
      <w:r>
        <w:rPr>
          <w:rFonts w:hint="eastAsia" w:ascii="宋体" w:hAnsi="宋体"/>
          <w:sz w:val="24"/>
        </w:rPr>
        <w:t>对供应商在购买比选文件后一个工作日内提交的澄清要求，应在收到澄清要求后三个工作日内以书面形式予以答复。</w:t>
      </w:r>
    </w:p>
    <w:p>
      <w:pPr>
        <w:pStyle w:val="5"/>
        <w:spacing w:before="0" w:line="360" w:lineRule="auto"/>
        <w:rPr>
          <w:rFonts w:ascii="宋体" w:hAnsi="宋体" w:eastAsia="宋体"/>
          <w:sz w:val="28"/>
        </w:rPr>
      </w:pPr>
      <w:r>
        <w:rPr>
          <w:rFonts w:ascii="宋体" w:hAnsi="宋体" w:eastAsia="宋体"/>
          <w:sz w:val="28"/>
        </w:rPr>
        <w:t xml:space="preserve">三  </w:t>
      </w:r>
      <w:bookmarkEnd w:id="201"/>
      <w:r>
        <w:rPr>
          <w:rFonts w:hint="eastAsia" w:ascii="宋体" w:hAnsi="宋体" w:eastAsia="宋体"/>
          <w:sz w:val="28"/>
        </w:rPr>
        <w:t>响应文件</w:t>
      </w:r>
      <w:r>
        <w:rPr>
          <w:rFonts w:ascii="宋体" w:hAnsi="宋体"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numPr>
          <w:ilvl w:val="0"/>
          <w:numId w:val="8"/>
        </w:numPr>
        <w:tabs>
          <w:tab w:val="left" w:pos="360"/>
        </w:tabs>
        <w:snapToGrid w:val="0"/>
        <w:spacing w:line="360" w:lineRule="auto"/>
        <w:ind w:left="357" w:hanging="357"/>
        <w:outlineLvl w:val="1"/>
        <w:rPr>
          <w:rFonts w:ascii="宋体" w:hAnsi="宋体"/>
          <w:sz w:val="24"/>
        </w:rPr>
      </w:pPr>
      <w:bookmarkStart w:id="224" w:name="_Toc226965800"/>
      <w:bookmarkStart w:id="225" w:name="_Toc142311029"/>
      <w:bookmarkStart w:id="226" w:name="_Toc305158795"/>
      <w:bookmarkStart w:id="227" w:name="_Toc164229222"/>
      <w:bookmarkStart w:id="228" w:name="_Toc150480765"/>
      <w:bookmarkStart w:id="229" w:name="_Toc164608796"/>
      <w:bookmarkStart w:id="230" w:name="_Toc127151728"/>
      <w:bookmarkStart w:id="231" w:name="_Toc151193625"/>
      <w:bookmarkStart w:id="232" w:name="_Toc151193769"/>
      <w:bookmarkStart w:id="233" w:name="_Toc264969217"/>
      <w:bookmarkStart w:id="234" w:name="_Toc226337223"/>
      <w:bookmarkStart w:id="235" w:name="_Toc164608641"/>
      <w:bookmarkStart w:id="236" w:name="_Toc265228365"/>
      <w:bookmarkStart w:id="237" w:name="_Toc226309771"/>
      <w:bookmarkStart w:id="238" w:name="_Toc164229368"/>
      <w:bookmarkStart w:id="239" w:name="_Toc151193841"/>
      <w:bookmarkStart w:id="240" w:name="_Toc150774627"/>
      <w:bookmarkStart w:id="241" w:name="_Toc127151527"/>
      <w:bookmarkStart w:id="242" w:name="_Toc149720820"/>
      <w:bookmarkStart w:id="243" w:name="_Toc150774732"/>
      <w:bookmarkStart w:id="244" w:name="_Toc151193915"/>
      <w:bookmarkStart w:id="245" w:name="_Toc520356151"/>
      <w:bookmarkStart w:id="246" w:name="_Toc195842892"/>
      <w:bookmarkStart w:id="247" w:name="_Toc151190154"/>
      <w:bookmarkStart w:id="248" w:name="_Toc516367021"/>
      <w:bookmarkStart w:id="249" w:name="_Toc127161441"/>
      <w:bookmarkStart w:id="250" w:name="_Toc150509278"/>
      <w:bookmarkStart w:id="251" w:name="_Toc305158869"/>
      <w:bookmarkStart w:id="252" w:name="_Toc164351621"/>
      <w:bookmarkStart w:id="253" w:name="_Toc151193697"/>
      <w:bookmarkStart w:id="254" w:name="_Toc226965717"/>
      <w:r>
        <w:rPr>
          <w:rFonts w:hint="eastAsia" w:ascii="宋体" w:hAnsi="宋体"/>
          <w:sz w:val="24"/>
        </w:rPr>
        <w:t>响应</w:t>
      </w:r>
      <w:r>
        <w:rPr>
          <w:rFonts w:ascii="宋体" w:hAnsi="宋体"/>
          <w:sz w:val="24"/>
        </w:rPr>
        <w:t>范围、</w:t>
      </w:r>
      <w:r>
        <w:rPr>
          <w:rFonts w:hint="eastAsia" w:ascii="宋体" w:hAnsi="宋体"/>
          <w:sz w:val="24"/>
        </w:rPr>
        <w:t>响应文件</w:t>
      </w:r>
      <w:r>
        <w:rPr>
          <w:rFonts w:ascii="宋体" w:hAnsi="宋体"/>
          <w:sz w:val="24"/>
        </w:rPr>
        <w:t>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宋体" w:hAnsi="宋体"/>
          <w:sz w:val="24"/>
        </w:rPr>
        <w:t>及</w:t>
      </w:r>
      <w:r>
        <w:rPr>
          <w:rFonts w:hint="eastAsia" w:ascii="宋体" w:hAnsi="宋体"/>
          <w:sz w:val="24"/>
        </w:rPr>
        <w:t>响应</w:t>
      </w:r>
      <w:r>
        <w:rPr>
          <w:rFonts w:ascii="宋体" w:hAnsi="宋体"/>
          <w:sz w:val="24"/>
        </w:rPr>
        <w:t>语言</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hint="eastAsia" w:ascii="宋体" w:hAnsi="宋体"/>
          <w:sz w:val="24"/>
        </w:rPr>
        <w:t>供应商</w:t>
      </w:r>
      <w:r>
        <w:rPr>
          <w:rFonts w:ascii="宋体" w:hAnsi="宋体"/>
          <w:sz w:val="24"/>
        </w:rPr>
        <w:t>可以对本项目的其中一个采购包进行</w:t>
      </w:r>
      <w:r>
        <w:rPr>
          <w:rFonts w:hint="eastAsia" w:ascii="宋体" w:hAnsi="宋体"/>
          <w:sz w:val="24"/>
        </w:rPr>
        <w:t>响应</w:t>
      </w:r>
      <w:r>
        <w:rPr>
          <w:rFonts w:ascii="宋体" w:hAnsi="宋体"/>
          <w:sz w:val="24"/>
        </w:rPr>
        <w:t>，也可同时对多个采购包进行</w:t>
      </w:r>
      <w:r>
        <w:rPr>
          <w:rFonts w:hint="eastAsia" w:ascii="宋体" w:hAnsi="宋体"/>
          <w:sz w:val="24"/>
        </w:rPr>
        <w:t>响应</w:t>
      </w:r>
      <w:r>
        <w:rPr>
          <w:rFonts w:ascii="宋体" w:hAnsi="宋体"/>
          <w:sz w:val="24"/>
        </w:rPr>
        <w:t>。</w:t>
      </w:r>
      <w:r>
        <w:rPr>
          <w:rFonts w:hint="eastAsia" w:ascii="宋体" w:hAnsi="宋体"/>
          <w:sz w:val="24"/>
        </w:rPr>
        <w:t>供应商</w:t>
      </w:r>
      <w:r>
        <w:rPr>
          <w:rFonts w:ascii="宋体" w:hAnsi="宋体"/>
          <w:sz w:val="24"/>
        </w:rPr>
        <w:t>应当对所投采购包对应</w:t>
      </w:r>
      <w:r>
        <w:rPr>
          <w:rFonts w:hint="eastAsia" w:ascii="宋体" w:hAnsi="宋体"/>
          <w:sz w:val="24"/>
        </w:rPr>
        <w:t>第四章《采购需求》</w:t>
      </w:r>
      <w:r>
        <w:rPr>
          <w:rFonts w:ascii="宋体" w:hAnsi="宋体"/>
          <w:sz w:val="24"/>
        </w:rPr>
        <w:t>所列的全部内容进行</w:t>
      </w:r>
      <w:r>
        <w:rPr>
          <w:rFonts w:hint="eastAsia" w:ascii="宋体" w:hAnsi="宋体"/>
          <w:sz w:val="24"/>
        </w:rPr>
        <w:t>响应</w:t>
      </w:r>
      <w:r>
        <w:rPr>
          <w:rFonts w:ascii="宋体" w:hAnsi="宋体"/>
          <w:sz w:val="24"/>
        </w:rPr>
        <w:t>，不得将一个采购包中的内容拆开</w:t>
      </w:r>
      <w:r>
        <w:rPr>
          <w:rFonts w:hint="eastAsia" w:ascii="宋体" w:hAnsi="宋体"/>
          <w:sz w:val="24"/>
        </w:rPr>
        <w:t>响应</w:t>
      </w:r>
      <w:r>
        <w:rPr>
          <w:rFonts w:ascii="宋体" w:hAnsi="宋体"/>
          <w:sz w:val="24"/>
        </w:rPr>
        <w:t>，否则其对该采购包的</w:t>
      </w:r>
      <w:r>
        <w:rPr>
          <w:rFonts w:hint="eastAsia" w:ascii="宋体" w:hAnsi="宋体"/>
          <w:sz w:val="24"/>
        </w:rPr>
        <w:t>响应</w:t>
      </w:r>
      <w:r>
        <w:rPr>
          <w:rFonts w:ascii="宋体" w:hAnsi="宋体"/>
          <w:sz w:val="24"/>
        </w:rPr>
        <w:t>将被认定为</w:t>
      </w:r>
      <w:r>
        <w:rPr>
          <w:rFonts w:ascii="宋体" w:hAnsi="宋体"/>
          <w:b/>
          <w:sz w:val="24"/>
        </w:rPr>
        <w:t>无效</w:t>
      </w:r>
      <w:r>
        <w:rPr>
          <w:rFonts w:hint="eastAsia" w:ascii="宋体" w:hAnsi="宋体"/>
          <w:b/>
          <w:sz w:val="24"/>
        </w:rPr>
        <w:t>响应</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hint="eastAsia" w:ascii="宋体" w:hAnsi="宋体"/>
          <w:sz w:val="24"/>
        </w:rPr>
        <w:t>比选文件</w:t>
      </w:r>
      <w:r>
        <w:rPr>
          <w:rFonts w:ascii="宋体" w:hAnsi="宋体"/>
          <w:sz w:val="24"/>
        </w:rPr>
        <w:t>有特殊要求外，本项目</w:t>
      </w:r>
      <w:r>
        <w:rPr>
          <w:rFonts w:hint="eastAsia" w:ascii="宋体" w:hAnsi="宋体"/>
          <w:sz w:val="24"/>
        </w:rPr>
        <w:t>响应</w:t>
      </w:r>
      <w:r>
        <w:rPr>
          <w:rFonts w:ascii="宋体" w:hAnsi="宋体"/>
          <w:sz w:val="24"/>
        </w:rPr>
        <w:t>所使用的计量单位，应采用中华人民共和国法定计量单位。</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hint="eastAsia" w:ascii="宋体" w:hAnsi="宋体"/>
          <w:sz w:val="24"/>
        </w:rPr>
        <w:t>响应文件</w:t>
      </w:r>
      <w:r>
        <w:rPr>
          <w:rFonts w:ascii="宋体" w:hAnsi="宋体"/>
          <w:sz w:val="24"/>
        </w:rPr>
        <w:t>及来往函电均应使用中文书写。必要时专用术语应附有中文解释。</w:t>
      </w:r>
      <w:r>
        <w:rPr>
          <w:rFonts w:hint="eastAsia" w:ascii="宋体" w:hAnsi="宋体"/>
          <w:sz w:val="24"/>
        </w:rPr>
        <w:t>供应商</w:t>
      </w:r>
      <w:r>
        <w:rPr>
          <w:rFonts w:ascii="宋体" w:hAnsi="宋体"/>
          <w:sz w:val="24"/>
        </w:rPr>
        <w:t>提交的支持资料和已印制的文献可以用外文，但相应内容应附有中文翻译本，在解释</w:t>
      </w:r>
      <w:r>
        <w:rPr>
          <w:rFonts w:hint="eastAsia" w:ascii="宋体" w:hAnsi="宋体"/>
          <w:sz w:val="24"/>
        </w:rPr>
        <w:t>响应文件</w:t>
      </w:r>
      <w:r>
        <w:rPr>
          <w:rFonts w:ascii="宋体" w:hAnsi="宋体"/>
          <w:sz w:val="24"/>
        </w:rPr>
        <w:t>时以中文翻译本为准。未附中文翻译本或翻译本中文内容明显与外文内容不一致的，其不利后果由</w:t>
      </w:r>
      <w:r>
        <w:rPr>
          <w:rFonts w:hint="eastAsia" w:ascii="宋体" w:hAnsi="宋体"/>
          <w:sz w:val="24"/>
        </w:rPr>
        <w:t>供应商</w:t>
      </w:r>
      <w:r>
        <w:rPr>
          <w:rFonts w:ascii="宋体" w:hAnsi="宋体"/>
          <w:sz w:val="24"/>
        </w:rPr>
        <w:t>自行承担。</w:t>
      </w:r>
    </w:p>
    <w:p>
      <w:pPr>
        <w:numPr>
          <w:ilvl w:val="0"/>
          <w:numId w:val="8"/>
        </w:numPr>
        <w:tabs>
          <w:tab w:val="left" w:pos="360"/>
        </w:tabs>
        <w:snapToGrid w:val="0"/>
        <w:spacing w:line="360" w:lineRule="auto"/>
        <w:ind w:left="357" w:hanging="357"/>
        <w:outlineLvl w:val="1"/>
        <w:rPr>
          <w:rFonts w:ascii="宋体" w:hAnsi="宋体"/>
          <w:sz w:val="24"/>
        </w:rPr>
      </w:pPr>
      <w:bookmarkStart w:id="255" w:name="_Toc151193698"/>
      <w:bookmarkStart w:id="256" w:name="_Toc127151528"/>
      <w:bookmarkStart w:id="257" w:name="_Toc150774628"/>
      <w:bookmarkStart w:id="258" w:name="_Toc150480766"/>
      <w:bookmarkStart w:id="259" w:name="_Toc195842893"/>
      <w:bookmarkStart w:id="260" w:name="_Toc164608642"/>
      <w:bookmarkStart w:id="261" w:name="_Toc265228366"/>
      <w:bookmarkStart w:id="262" w:name="_Toc164608797"/>
      <w:bookmarkStart w:id="263" w:name="_Toc150509279"/>
      <w:bookmarkStart w:id="264" w:name="_Toc226965801"/>
      <w:bookmarkStart w:id="265" w:name="_Toc305158870"/>
      <w:bookmarkStart w:id="266" w:name="_Toc226337224"/>
      <w:bookmarkStart w:id="267" w:name="_Toc151193842"/>
      <w:bookmarkStart w:id="268" w:name="_Toc151193626"/>
      <w:bookmarkStart w:id="269" w:name="_Toc164351622"/>
      <w:bookmarkStart w:id="270" w:name="_Toc305158796"/>
      <w:bookmarkStart w:id="271" w:name="_Toc151190155"/>
      <w:bookmarkStart w:id="272" w:name="_Toc520356152"/>
      <w:bookmarkStart w:id="273" w:name="_Toc264969218"/>
      <w:bookmarkStart w:id="274" w:name="_Toc142311030"/>
      <w:bookmarkStart w:id="275" w:name="_Toc127151729"/>
      <w:bookmarkStart w:id="276" w:name="_Toc150774733"/>
      <w:bookmarkStart w:id="277" w:name="_Toc226309772"/>
      <w:bookmarkStart w:id="278" w:name="_Toc226965718"/>
      <w:bookmarkStart w:id="279" w:name="_Toc151193770"/>
      <w:bookmarkStart w:id="280" w:name="_Toc151193916"/>
      <w:bookmarkStart w:id="281" w:name="_Toc164229223"/>
      <w:bookmarkStart w:id="282" w:name="_Toc149720821"/>
      <w:bookmarkStart w:id="283" w:name="_Toc164229369"/>
      <w:bookmarkStart w:id="284" w:name="_Toc127161442"/>
      <w:r>
        <w:rPr>
          <w:rFonts w:hint="eastAsia" w:ascii="宋体" w:hAnsi="宋体"/>
          <w:sz w:val="24"/>
        </w:rPr>
        <w:t>响应文件</w:t>
      </w:r>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Pr>
          <w:rFonts w:hint="eastAsia" w:ascii="宋体" w:hAnsi="宋体"/>
          <w:sz w:val="24"/>
        </w:rPr>
        <w:t>供应商</w:t>
      </w:r>
      <w:r>
        <w:rPr>
          <w:rFonts w:ascii="宋体" w:hAnsi="宋体"/>
          <w:sz w:val="24"/>
        </w:rPr>
        <w:t>应当按照</w:t>
      </w:r>
      <w:r>
        <w:rPr>
          <w:rFonts w:hint="eastAsia" w:ascii="宋体" w:hAnsi="宋体"/>
          <w:sz w:val="24"/>
        </w:rPr>
        <w:t>比选文件</w:t>
      </w:r>
      <w:r>
        <w:rPr>
          <w:rFonts w:ascii="宋体" w:hAnsi="宋体"/>
          <w:sz w:val="24"/>
        </w:rPr>
        <w:t>的要求编制</w:t>
      </w:r>
      <w:r>
        <w:rPr>
          <w:rFonts w:hint="eastAsia" w:ascii="宋体" w:hAnsi="宋体"/>
          <w:sz w:val="24"/>
        </w:rPr>
        <w:t>响应文件</w:t>
      </w:r>
      <w:r>
        <w:rPr>
          <w:rFonts w:ascii="宋体" w:hAnsi="宋体"/>
          <w:sz w:val="24"/>
        </w:rPr>
        <w:t>。</w:t>
      </w:r>
      <w:r>
        <w:rPr>
          <w:rFonts w:hint="eastAsia" w:ascii="宋体" w:hAnsi="宋体"/>
          <w:sz w:val="24"/>
        </w:rPr>
        <w:t>响应文件</w:t>
      </w:r>
      <w:r>
        <w:rPr>
          <w:rFonts w:ascii="宋体" w:hAnsi="宋体"/>
          <w:sz w:val="24"/>
        </w:rPr>
        <w:t>应由《资格证明文件》、《商务技术文件》两部分构成。</w:t>
      </w:r>
      <w:r>
        <w:rPr>
          <w:rFonts w:hint="eastAsia" w:ascii="宋体" w:hAnsi="宋体"/>
          <w:sz w:val="24"/>
        </w:rPr>
        <w:t>响应文件</w:t>
      </w:r>
      <w:r>
        <w:rPr>
          <w:rFonts w:ascii="宋体" w:hAnsi="宋体"/>
          <w:sz w:val="24"/>
        </w:rPr>
        <w:t>的部分格式要求，见第七章《</w:t>
      </w: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hint="eastAsia" w:ascii="宋体" w:hAnsi="宋体"/>
          <w:sz w:val="24"/>
        </w:rPr>
        <w:t>第四章《采购需求》</w:t>
      </w:r>
      <w:r>
        <w:rPr>
          <w:rFonts w:ascii="宋体" w:hAnsi="宋体"/>
          <w:sz w:val="24"/>
        </w:rPr>
        <w:t>，说明所提供货物和服务已对</w:t>
      </w:r>
      <w:r>
        <w:rPr>
          <w:rFonts w:hint="eastAsia" w:ascii="宋体" w:hAnsi="宋体"/>
          <w:sz w:val="24"/>
        </w:rPr>
        <w:t>第四章《采购需求》</w:t>
      </w:r>
      <w:r>
        <w:rPr>
          <w:rFonts w:ascii="宋体" w:hAnsi="宋体"/>
          <w:sz w:val="24"/>
        </w:rPr>
        <w:t>做出了响应，或申明与</w:t>
      </w:r>
      <w:r>
        <w:rPr>
          <w:rFonts w:hint="eastAsia" w:ascii="宋体" w:hAnsi="宋体"/>
          <w:sz w:val="24"/>
        </w:rPr>
        <w:t>第四章《采购需求》</w:t>
      </w:r>
      <w:r>
        <w:rPr>
          <w:rFonts w:ascii="宋体" w:hAnsi="宋体"/>
          <w:sz w:val="24"/>
        </w:rPr>
        <w:t>的偏差和例外。如</w:t>
      </w:r>
      <w:r>
        <w:rPr>
          <w:rFonts w:hint="eastAsia" w:ascii="宋体" w:hAnsi="宋体"/>
          <w:sz w:val="24"/>
        </w:rPr>
        <w:t>第四章《采购需求》</w:t>
      </w:r>
      <w:r>
        <w:rPr>
          <w:rFonts w:ascii="宋体" w:hAnsi="宋体"/>
          <w:sz w:val="24"/>
        </w:rPr>
        <w:t>中要求提供证明文件的，</w:t>
      </w:r>
      <w:r>
        <w:rPr>
          <w:rFonts w:hint="eastAsia" w:ascii="宋体" w:hAnsi="宋体"/>
          <w:sz w:val="24"/>
        </w:rPr>
        <w:t>供应商</w:t>
      </w:r>
      <w:r>
        <w:rPr>
          <w:rFonts w:ascii="宋体" w:hAnsi="宋体"/>
          <w:sz w:val="24"/>
        </w:rPr>
        <w:t>应当按具体要求提供证明文件。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认为应附的其他材料。</w:t>
      </w:r>
      <w:bookmarkEnd w:id="285"/>
      <w:r>
        <w:rPr>
          <w:rFonts w:hint="eastAsia" w:ascii="宋体" w:hAnsi="宋体"/>
          <w:sz w:val="24"/>
        </w:rPr>
        <w:t>供应商应根据招标项目的特点及要求，提供相应的技术方案、实施方案、技术支持与售后服务方案、培训计划和比选文件中要求供应商响应的其他技术文件等。</w:t>
      </w:r>
    </w:p>
    <w:p>
      <w:pPr>
        <w:numPr>
          <w:ilvl w:val="0"/>
          <w:numId w:val="8"/>
        </w:numPr>
        <w:tabs>
          <w:tab w:val="left" w:pos="360"/>
        </w:tabs>
        <w:snapToGrid w:val="0"/>
        <w:spacing w:line="360" w:lineRule="auto"/>
        <w:ind w:left="357" w:hanging="357"/>
        <w:outlineLvl w:val="1"/>
        <w:rPr>
          <w:rFonts w:ascii="宋体" w:hAnsi="宋体"/>
          <w:sz w:val="24"/>
        </w:rPr>
      </w:pPr>
      <w:bookmarkStart w:id="286" w:name="_Toc151193918"/>
      <w:bookmarkStart w:id="287" w:name="_Toc151193844"/>
      <w:bookmarkStart w:id="288" w:name="_Toc127151530"/>
      <w:bookmarkStart w:id="289" w:name="_Toc149720823"/>
      <w:bookmarkStart w:id="290" w:name="_Toc150774630"/>
      <w:bookmarkStart w:id="291" w:name="_Toc150774735"/>
      <w:bookmarkStart w:id="292" w:name="_Toc164229225"/>
      <w:bookmarkStart w:id="293" w:name="_Toc150509281"/>
      <w:bookmarkStart w:id="294" w:name="_Toc127151731"/>
      <w:bookmarkStart w:id="295" w:name="_Toc164608799"/>
      <w:bookmarkStart w:id="296" w:name="_Toc164608644"/>
      <w:bookmarkStart w:id="297" w:name="_Toc151193700"/>
      <w:bookmarkStart w:id="298" w:name="_Toc520356155"/>
      <w:bookmarkStart w:id="299" w:name="_Toc151193628"/>
      <w:bookmarkStart w:id="300" w:name="_Toc164351624"/>
      <w:bookmarkStart w:id="301" w:name="_Toc150480768"/>
      <w:bookmarkStart w:id="302" w:name="_Toc195842895"/>
      <w:bookmarkStart w:id="303" w:name="_Toc151193772"/>
      <w:bookmarkStart w:id="304" w:name="_Toc164229371"/>
      <w:bookmarkStart w:id="305" w:name="_Toc127161444"/>
      <w:bookmarkStart w:id="306" w:name="_Toc142311032"/>
      <w:bookmarkStart w:id="307" w:name="_Toc151190157"/>
      <w:r>
        <w:rPr>
          <w:rFonts w:hint="eastAsia" w:ascii="宋体" w:hAnsi="宋体"/>
          <w:sz w:val="24"/>
        </w:rPr>
        <w:t>响应</w:t>
      </w:r>
      <w:r>
        <w:rPr>
          <w:rFonts w:ascii="宋体" w:hAnsi="宋体"/>
          <w:sz w:val="24"/>
        </w:rPr>
        <w:t>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的报价应包括为完成本项目所发生的一切费用和税费，招标人将不再支付报价以外的任何费用。</w:t>
      </w:r>
      <w:r>
        <w:rPr>
          <w:rFonts w:hint="eastAsia" w:ascii="宋体" w:hAnsi="宋体"/>
          <w:sz w:val="24"/>
        </w:rPr>
        <w:t>供应商的报价应包括但不限于下列内容，《供应商须知资料表》中有特殊规定的，从其规定。</w:t>
      </w:r>
    </w:p>
    <w:p>
      <w:pPr>
        <w:numPr>
          <w:ilvl w:val="2"/>
          <w:numId w:val="8"/>
        </w:numPr>
        <w:snapToGrid w:val="0"/>
        <w:spacing w:line="360" w:lineRule="auto"/>
        <w:rPr>
          <w:rFonts w:ascii="宋体" w:hAnsi="宋体"/>
          <w:sz w:val="24"/>
        </w:rPr>
      </w:pPr>
      <w:r>
        <w:rPr>
          <w:rFonts w:hint="eastAsia" w:ascii="宋体" w:hAnsi="宋体"/>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ascii="宋体" w:hAnsi="宋体"/>
          <w:sz w:val="24"/>
        </w:rPr>
        <w:t>比选文件</w:t>
      </w:r>
      <w:r>
        <w:rPr>
          <w:rFonts w:ascii="宋体" w:hAnsi="宋体"/>
          <w:sz w:val="24"/>
        </w:rPr>
        <w:t>要求完成本项目的全部相关服务费用；</w:t>
      </w:r>
    </w:p>
    <w:p>
      <w:pPr>
        <w:numPr>
          <w:ilvl w:val="2"/>
          <w:numId w:val="8"/>
        </w:numPr>
        <w:snapToGrid w:val="0"/>
        <w:spacing w:line="360" w:lineRule="auto"/>
        <w:rPr>
          <w:rFonts w:ascii="宋体" w:hAnsi="宋体"/>
          <w:sz w:val="24"/>
        </w:rPr>
      </w:pPr>
      <w:r>
        <w:rPr>
          <w:rFonts w:ascii="宋体" w:hAnsi="宋体"/>
          <w:sz w:val="24"/>
        </w:rPr>
        <w:t>按照</w:t>
      </w:r>
      <w:r>
        <w:rPr>
          <w:rFonts w:hint="eastAsia" w:ascii="宋体" w:hAnsi="宋体"/>
          <w:sz w:val="24"/>
        </w:rPr>
        <w:t>比选文件</w:t>
      </w:r>
      <w:r>
        <w:rPr>
          <w:rFonts w:ascii="宋体" w:hAnsi="宋体"/>
          <w:sz w:val="24"/>
        </w:rPr>
        <w:t xml:space="preserve">要求完成本项目的全部相关服务费用。 </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不能提供任何有选择性或可调整的报价，否则其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应在“</w:t>
      </w:r>
      <w:r>
        <w:rPr>
          <w:rFonts w:hint="eastAsia" w:ascii="宋体" w:hAnsi="宋体"/>
          <w:sz w:val="24"/>
        </w:rPr>
        <w:t>响应</w:t>
      </w:r>
      <w:r>
        <w:rPr>
          <w:rFonts w:ascii="宋体" w:hAnsi="宋体"/>
          <w:sz w:val="24"/>
        </w:rPr>
        <w:t>分项报价表”上标明</w:t>
      </w:r>
      <w:r>
        <w:rPr>
          <w:rFonts w:hint="eastAsia" w:ascii="宋体" w:hAnsi="宋体"/>
          <w:sz w:val="24"/>
        </w:rPr>
        <w:t>所投货物/</w:t>
      </w:r>
      <w:r>
        <w:rPr>
          <w:rFonts w:ascii="宋体" w:hAnsi="宋体"/>
          <w:sz w:val="24"/>
        </w:rPr>
        <w:t>服务的单价和总价，</w:t>
      </w:r>
      <w:r>
        <w:rPr>
          <w:rFonts w:hint="eastAsia" w:ascii="宋体" w:hAnsi="宋体"/>
          <w:sz w:val="24"/>
        </w:rPr>
        <w:t>供应商所报的各分项响应单价在合同履行过程中是固定不变的，不得以任何理由予以变更，否则其</w:t>
      </w:r>
      <w:r>
        <w:rPr>
          <w:rFonts w:hint="eastAsia" w:ascii="宋体" w:hAnsi="宋体"/>
          <w:b/>
          <w:bCs/>
          <w:sz w:val="24"/>
        </w:rPr>
        <w:t>响应无效</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响应报价中，如响应内容超出比选文件要求，该部分内容在评标时将不予以核减。</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最低报价不是授予合同的唯一保证。</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报价保证金</w:t>
      </w:r>
    </w:p>
    <w:p>
      <w:pPr>
        <w:numPr>
          <w:ilvl w:val="1"/>
          <w:numId w:val="8"/>
        </w:numPr>
        <w:tabs>
          <w:tab w:val="left" w:pos="1080"/>
          <w:tab w:val="left" w:pos="2014"/>
        </w:tabs>
        <w:snapToGrid w:val="0"/>
        <w:spacing w:line="360" w:lineRule="auto"/>
        <w:ind w:left="1077" w:hanging="720"/>
        <w:rPr>
          <w:rFonts w:ascii="宋体" w:hAnsi="宋体"/>
          <w:sz w:val="24"/>
        </w:rPr>
      </w:pPr>
      <w:bookmarkStart w:id="308" w:name="_Ref467306302"/>
      <w:r>
        <w:rPr>
          <w:rFonts w:hint="eastAsia" w:ascii="宋体" w:hAnsi="宋体"/>
          <w:sz w:val="24"/>
        </w:rPr>
        <w:t>供应商</w:t>
      </w:r>
      <w:r>
        <w:rPr>
          <w:rFonts w:ascii="宋体" w:hAnsi="宋体"/>
          <w:sz w:val="24"/>
        </w:rPr>
        <w:t>应按《</w:t>
      </w:r>
      <w:r>
        <w:rPr>
          <w:rFonts w:hint="eastAsia" w:ascii="宋体" w:hAnsi="宋体"/>
          <w:sz w:val="24"/>
        </w:rPr>
        <w:t>供应商</w:t>
      </w:r>
      <w:r>
        <w:rPr>
          <w:rFonts w:ascii="宋体" w:hAnsi="宋体"/>
          <w:sz w:val="24"/>
        </w:rPr>
        <w:t>须知资料表》中规定的金额及要求交纳</w:t>
      </w:r>
      <w:bookmarkEnd w:id="308"/>
      <w:r>
        <w:rPr>
          <w:rFonts w:hint="eastAsia" w:ascii="宋体" w:hAnsi="宋体"/>
          <w:sz w:val="24"/>
        </w:rPr>
        <w:t>报价保证金</w:t>
      </w:r>
      <w:r>
        <w:rPr>
          <w:rFonts w:ascii="宋体" w:hAnsi="宋体"/>
          <w:sz w:val="24"/>
        </w:rPr>
        <w:t>，并作为其</w:t>
      </w:r>
      <w:r>
        <w:rPr>
          <w:rFonts w:hint="eastAsia" w:ascii="宋体" w:hAnsi="宋体"/>
          <w:sz w:val="24"/>
        </w:rPr>
        <w:t>响应</w:t>
      </w:r>
      <w:r>
        <w:rPr>
          <w:rFonts w:ascii="宋体" w:hAnsi="宋体"/>
          <w:sz w:val="24"/>
        </w:rPr>
        <w:t>的一部分。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hint="eastAsia" w:ascii="宋体" w:hAnsi="宋体"/>
          <w:sz w:val="24"/>
        </w:rPr>
        <w:t>报价保证金</w:t>
      </w:r>
      <w:r>
        <w:rPr>
          <w:rFonts w:ascii="宋体" w:hAnsi="宋体"/>
          <w:sz w:val="24"/>
        </w:rPr>
        <w:t>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到账（保函提交）截止时间同</w:t>
      </w:r>
      <w:r>
        <w:rPr>
          <w:rFonts w:hint="eastAsia" w:ascii="宋体" w:hAnsi="宋体"/>
          <w:sz w:val="24"/>
        </w:rPr>
        <w:t>响应</w:t>
      </w:r>
      <w:r>
        <w:rPr>
          <w:rFonts w:ascii="宋体" w:hAnsi="宋体"/>
          <w:sz w:val="24"/>
        </w:rPr>
        <w:t>截止时间。以支票、汇票、本票、网上银行支付等形式提交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截止时间前将原件提交至</w:t>
      </w:r>
      <w:r>
        <w:rPr>
          <w:rFonts w:hint="eastAsia" w:ascii="宋体" w:hAnsi="宋体"/>
          <w:sz w:val="24"/>
        </w:rPr>
        <w:t>采购代理机构。由于到账时间晚于响应截止时间的，或者票据错误、印鉴不清等原因导致不能到账的，其</w:t>
      </w:r>
      <w:r>
        <w:rPr>
          <w:rFonts w:hint="eastAsia" w:ascii="宋体" w:hAnsi="宋体"/>
          <w:b/>
          <w:sz w:val="24"/>
        </w:rPr>
        <w:t>响应无效</w:t>
      </w:r>
      <w:r>
        <w:rPr>
          <w:rFonts w:hint="eastAsia" w:ascii="宋体" w:hAnsi="宋体"/>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hint="eastAsia" w:ascii="宋体" w:hAnsi="宋体"/>
          <w:b/>
          <w:bCs/>
          <w:sz w:val="24"/>
        </w:rPr>
        <w:t>无效响应</w:t>
      </w:r>
      <w:r>
        <w:rPr>
          <w:rFonts w:hint="eastAsia"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（保函）有效期同</w:t>
      </w:r>
      <w:r>
        <w:rPr>
          <w:rFonts w:hint="eastAsia" w:ascii="宋体" w:hAnsi="宋体"/>
          <w:sz w:val="24"/>
        </w:rPr>
        <w:t>报价有效期</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响应</w:t>
      </w:r>
      <w:r>
        <w:rPr>
          <w:rFonts w:ascii="宋体" w:hAnsi="宋体"/>
          <w:sz w:val="24"/>
        </w:rPr>
        <w:t>的，可以由联合体中的一方或者共同提交</w:t>
      </w:r>
      <w:r>
        <w:rPr>
          <w:rFonts w:hint="eastAsia" w:ascii="宋体" w:hAnsi="宋体"/>
          <w:sz w:val="24"/>
        </w:rPr>
        <w:t>报价保证金</w:t>
      </w:r>
      <w:r>
        <w:rPr>
          <w:rFonts w:ascii="宋体" w:hAnsi="宋体"/>
          <w:sz w:val="24"/>
        </w:rPr>
        <w:t>，以一方名义提交</w:t>
      </w:r>
      <w:r>
        <w:rPr>
          <w:rFonts w:hint="eastAsia" w:ascii="宋体" w:hAnsi="宋体"/>
          <w:sz w:val="24"/>
        </w:rPr>
        <w:t>报价保证金</w:t>
      </w:r>
      <w:r>
        <w:rPr>
          <w:rFonts w:ascii="宋体" w:hAnsi="宋体"/>
          <w:sz w:val="24"/>
        </w:rPr>
        <w:t>的，对联合体各方均具有约束力。</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hint="eastAsia" w:ascii="宋体" w:hAnsi="宋体"/>
          <w:sz w:val="24"/>
        </w:rPr>
        <w:t>按下列时间</w:t>
      </w:r>
      <w:r>
        <w:rPr>
          <w:rFonts w:ascii="宋体" w:hAnsi="宋体"/>
          <w:sz w:val="24"/>
        </w:rPr>
        <w:t>及时退还</w:t>
      </w:r>
      <w:r>
        <w:rPr>
          <w:rFonts w:hint="eastAsia" w:ascii="宋体" w:hAnsi="宋体"/>
          <w:sz w:val="24"/>
        </w:rPr>
        <w:t>供应商</w:t>
      </w:r>
      <w:r>
        <w:rPr>
          <w:rFonts w:ascii="宋体" w:hAnsi="宋体"/>
          <w:sz w:val="24"/>
        </w:rPr>
        <w:t>的</w:t>
      </w:r>
      <w:r>
        <w:rPr>
          <w:rFonts w:hint="eastAsia" w:ascii="宋体" w:hAnsi="宋体"/>
          <w:sz w:val="24"/>
        </w:rPr>
        <w:t>报价保证金</w:t>
      </w:r>
      <w:r>
        <w:rPr>
          <w:rFonts w:ascii="宋体" w:hAnsi="宋体"/>
          <w:sz w:val="24"/>
        </w:rPr>
        <w:t>，因</w:t>
      </w:r>
      <w:r>
        <w:rPr>
          <w:rFonts w:hint="eastAsia" w:ascii="宋体" w:hAnsi="宋体"/>
          <w:sz w:val="24"/>
        </w:rPr>
        <w:t>供应商</w:t>
      </w:r>
      <w:r>
        <w:rPr>
          <w:rFonts w:ascii="宋体" w:hAnsi="宋体"/>
          <w:sz w:val="24"/>
        </w:rPr>
        <w:t>自身原因导致无法及时退还的除外：</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在</w:t>
      </w:r>
      <w:r>
        <w:rPr>
          <w:rFonts w:hint="eastAsia" w:ascii="宋体" w:hAnsi="宋体"/>
          <w:sz w:val="24"/>
        </w:rPr>
        <w:t>响应</w:t>
      </w:r>
      <w:r>
        <w:rPr>
          <w:rFonts w:ascii="宋体" w:hAnsi="宋体"/>
          <w:sz w:val="24"/>
        </w:rPr>
        <w:t>截止时间前撤回已提交的</w:t>
      </w:r>
      <w:r>
        <w:rPr>
          <w:rFonts w:hint="eastAsia" w:ascii="宋体" w:hAnsi="宋体"/>
          <w:sz w:val="24"/>
        </w:rPr>
        <w:t>响应文件</w:t>
      </w:r>
      <w:r>
        <w:rPr>
          <w:rFonts w:ascii="宋体" w:hAnsi="宋体"/>
          <w:sz w:val="24"/>
        </w:rPr>
        <w:t>的，自收到</w:t>
      </w:r>
      <w:r>
        <w:rPr>
          <w:rFonts w:hint="eastAsia" w:ascii="宋体" w:hAnsi="宋体"/>
          <w:sz w:val="24"/>
        </w:rPr>
        <w:t>供应商</w:t>
      </w:r>
      <w:r>
        <w:rPr>
          <w:rFonts w:ascii="宋体" w:hAnsi="宋体"/>
          <w:sz w:val="24"/>
        </w:rPr>
        <w:t>书面撤回通知之日起5个工作日内退还已收取的</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成交人</w:t>
      </w:r>
      <w:r>
        <w:rPr>
          <w:rFonts w:ascii="宋体" w:hAnsi="宋体"/>
          <w:sz w:val="24"/>
        </w:rPr>
        <w:t>的</w:t>
      </w:r>
      <w:r>
        <w:rPr>
          <w:rFonts w:hint="eastAsia" w:ascii="宋体" w:hAnsi="宋体"/>
          <w:sz w:val="24"/>
        </w:rPr>
        <w:t>报价保证金</w:t>
      </w:r>
      <w:r>
        <w:rPr>
          <w:rFonts w:ascii="宋体" w:hAnsi="宋体"/>
          <w:sz w:val="24"/>
        </w:rPr>
        <w:t>，自采购合同签订之日起5个工作日内退还</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未</w:t>
      </w:r>
      <w:r>
        <w:rPr>
          <w:rFonts w:hint="eastAsia" w:ascii="宋体" w:hAnsi="宋体"/>
          <w:sz w:val="24"/>
        </w:rPr>
        <w:t>成交供应商</w:t>
      </w:r>
      <w:r>
        <w:rPr>
          <w:rFonts w:ascii="宋体" w:hAnsi="宋体"/>
          <w:sz w:val="24"/>
        </w:rPr>
        <w:t>的</w:t>
      </w:r>
      <w:r>
        <w:rPr>
          <w:rFonts w:hint="eastAsia" w:ascii="宋体" w:hAnsi="宋体"/>
          <w:sz w:val="24"/>
        </w:rPr>
        <w:t>报价保证金</w:t>
      </w:r>
      <w:r>
        <w:rPr>
          <w:rFonts w:ascii="宋体" w:hAnsi="宋体"/>
          <w:sz w:val="24"/>
        </w:rPr>
        <w:t>，自</w:t>
      </w:r>
      <w:r>
        <w:rPr>
          <w:rFonts w:hint="eastAsia" w:ascii="宋体" w:hAnsi="宋体"/>
          <w:sz w:val="24"/>
        </w:rPr>
        <w:t>成交</w:t>
      </w:r>
      <w:r>
        <w:rPr>
          <w:rFonts w:ascii="宋体" w:hAnsi="宋体"/>
          <w:sz w:val="24"/>
        </w:rPr>
        <w:t>通知书发出之日起5个工作日内退还未</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终止招标项目已经收取</w:t>
      </w:r>
      <w:r>
        <w:rPr>
          <w:rFonts w:hint="eastAsia" w:ascii="宋体" w:hAnsi="宋体"/>
          <w:sz w:val="24"/>
        </w:rPr>
        <w:t>报价保证金</w:t>
      </w:r>
      <w:r>
        <w:rPr>
          <w:rFonts w:ascii="宋体" w:hAnsi="宋体"/>
          <w:sz w:val="24"/>
        </w:rPr>
        <w:t>的，自终止采购活动后5个工作日内退还已收取的</w:t>
      </w:r>
      <w:r>
        <w:rPr>
          <w:rFonts w:hint="eastAsia" w:ascii="宋体" w:hAnsi="宋体"/>
          <w:sz w:val="24"/>
        </w:rPr>
        <w:t>报价保证金</w:t>
      </w:r>
      <w:r>
        <w:rPr>
          <w:rFonts w:ascii="宋体" w:hAnsi="宋体"/>
          <w:sz w:val="24"/>
        </w:rPr>
        <w:t>及其在银行产生的孳息。</w:t>
      </w:r>
    </w:p>
    <w:p>
      <w:pPr>
        <w:tabs>
          <w:tab w:val="left" w:pos="1980"/>
        </w:tabs>
        <w:snapToGrid w:val="0"/>
        <w:spacing w:line="360" w:lineRule="auto"/>
        <w:ind w:left="1080"/>
        <w:rPr>
          <w:rFonts w:ascii="宋体" w:hAnsi="宋体"/>
          <w:sz w:val="24"/>
        </w:rPr>
      </w:pPr>
      <w:r>
        <w:rPr>
          <w:rFonts w:hint="eastAsia" w:ascii="宋体" w:hAnsi="宋体"/>
          <w:sz w:val="24"/>
        </w:rPr>
        <w:t>采用银行保函、担保机构担保函等形式递交的报价保证金，经供应商同意后采购人、采购代理机构可以不再退还。</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报价有效期</w:t>
      </w:r>
      <w:r>
        <w:rPr>
          <w:rFonts w:ascii="宋体" w:hAnsi="宋体"/>
          <w:sz w:val="24"/>
        </w:rPr>
        <w:t>内</w:t>
      </w:r>
      <w:r>
        <w:rPr>
          <w:rFonts w:hint="eastAsia" w:ascii="宋体" w:hAnsi="宋体"/>
          <w:sz w:val="24"/>
        </w:rPr>
        <w:t>供应商</w:t>
      </w:r>
      <w:r>
        <w:rPr>
          <w:rFonts w:ascii="宋体" w:hAnsi="宋体"/>
          <w:sz w:val="24"/>
        </w:rPr>
        <w:t>撤销</w:t>
      </w:r>
      <w:r>
        <w:rPr>
          <w:rFonts w:hint="eastAsia" w:ascii="宋体" w:hAnsi="宋体"/>
          <w:sz w:val="24"/>
        </w:rPr>
        <w:t>响应文件</w:t>
      </w:r>
      <w:r>
        <w:rPr>
          <w:rFonts w:ascii="宋体" w:hAnsi="宋体"/>
          <w:sz w:val="24"/>
        </w:rPr>
        <w:t>的；</w:t>
      </w:r>
    </w:p>
    <w:p>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hint="eastAsia" w:ascii="宋体" w:hAnsi="宋体"/>
          <w:sz w:val="24"/>
        </w:rPr>
        <w:t>供应商</w:t>
      </w:r>
      <w:r>
        <w:rPr>
          <w:rFonts w:ascii="宋体" w:hAnsi="宋体"/>
          <w:sz w:val="24"/>
        </w:rPr>
        <w:t>须知资料表》中规定的其他情形。</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报价有效期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应在本</w:t>
      </w:r>
      <w:r>
        <w:rPr>
          <w:rFonts w:hint="eastAsia" w:ascii="宋体" w:hAnsi="宋体"/>
          <w:sz w:val="24"/>
        </w:rPr>
        <w:t>比选文件</w:t>
      </w:r>
      <w:r>
        <w:rPr>
          <w:rFonts w:ascii="宋体" w:hAnsi="宋体"/>
          <w:sz w:val="24"/>
        </w:rPr>
        <w:t>《</w:t>
      </w:r>
      <w:r>
        <w:rPr>
          <w:rFonts w:hint="eastAsia" w:ascii="宋体" w:hAnsi="宋体"/>
          <w:sz w:val="24"/>
        </w:rPr>
        <w:t>供应商</w:t>
      </w:r>
      <w:r>
        <w:rPr>
          <w:rFonts w:ascii="宋体" w:hAnsi="宋体"/>
          <w:sz w:val="24"/>
        </w:rPr>
        <w:t>须知资料表》中规定的</w:t>
      </w:r>
      <w:r>
        <w:rPr>
          <w:rFonts w:hint="eastAsia" w:ascii="宋体" w:hAnsi="宋体"/>
          <w:sz w:val="24"/>
        </w:rPr>
        <w:t>报价有效期</w:t>
      </w:r>
      <w:r>
        <w:rPr>
          <w:rFonts w:ascii="宋体" w:hAnsi="宋体"/>
          <w:sz w:val="24"/>
        </w:rPr>
        <w:t>内保持有效，</w:t>
      </w:r>
      <w:r>
        <w:rPr>
          <w:rFonts w:hint="eastAsia" w:ascii="宋体" w:hAnsi="宋体"/>
          <w:sz w:val="24"/>
        </w:rPr>
        <w:t>报价有效期</w:t>
      </w:r>
      <w:r>
        <w:rPr>
          <w:rFonts w:ascii="宋体" w:hAnsi="宋体"/>
          <w:sz w:val="24"/>
        </w:rPr>
        <w:t>少于</w:t>
      </w:r>
      <w:r>
        <w:rPr>
          <w:rFonts w:hint="eastAsia" w:ascii="宋体" w:hAnsi="宋体"/>
          <w:sz w:val="24"/>
        </w:rPr>
        <w:t>比选文件</w:t>
      </w:r>
      <w:r>
        <w:rPr>
          <w:rFonts w:ascii="宋体" w:hAnsi="宋体"/>
          <w:sz w:val="24"/>
        </w:rPr>
        <w:t>规定期限的，其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可根据实际情况，在原报价有效期截止之前，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pPr>
        <w:numPr>
          <w:ilvl w:val="0"/>
          <w:numId w:val="8"/>
        </w:numPr>
        <w:tabs>
          <w:tab w:val="left" w:pos="360"/>
        </w:tabs>
        <w:snapToGrid w:val="0"/>
        <w:spacing w:line="360" w:lineRule="auto"/>
        <w:ind w:left="357" w:hanging="357"/>
        <w:outlineLvl w:val="1"/>
        <w:rPr>
          <w:rFonts w:ascii="宋体" w:hAnsi="宋体"/>
          <w:sz w:val="24"/>
        </w:rPr>
      </w:pPr>
      <w:bookmarkStart w:id="309" w:name="_Toc226965723"/>
      <w:bookmarkStart w:id="310" w:name="_Toc226965806"/>
      <w:bookmarkStart w:id="311" w:name="_Toc520356158"/>
      <w:bookmarkStart w:id="312" w:name="_Toc151193703"/>
      <w:bookmarkStart w:id="313" w:name="_Toc151190160"/>
      <w:bookmarkStart w:id="314" w:name="_Toc164608802"/>
      <w:bookmarkStart w:id="315" w:name="_Toc226309777"/>
      <w:bookmarkStart w:id="316" w:name="_Toc164351627"/>
      <w:bookmarkStart w:id="317" w:name="_Toc265228371"/>
      <w:bookmarkStart w:id="318" w:name="_Toc150509284"/>
      <w:bookmarkStart w:id="319" w:name="_Toc151193631"/>
      <w:bookmarkStart w:id="320" w:name="_Toc164229228"/>
      <w:bookmarkStart w:id="321" w:name="_Toc151193775"/>
      <w:bookmarkStart w:id="322" w:name="_Toc226337229"/>
      <w:bookmarkStart w:id="323" w:name="_Toc150480771"/>
      <w:bookmarkStart w:id="324" w:name="_Toc164608647"/>
      <w:bookmarkStart w:id="325" w:name="_Toc305158875"/>
      <w:bookmarkStart w:id="326" w:name="_Toc164229374"/>
      <w:bookmarkStart w:id="327" w:name="_Toc149720826"/>
      <w:bookmarkStart w:id="328" w:name="_Toc151193921"/>
      <w:bookmarkStart w:id="329" w:name="_Toc127151734"/>
      <w:bookmarkStart w:id="330" w:name="_Toc150774738"/>
      <w:bookmarkStart w:id="331" w:name="_Toc127151533"/>
      <w:bookmarkStart w:id="332" w:name="_Toc305158801"/>
      <w:bookmarkStart w:id="333" w:name="_Toc195842898"/>
      <w:bookmarkStart w:id="334" w:name="_Toc127161447"/>
      <w:bookmarkStart w:id="335" w:name="_Toc150774633"/>
      <w:bookmarkStart w:id="336" w:name="_Toc151193847"/>
      <w:bookmarkStart w:id="337" w:name="_Toc142311035"/>
      <w:bookmarkStart w:id="338" w:name="_Toc264969223"/>
      <w:r>
        <w:rPr>
          <w:rFonts w:hint="eastAsia" w:ascii="宋体" w:hAnsi="宋体"/>
          <w:sz w:val="24"/>
        </w:rPr>
        <w:t>响应文件</w:t>
      </w:r>
      <w:r>
        <w:rPr>
          <w:rFonts w:ascii="宋体" w:hAnsi="宋体"/>
          <w:sz w:val="24"/>
        </w:rPr>
        <w:t>的签署</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ascii="宋体" w:hAnsi="宋体"/>
          <w:sz w:val="24"/>
        </w:rPr>
        <w:t>、盖章</w:t>
      </w:r>
    </w:p>
    <w:p>
      <w:pPr>
        <w:numPr>
          <w:ilvl w:val="1"/>
          <w:numId w:val="8"/>
        </w:numPr>
        <w:tabs>
          <w:tab w:val="left" w:pos="1080"/>
          <w:tab w:val="left" w:pos="2014"/>
        </w:tabs>
        <w:snapToGrid w:val="0"/>
        <w:spacing w:line="360" w:lineRule="auto"/>
        <w:ind w:left="1077" w:hanging="720"/>
        <w:rPr>
          <w:rFonts w:ascii="宋体" w:hAnsi="宋体"/>
          <w:sz w:val="24"/>
        </w:rPr>
      </w:pPr>
      <w:bookmarkStart w:id="339" w:name="_Toc305158802"/>
      <w:bookmarkStart w:id="340" w:name="_Toc151193922"/>
      <w:bookmarkStart w:id="341" w:name="_Toc226309778"/>
      <w:bookmarkStart w:id="342" w:name="_Toc150480772"/>
      <w:bookmarkStart w:id="343" w:name="_Toc520356159"/>
      <w:bookmarkStart w:id="344" w:name="_Toc151193704"/>
      <w:bookmarkStart w:id="345" w:name="_Toc151193848"/>
      <w:bookmarkStart w:id="346" w:name="_Toc127151534"/>
      <w:bookmarkStart w:id="347" w:name="_Toc305158876"/>
      <w:bookmarkStart w:id="348" w:name="_Toc195842899"/>
      <w:bookmarkStart w:id="349" w:name="_Toc150509285"/>
      <w:bookmarkStart w:id="350" w:name="_Toc151193776"/>
      <w:bookmarkStart w:id="351" w:name="_Toc226965807"/>
      <w:bookmarkStart w:id="352" w:name="_Toc151190161"/>
      <w:bookmarkStart w:id="353" w:name="_Toc226965724"/>
      <w:bookmarkStart w:id="354" w:name="_Toc226337230"/>
      <w:bookmarkStart w:id="355" w:name="_Toc150774634"/>
      <w:bookmarkStart w:id="356" w:name="_Toc265228372"/>
      <w:bookmarkStart w:id="357" w:name="_Toc142311036"/>
      <w:bookmarkStart w:id="358" w:name="_Toc150774739"/>
      <w:bookmarkStart w:id="359" w:name="_Toc151193632"/>
      <w:bookmarkStart w:id="360" w:name="_Toc264969224"/>
      <w:r>
        <w:rPr>
          <w:rFonts w:hint="eastAsia" w:ascii="宋体" w:hAnsi="宋体"/>
          <w:sz w:val="24"/>
        </w:rPr>
        <w:t>供应商</w:t>
      </w:r>
      <w:r>
        <w:rPr>
          <w:rFonts w:ascii="宋体" w:hAnsi="宋体"/>
          <w:sz w:val="24"/>
        </w:rPr>
        <w:t>应按</w:t>
      </w:r>
      <w:r>
        <w:rPr>
          <w:rFonts w:hint="eastAsia" w:ascii="宋体" w:hAnsi="宋体"/>
          <w:sz w:val="24"/>
        </w:rPr>
        <w:t>比选文件响应</w:t>
      </w:r>
      <w:r>
        <w:rPr>
          <w:rFonts w:ascii="宋体" w:hAnsi="宋体"/>
          <w:sz w:val="24"/>
        </w:rPr>
        <w:t>须知资料表的规定准备</w:t>
      </w:r>
      <w:r>
        <w:rPr>
          <w:rFonts w:hint="eastAsia" w:ascii="宋体" w:hAnsi="宋体"/>
          <w:sz w:val="24"/>
        </w:rPr>
        <w:t>响应文件</w:t>
      </w:r>
      <w:r>
        <w:rPr>
          <w:rFonts w:ascii="宋体" w:hAnsi="宋体"/>
          <w:sz w:val="24"/>
        </w:rPr>
        <w:t>正本和副本</w:t>
      </w:r>
      <w:r>
        <w:rPr>
          <w:rFonts w:hint="eastAsia" w:ascii="宋体" w:hAnsi="宋体"/>
          <w:sz w:val="24"/>
        </w:rPr>
        <w:t>以及电子版，每份响应文件须清楚地标明“正本”或“副本”。副本可采用正本的复印件。若正本和副本不符，以正本为准；电子版响应文件和纸质版响应文件不符，以纸质版响应文件为准。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需打印或用不退色墨水书写，并由供应商的法定代表人或经其正式授权的代表在响应文件上规定的地方签字并加盖单位公章(标书中所要求盖章处均为单位公章，其他印章如响应专用章、业务专用章、合同专用章等均无效)。授权代表须持有书面的“法定代表人授权书”（标准格式附后），并将其附在响应文件中。</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任何行间插字、涂改和增删，必须由响应文件签字人在修改处签字并加盖公章。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响应文件因字迹潦草或表达不清所引起的后果由供应商负责。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响应文件应装订牢固、目录清楚、页码准确，不得采用活页式装订。采购人、采购代理机构对因装订不牢造成的文件散失不负责任。</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供应商为自然人的，只须按要求签字，响应文件所有加盖公章的要求均不适用。</w:t>
      </w:r>
    </w:p>
    <w:p>
      <w:pPr>
        <w:pStyle w:val="5"/>
        <w:spacing w:before="0" w:line="360" w:lineRule="auto"/>
        <w:rPr>
          <w:rFonts w:ascii="宋体" w:hAnsi="宋体" w:eastAsia="宋体"/>
          <w:sz w:val="28"/>
        </w:rPr>
      </w:pPr>
      <w:r>
        <w:rPr>
          <w:rFonts w:ascii="宋体" w:hAnsi="宋体" w:eastAsia="宋体"/>
          <w:sz w:val="28"/>
        </w:rPr>
        <w:t xml:space="preserve">四  </w:t>
      </w:r>
      <w:r>
        <w:rPr>
          <w:rFonts w:hint="eastAsia" w:ascii="宋体" w:hAnsi="宋体" w:eastAsia="宋体"/>
          <w:sz w:val="28"/>
        </w:rPr>
        <w:t>响应文件</w:t>
      </w:r>
      <w:r>
        <w:rPr>
          <w:rFonts w:ascii="宋体" w:hAnsi="宋体" w:eastAsia="宋体"/>
          <w:sz w:val="28"/>
        </w:rPr>
        <w:t>的提交</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响应文件的密封和标记</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应将“开选一览表”、“报价保证金”、“响应文件正本”、“响应文件副本”、“响应文件电子版”分开单独密封，并在信封上分别注明“开选一览表”、“报价保证金”、“响应文件正本”、“响应文件副本”、“响应文件电子版”字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为方便核查报价保证金，供应商应将“报价保证金</w:t>
      </w:r>
      <w:r>
        <w:rPr>
          <w:rFonts w:ascii="宋体" w:hAnsi="宋体"/>
          <w:sz w:val="24"/>
        </w:rPr>
        <w:t>”</w:t>
      </w:r>
      <w:r>
        <w:rPr>
          <w:rFonts w:hint="eastAsia" w:ascii="宋体" w:hAnsi="宋体"/>
          <w:sz w:val="24"/>
        </w:rPr>
        <w:t>单独密封，并在信封上标明“报价保证金”字样，在响应时单独递交。若报价保证金采用电汇方式，提供电汇底单复印件并加盖供应商公章；若采用网银方式，提供转账网页打印件，并加盖供应商公章。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所有信封（箱）上均应：</w:t>
      </w:r>
    </w:p>
    <w:p>
      <w:pPr>
        <w:numPr>
          <w:ilvl w:val="2"/>
          <w:numId w:val="8"/>
        </w:numPr>
        <w:snapToGrid w:val="0"/>
        <w:spacing w:line="360" w:lineRule="auto"/>
        <w:rPr>
          <w:rFonts w:ascii="宋体" w:hAnsi="宋体"/>
          <w:sz w:val="24"/>
        </w:rPr>
      </w:pPr>
      <w:r>
        <w:rPr>
          <w:rFonts w:ascii="宋体" w:hAnsi="宋体"/>
          <w:sz w:val="24"/>
        </w:rPr>
        <w:t>清楚标明递交至规定的</w:t>
      </w:r>
      <w:r>
        <w:rPr>
          <w:rFonts w:hint="eastAsia" w:ascii="宋体" w:hAnsi="宋体"/>
          <w:sz w:val="24"/>
        </w:rPr>
        <w:t>响应</w:t>
      </w:r>
      <w:r>
        <w:rPr>
          <w:rFonts w:ascii="宋体" w:hAnsi="宋体"/>
          <w:sz w:val="24"/>
        </w:rPr>
        <w:t>地址。</w:t>
      </w:r>
    </w:p>
    <w:p>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w:t>
      </w:r>
      <w:r>
        <w:rPr>
          <w:rFonts w:hint="eastAsia" w:ascii="宋体" w:hAnsi="宋体"/>
          <w:sz w:val="24"/>
          <w:u w:val="single"/>
        </w:rPr>
        <w:t>开选</w:t>
      </w:r>
      <w:r>
        <w:rPr>
          <w:rFonts w:ascii="宋体" w:hAnsi="宋体"/>
          <w:sz w:val="24"/>
          <w:u w:val="single"/>
        </w:rPr>
        <w:t xml:space="preserve">日期、时间 ）    </w:t>
      </w:r>
      <w:r>
        <w:rPr>
          <w:rFonts w:ascii="宋体" w:hAnsi="宋体"/>
          <w:sz w:val="24"/>
        </w:rPr>
        <w:t>之前不得启封”的字样。</w:t>
      </w:r>
    </w:p>
    <w:p>
      <w:pPr>
        <w:numPr>
          <w:ilvl w:val="2"/>
          <w:numId w:val="8"/>
        </w:numPr>
        <w:snapToGrid w:val="0"/>
        <w:spacing w:line="360" w:lineRule="auto"/>
        <w:rPr>
          <w:rFonts w:ascii="宋体" w:hAnsi="宋体"/>
          <w:sz w:val="24"/>
        </w:rPr>
      </w:pPr>
      <w:r>
        <w:rPr>
          <w:rFonts w:ascii="宋体" w:hAnsi="宋体"/>
          <w:sz w:val="24"/>
        </w:rPr>
        <w:t>在信封（箱）的封装处加盖</w:t>
      </w:r>
      <w:r>
        <w:rPr>
          <w:rFonts w:hint="eastAsia" w:ascii="宋体" w:hAnsi="宋体"/>
          <w:sz w:val="24"/>
        </w:rPr>
        <w:t>供应商</w:t>
      </w:r>
      <w:r>
        <w:rPr>
          <w:rFonts w:ascii="宋体" w:hAnsi="宋体"/>
          <w:sz w:val="24"/>
        </w:rPr>
        <w:t>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所有信封（箱）上还应写明供应商名称和地址，以便若其响应被宣布为“迟到”响应时，能原封退回。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如果供应商未按上述要求密封及加写标记，招标采购单位对响应文件的误投或过早启封概不负责。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如果供应商虽然未能按照上述规定对响应文件进行密封，但只要响应文件密封完好的，招标采购单位不得拒收。</w:t>
      </w:r>
    </w:p>
    <w:p>
      <w:pPr>
        <w:numPr>
          <w:ilvl w:val="0"/>
          <w:numId w:val="8"/>
        </w:numPr>
        <w:tabs>
          <w:tab w:val="left" w:pos="360"/>
        </w:tabs>
        <w:snapToGrid w:val="0"/>
        <w:spacing w:line="360" w:lineRule="auto"/>
        <w:ind w:left="357" w:hanging="357"/>
        <w:outlineLvl w:val="1"/>
        <w:rPr>
          <w:rFonts w:ascii="宋体" w:hAnsi="宋体"/>
          <w:sz w:val="24"/>
        </w:rPr>
      </w:pPr>
      <w:bookmarkStart w:id="361" w:name="_Toc150480774"/>
      <w:bookmarkStart w:id="362" w:name="_Toc127151536"/>
      <w:bookmarkStart w:id="363" w:name="_Toc226965726"/>
      <w:bookmarkStart w:id="364" w:name="_Toc226965809"/>
      <w:bookmarkStart w:id="365" w:name="_Toc150774636"/>
      <w:bookmarkStart w:id="366" w:name="_Toc164229231"/>
      <w:bookmarkStart w:id="367" w:name="_Toc164608650"/>
      <w:bookmarkStart w:id="368" w:name="_Toc265228374"/>
      <w:bookmarkStart w:id="369" w:name="_Toc127151737"/>
      <w:bookmarkStart w:id="370" w:name="_Toc151193850"/>
      <w:bookmarkStart w:id="371" w:name="_Toc164608805"/>
      <w:bookmarkStart w:id="372" w:name="_Toc164351630"/>
      <w:bookmarkStart w:id="373" w:name="_Toc149720829"/>
      <w:bookmarkStart w:id="374" w:name="_Toc150509287"/>
      <w:bookmarkStart w:id="375" w:name="_Toc195842901"/>
      <w:bookmarkStart w:id="376" w:name="_Toc151193634"/>
      <w:bookmarkStart w:id="377" w:name="_Toc226309780"/>
      <w:bookmarkStart w:id="378" w:name="_Toc142311038"/>
      <w:bookmarkStart w:id="379" w:name="_Toc151193706"/>
      <w:bookmarkStart w:id="380" w:name="_Toc150774741"/>
      <w:bookmarkStart w:id="381" w:name="_Toc305158804"/>
      <w:bookmarkStart w:id="382" w:name="_Toc226337232"/>
      <w:bookmarkStart w:id="383" w:name="_Toc164229377"/>
      <w:bookmarkStart w:id="384" w:name="_Toc151193924"/>
      <w:bookmarkStart w:id="385" w:name="_Toc127161450"/>
      <w:bookmarkStart w:id="386" w:name="_Toc151193778"/>
      <w:bookmarkStart w:id="387" w:name="_Toc264969226"/>
      <w:bookmarkStart w:id="388" w:name="_Toc151190163"/>
      <w:bookmarkStart w:id="389" w:name="_Toc305158878"/>
      <w:bookmarkStart w:id="390" w:name="_Toc520356161"/>
      <w:r>
        <w:rPr>
          <w:rFonts w:hint="eastAsia" w:ascii="宋体" w:hAnsi="宋体"/>
          <w:sz w:val="24"/>
        </w:rPr>
        <w:t>响应</w:t>
      </w:r>
      <w:r>
        <w:rPr>
          <w:rFonts w:ascii="宋体" w:hAnsi="宋体"/>
          <w:sz w:val="24"/>
        </w:rPr>
        <w:t>截止</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ascii="宋体" w:hAnsi="宋体"/>
          <w:sz w:val="24"/>
        </w:rPr>
        <w:t>时间</w:t>
      </w:r>
    </w:p>
    <w:p>
      <w:pPr>
        <w:numPr>
          <w:ilvl w:val="1"/>
          <w:numId w:val="8"/>
        </w:numPr>
        <w:tabs>
          <w:tab w:val="left" w:pos="1080"/>
          <w:tab w:val="left" w:pos="2014"/>
        </w:tabs>
        <w:snapToGrid w:val="0"/>
        <w:spacing w:line="360" w:lineRule="auto"/>
        <w:ind w:left="1077" w:hanging="720"/>
        <w:rPr>
          <w:rFonts w:ascii="宋体" w:hAnsi="宋体"/>
          <w:sz w:val="24"/>
        </w:rPr>
      </w:pPr>
      <w:bookmarkStart w:id="391" w:name="_Toc305158805"/>
      <w:bookmarkStart w:id="392" w:name="_Toc127151738"/>
      <w:bookmarkStart w:id="393" w:name="_Toc150480775"/>
      <w:bookmarkStart w:id="394" w:name="_Toc226337233"/>
      <w:bookmarkStart w:id="395" w:name="_Toc151193851"/>
      <w:bookmarkStart w:id="396" w:name="_Toc127151537"/>
      <w:bookmarkStart w:id="397" w:name="_Toc226965810"/>
      <w:bookmarkStart w:id="398" w:name="_Toc150774742"/>
      <w:bookmarkStart w:id="399" w:name="_Toc127161451"/>
      <w:bookmarkStart w:id="400" w:name="_Toc142311039"/>
      <w:bookmarkStart w:id="401" w:name="_Toc151193635"/>
      <w:bookmarkStart w:id="402" w:name="_Toc151193779"/>
      <w:bookmarkStart w:id="403" w:name="_Toc164608806"/>
      <w:bookmarkStart w:id="404" w:name="_Toc164229232"/>
      <w:bookmarkStart w:id="405" w:name="_Toc164229378"/>
      <w:bookmarkStart w:id="406" w:name="_Toc195842902"/>
      <w:bookmarkStart w:id="407" w:name="_Toc226309781"/>
      <w:bookmarkStart w:id="408" w:name="_Toc149720830"/>
      <w:bookmarkStart w:id="409" w:name="_Toc164608651"/>
      <w:bookmarkStart w:id="410" w:name="_Toc226965727"/>
      <w:bookmarkStart w:id="411" w:name="_Toc150774637"/>
      <w:bookmarkStart w:id="412" w:name="_Toc265228375"/>
      <w:bookmarkStart w:id="413" w:name="_Toc264969227"/>
      <w:bookmarkStart w:id="414" w:name="_Toc520356162"/>
      <w:bookmarkStart w:id="415" w:name="_Toc305158879"/>
      <w:bookmarkStart w:id="416" w:name="_Toc150509288"/>
      <w:bookmarkStart w:id="417" w:name="_Toc151193925"/>
      <w:bookmarkStart w:id="418" w:name="_Toc151193707"/>
      <w:bookmarkStart w:id="419" w:name="_Toc151190164"/>
      <w:bookmarkStart w:id="420" w:name="_Toc164351631"/>
      <w:r>
        <w:rPr>
          <w:rFonts w:hint="eastAsia" w:ascii="宋体" w:hAnsi="宋体"/>
          <w:sz w:val="24"/>
        </w:rPr>
        <w:t>供应商应在规定的响应截止时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采购人或采购代理机构有权按本须知的规定，通过修改比选文件延长响应截止期。在此情况下，采购人、采购代理机构和供应商受响应截止期制约的所有权利和义务均应延长至新的截止期。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w:t>
      </w:r>
      <w:r>
        <w:rPr>
          <w:rFonts w:ascii="宋体" w:hAnsi="宋体"/>
          <w:sz w:val="24"/>
        </w:rPr>
        <w:t>采购代理机构将拒绝并原封退回在</w:t>
      </w:r>
      <w:r>
        <w:rPr>
          <w:rFonts w:hint="eastAsia" w:ascii="宋体" w:hAnsi="宋体"/>
          <w:sz w:val="24"/>
        </w:rPr>
        <w:t>响应</w:t>
      </w:r>
      <w:r>
        <w:rPr>
          <w:rFonts w:ascii="宋体" w:hAnsi="宋体"/>
          <w:sz w:val="24"/>
        </w:rPr>
        <w:t>截止</w:t>
      </w:r>
      <w:r>
        <w:rPr>
          <w:rFonts w:hint="eastAsia" w:ascii="宋体" w:hAnsi="宋体"/>
          <w:sz w:val="24"/>
        </w:rPr>
        <w:t>时间</w:t>
      </w:r>
      <w:r>
        <w:rPr>
          <w:rFonts w:ascii="宋体" w:hAnsi="宋体"/>
          <w:sz w:val="24"/>
        </w:rPr>
        <w:t>后收到的任何</w:t>
      </w:r>
      <w:r>
        <w:rPr>
          <w:rFonts w:hint="eastAsia" w:ascii="宋体" w:hAnsi="宋体"/>
          <w:sz w:val="24"/>
        </w:rPr>
        <w:t>响应文件</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响应文件的修改、补充与撤回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供应商在提交响应文件后，可在响应截止时间前对其响应文件进行修改、补充或撤回，但必须有修改、补充或撤回的书面通知并由法定代表人或正式授权的供应商代表签字并加盖公章。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供应商对响应文件的补充或修改通知应按本章1</w:t>
      </w:r>
      <w:r>
        <w:rPr>
          <w:rFonts w:ascii="宋体" w:hAnsi="宋体"/>
          <w:sz w:val="24"/>
        </w:rPr>
        <w:t>5</w:t>
      </w:r>
      <w:r>
        <w:rPr>
          <w:rFonts w:hint="eastAsia" w:ascii="宋体" w:hAnsi="宋体"/>
          <w:sz w:val="24"/>
        </w:rPr>
        <w:t>条进行签署、盖章、密封和标记（注明项目名称、招标编号、“补充或修改通知”等）。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在响应截止时间之后，供应商</w:t>
      </w:r>
      <w:r>
        <w:rPr>
          <w:rFonts w:ascii="宋体" w:hAnsi="宋体"/>
          <w:sz w:val="24"/>
        </w:rPr>
        <w:t>不得对其</w:t>
      </w:r>
      <w:r>
        <w:rPr>
          <w:rFonts w:hint="eastAsia" w:ascii="宋体" w:hAnsi="宋体"/>
          <w:sz w:val="24"/>
        </w:rPr>
        <w:t>响应文件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在响应截止时间后、报价有效期内，供应商不得撤销其响应文件（包括全部响应资料），否则其报价保证金将不予退回。</w:t>
      </w:r>
    </w:p>
    <w:p>
      <w:pPr>
        <w:pStyle w:val="5"/>
        <w:spacing w:before="0" w:line="360" w:lineRule="auto"/>
        <w:rPr>
          <w:rFonts w:ascii="宋体" w:hAnsi="宋体" w:eastAsia="宋体"/>
          <w:sz w:val="28"/>
        </w:rPr>
      </w:pPr>
      <w:bookmarkStart w:id="421" w:name="_Toc226965728"/>
      <w:bookmarkStart w:id="422" w:name="_Toc265228376"/>
      <w:bookmarkStart w:id="423" w:name="_Toc226309782"/>
      <w:bookmarkStart w:id="424" w:name="_Toc150774743"/>
      <w:bookmarkStart w:id="425" w:name="_Toc151193708"/>
      <w:bookmarkStart w:id="426" w:name="_Toc151193852"/>
      <w:bookmarkStart w:id="427" w:name="_Toc305158880"/>
      <w:bookmarkStart w:id="428" w:name="_Toc151190165"/>
      <w:bookmarkStart w:id="429" w:name="_Toc151193636"/>
      <w:bookmarkStart w:id="430" w:name="_Toc151193926"/>
      <w:bookmarkStart w:id="431" w:name="_Toc150509289"/>
      <w:bookmarkStart w:id="432" w:name="_Toc150480776"/>
      <w:bookmarkStart w:id="433" w:name="_Toc150774638"/>
      <w:bookmarkStart w:id="434" w:name="_Toc520356163"/>
      <w:bookmarkStart w:id="435" w:name="_Toc142311040"/>
      <w:bookmarkStart w:id="436" w:name="_Toc195842903"/>
      <w:bookmarkStart w:id="437" w:name="_Toc305158806"/>
      <w:bookmarkStart w:id="438" w:name="_Toc151193780"/>
      <w:bookmarkStart w:id="439" w:name="_Toc127151538"/>
      <w:bookmarkStart w:id="440" w:name="_Toc264969228"/>
      <w:bookmarkStart w:id="441" w:name="_Toc226965811"/>
      <w:bookmarkStart w:id="442" w:name="_Toc226337234"/>
      <w:r>
        <w:rPr>
          <w:rFonts w:ascii="宋体" w:hAnsi="宋体" w:eastAsia="宋体"/>
          <w:sz w:val="28"/>
        </w:rPr>
        <w:t xml:space="preserve">五  </w:t>
      </w:r>
      <w:r>
        <w:rPr>
          <w:rFonts w:hint="eastAsia" w:ascii="宋体" w:hAnsi="宋体" w:eastAsia="宋体"/>
          <w:sz w:val="28"/>
        </w:rPr>
        <w:t>开选</w:t>
      </w:r>
      <w:r>
        <w:rPr>
          <w:rFonts w:ascii="宋体" w:hAnsi="宋体" w:eastAsia="宋体"/>
          <w:sz w:val="28"/>
        </w:rPr>
        <w:t>、资格审查及评标</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开选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招标采购单位应当按比选文件的规定，在响应截止时间的同一时间和预先确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评标时有效。供应商不足3家的，不得开选。</w:t>
      </w:r>
    </w:p>
    <w:p>
      <w:pPr>
        <w:numPr>
          <w:ilvl w:val="1"/>
          <w:numId w:val="8"/>
        </w:numPr>
        <w:tabs>
          <w:tab w:val="left" w:pos="1080"/>
          <w:tab w:val="left" w:pos="2014"/>
        </w:tabs>
        <w:snapToGrid w:val="0"/>
        <w:spacing w:line="360" w:lineRule="auto"/>
        <w:ind w:left="1077" w:hanging="720"/>
        <w:rPr>
          <w:rFonts w:ascii="宋体" w:hAnsi="宋体"/>
          <w:sz w:val="24"/>
        </w:rPr>
      </w:pPr>
      <w:bookmarkStart w:id="443" w:name="_Toc520356165"/>
      <w:r>
        <w:rPr>
          <w:rFonts w:hint="eastAsia" w:ascii="宋体" w:hAnsi="宋体"/>
          <w:sz w:val="24"/>
        </w:rPr>
        <w:t>采购代理机构将对唱标内容做开选记录，由供应商代表和相关工作人员签字确认。</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合格供应商不足3家的，不得评标。</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bookmarkEnd w:id="443"/>
    <w:p>
      <w:pPr>
        <w:numPr>
          <w:ilvl w:val="0"/>
          <w:numId w:val="8"/>
        </w:numPr>
        <w:tabs>
          <w:tab w:val="left" w:pos="360"/>
        </w:tabs>
        <w:snapToGrid w:val="0"/>
        <w:spacing w:line="360" w:lineRule="auto"/>
        <w:ind w:left="357" w:hanging="357"/>
        <w:outlineLvl w:val="1"/>
        <w:rPr>
          <w:rFonts w:ascii="宋体" w:hAnsi="宋体"/>
          <w:sz w:val="24"/>
        </w:rPr>
      </w:pPr>
      <w:bookmarkStart w:id="444" w:name="_Toc226337236"/>
      <w:bookmarkStart w:id="445" w:name="_Toc305158882"/>
      <w:bookmarkStart w:id="446" w:name="_Toc151193638"/>
      <w:bookmarkStart w:id="447" w:name="_Toc264969230"/>
      <w:bookmarkStart w:id="448" w:name="_Toc150774640"/>
      <w:bookmarkStart w:id="449" w:name="_Toc150480778"/>
      <w:bookmarkStart w:id="450" w:name="_Toc151193710"/>
      <w:bookmarkStart w:id="451" w:name="_Toc151193854"/>
      <w:bookmarkStart w:id="452" w:name="_Toc226309784"/>
      <w:bookmarkStart w:id="453" w:name="_Toc226965730"/>
      <w:bookmarkStart w:id="454" w:name="_Toc305158808"/>
      <w:bookmarkStart w:id="455" w:name="_Toc265228378"/>
      <w:bookmarkStart w:id="456" w:name="_Toc164608809"/>
      <w:bookmarkStart w:id="457" w:name="_Toc149720833"/>
      <w:bookmarkStart w:id="458" w:name="_Toc150509291"/>
      <w:bookmarkStart w:id="459" w:name="_Toc195842905"/>
      <w:bookmarkStart w:id="460" w:name="_Toc151193782"/>
      <w:bookmarkStart w:id="461" w:name="_Toc150774745"/>
      <w:bookmarkStart w:id="462" w:name="_Toc164608654"/>
      <w:bookmarkStart w:id="463" w:name="_Toc142311042"/>
      <w:bookmarkStart w:id="464" w:name="_Toc151190167"/>
      <w:bookmarkStart w:id="465" w:name="_Toc226965813"/>
      <w:bookmarkStart w:id="466" w:name="_Toc127151741"/>
      <w:bookmarkStart w:id="467" w:name="_Toc127151540"/>
      <w:bookmarkStart w:id="468" w:name="_Toc164229235"/>
      <w:bookmarkStart w:id="469" w:name="_Toc127161454"/>
      <w:bookmarkStart w:id="470" w:name="_Toc151193928"/>
      <w:bookmarkStart w:id="471" w:name="_Toc164351634"/>
      <w:bookmarkStart w:id="472" w:name="_Toc164229381"/>
      <w:r>
        <w:rPr>
          <w:rFonts w:ascii="宋体" w:hAnsi="宋体"/>
          <w:sz w:val="24"/>
        </w:rPr>
        <w:t>评标委员会</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hint="eastAsia" w:ascii="宋体" w:hAnsi="宋体"/>
          <w:sz w:val="24"/>
        </w:rPr>
        <w:t>首都师范大学校内比选采购程序规定和</w:t>
      </w:r>
      <w:r>
        <w:rPr>
          <w:rFonts w:ascii="宋体" w:hAnsi="宋体"/>
          <w:sz w:val="24"/>
        </w:rPr>
        <w:t>本次招标采购项目的特点进行组建，并负责具体评标事务，独立履行职责。</w:t>
      </w:r>
      <w:bookmarkStart w:id="473" w:name="_Toc520356166"/>
      <w:r>
        <w:rPr>
          <w:rFonts w:hint="eastAsia" w:ascii="宋体" w:hAnsi="宋体"/>
          <w:sz w:val="24"/>
        </w:rPr>
        <w:t>评标委员会成员人数应当为3人以上单数，其中评审专家不少于成员总数的三分之二。</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hint="eastAsia" w:ascii="宋体" w:hAnsi="宋体"/>
          <w:sz w:val="24"/>
        </w:rPr>
        <w:t>比选</w:t>
      </w:r>
      <w:r>
        <w:rPr>
          <w:rFonts w:ascii="宋体" w:hAnsi="宋体"/>
          <w:sz w:val="24"/>
        </w:rPr>
        <w:t>采购活动。</w:t>
      </w:r>
      <w:bookmarkEnd w:id="473"/>
      <w:bookmarkStart w:id="474" w:name="_Toc520356169"/>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pPr>
        <w:pStyle w:val="5"/>
        <w:spacing w:before="0" w:line="360" w:lineRule="auto"/>
        <w:rPr>
          <w:rFonts w:ascii="宋体" w:hAnsi="宋体" w:eastAsia="宋体"/>
          <w:sz w:val="28"/>
        </w:rPr>
      </w:pPr>
      <w:bookmarkStart w:id="475" w:name="_Toc151193715"/>
      <w:bookmarkStart w:id="476" w:name="_Toc264969235"/>
      <w:bookmarkStart w:id="477" w:name="_Toc151193643"/>
      <w:bookmarkStart w:id="478" w:name="_Toc150480783"/>
      <w:bookmarkStart w:id="479" w:name="_Toc226309789"/>
      <w:bookmarkStart w:id="480" w:name="_Toc195842910"/>
      <w:bookmarkStart w:id="481" w:name="_Toc265228383"/>
      <w:bookmarkStart w:id="482" w:name="_Toc127151545"/>
      <w:bookmarkStart w:id="483" w:name="_Toc305158887"/>
      <w:bookmarkStart w:id="484" w:name="_Toc226337241"/>
      <w:bookmarkStart w:id="485" w:name="_Toc226965735"/>
      <w:bookmarkStart w:id="486" w:name="_Toc151193787"/>
      <w:bookmarkStart w:id="487" w:name="_Toc305158813"/>
      <w:bookmarkStart w:id="488" w:name="_Toc150774750"/>
      <w:bookmarkStart w:id="489" w:name="_Toc150509296"/>
      <w:bookmarkStart w:id="490" w:name="_Toc142311047"/>
      <w:bookmarkStart w:id="491" w:name="_Toc151193859"/>
      <w:bookmarkStart w:id="492" w:name="_Toc150774645"/>
      <w:bookmarkStart w:id="493" w:name="_Toc151190172"/>
      <w:bookmarkStart w:id="494" w:name="_Toc226965818"/>
      <w:bookmarkStart w:id="495" w:name="_Toc151193933"/>
      <w:r>
        <w:rPr>
          <w:rFonts w:ascii="宋体" w:hAnsi="宋体" w:eastAsia="宋体"/>
          <w:sz w:val="28"/>
        </w:rPr>
        <w:t xml:space="preserve">六  </w:t>
      </w:r>
      <w:bookmarkEnd w:id="474"/>
      <w:r>
        <w:rPr>
          <w:rFonts w:ascii="宋体" w:hAnsi="宋体" w:eastAsia="宋体"/>
          <w:sz w:val="28"/>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Start w:id="496" w:name="_Toc149720840"/>
      <w:bookmarkStart w:id="497" w:name="_Toc305158889"/>
      <w:bookmarkStart w:id="498" w:name="_Toc151190174"/>
      <w:bookmarkStart w:id="499" w:name="_Toc151193645"/>
      <w:bookmarkStart w:id="500" w:name="_Toc164608661"/>
      <w:bookmarkStart w:id="501" w:name="_Toc151193717"/>
      <w:bookmarkStart w:id="502" w:name="_Toc151193789"/>
      <w:bookmarkStart w:id="503" w:name="_Toc150509298"/>
      <w:bookmarkStart w:id="504" w:name="_Toc151193861"/>
      <w:bookmarkStart w:id="505" w:name="_Toc127151547"/>
      <w:bookmarkStart w:id="506" w:name="_Toc226965737"/>
      <w:bookmarkStart w:id="507" w:name="_Toc150774647"/>
      <w:bookmarkStart w:id="508" w:name="_Toc164351641"/>
      <w:bookmarkStart w:id="509" w:name="_Toc305158815"/>
      <w:bookmarkStart w:id="510" w:name="_Toc226337243"/>
      <w:bookmarkStart w:id="511" w:name="_Toc164608816"/>
      <w:bookmarkStart w:id="512" w:name="_Toc127151748"/>
      <w:bookmarkStart w:id="513" w:name="_Toc264969237"/>
      <w:bookmarkStart w:id="514" w:name="_Toc150480785"/>
      <w:bookmarkStart w:id="515" w:name="_Toc150774752"/>
      <w:bookmarkStart w:id="516" w:name="_Toc127161461"/>
      <w:bookmarkStart w:id="517" w:name="_Toc195842912"/>
      <w:bookmarkStart w:id="518" w:name="_Toc226965820"/>
      <w:bookmarkStart w:id="519" w:name="_Toc151193935"/>
      <w:bookmarkStart w:id="520" w:name="_Toc226309791"/>
      <w:bookmarkStart w:id="521" w:name="_Toc164229242"/>
      <w:bookmarkStart w:id="522" w:name="_Toc164229388"/>
      <w:bookmarkStart w:id="523" w:name="_Toc265228385"/>
      <w:bookmarkStart w:id="524" w:name="_Toc142311049"/>
      <w:r>
        <w:rPr>
          <w:rFonts w:hint="eastAsia" w:ascii="宋体" w:hAnsi="宋体" w:eastAsia="宋体"/>
          <w:sz w:val="28"/>
        </w:rPr>
        <w:t>成交</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hint="eastAsia" w:ascii="宋体" w:hAnsi="宋体"/>
          <w:sz w:val="24"/>
        </w:rPr>
        <w:t>成交人</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hint="eastAsia" w:ascii="宋体" w:hAnsi="宋体"/>
          <w:sz w:val="24"/>
        </w:rPr>
        <w:t>成交</w:t>
      </w:r>
      <w:r>
        <w:rPr>
          <w:rFonts w:ascii="宋体" w:hAnsi="宋体"/>
          <w:sz w:val="24"/>
        </w:rPr>
        <w:t>候选人名单中按顺序确定</w:t>
      </w:r>
      <w:r>
        <w:rPr>
          <w:rFonts w:hint="eastAsia" w:ascii="宋体" w:hAnsi="宋体"/>
          <w:sz w:val="24"/>
        </w:rPr>
        <w:t>成交人</w:t>
      </w:r>
      <w:r>
        <w:rPr>
          <w:rFonts w:ascii="宋体" w:hAnsi="宋体"/>
          <w:sz w:val="24"/>
        </w:rPr>
        <w:t>，</w:t>
      </w:r>
      <w:r>
        <w:rPr>
          <w:rFonts w:hint="eastAsia" w:ascii="宋体" w:hAnsi="宋体"/>
          <w:sz w:val="24"/>
        </w:rPr>
        <w:t>成交</w:t>
      </w:r>
      <w:r>
        <w:rPr>
          <w:rFonts w:ascii="宋体" w:hAnsi="宋体"/>
          <w:sz w:val="24"/>
        </w:rPr>
        <w:t>候选人并列的，由采购人或者采购人委托评标委员会按照</w:t>
      </w:r>
      <w:r>
        <w:rPr>
          <w:rFonts w:hint="eastAsia" w:ascii="宋体" w:hAnsi="宋体"/>
          <w:sz w:val="24"/>
        </w:rPr>
        <w:t>比选文件</w:t>
      </w:r>
      <w:r>
        <w:rPr>
          <w:rFonts w:ascii="宋体" w:hAnsi="宋体"/>
          <w:sz w:val="24"/>
        </w:rPr>
        <w:t>规定的方式确定</w:t>
      </w:r>
      <w:r>
        <w:rPr>
          <w:rFonts w:hint="eastAsia" w:ascii="宋体" w:hAnsi="宋体"/>
          <w:sz w:val="24"/>
        </w:rPr>
        <w:t>成交人</w:t>
      </w:r>
      <w:r>
        <w:rPr>
          <w:rFonts w:ascii="宋体" w:hAnsi="宋体"/>
          <w:sz w:val="24"/>
        </w:rPr>
        <w:t>；</w:t>
      </w:r>
      <w:r>
        <w:rPr>
          <w:rFonts w:hint="eastAsia" w:ascii="宋体" w:hAnsi="宋体"/>
          <w:sz w:val="24"/>
        </w:rPr>
        <w:t>比选文件</w:t>
      </w:r>
      <w:r>
        <w:rPr>
          <w:rFonts w:ascii="宋体" w:hAnsi="宋体"/>
          <w:sz w:val="24"/>
        </w:rPr>
        <w:t>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成交人</w:t>
      </w:r>
      <w:r>
        <w:rPr>
          <w:rFonts w:ascii="宋体" w:hAnsi="宋体"/>
          <w:sz w:val="24"/>
        </w:rPr>
        <w:t>，见《</w:t>
      </w:r>
      <w:r>
        <w:rPr>
          <w:rFonts w:hint="eastAsia" w:ascii="宋体" w:hAnsi="宋体"/>
          <w:sz w:val="24"/>
        </w:rPr>
        <w:t>供应商</w:t>
      </w:r>
      <w:r>
        <w:rPr>
          <w:rFonts w:ascii="宋体" w:hAnsi="宋体"/>
          <w:sz w:val="24"/>
        </w:rPr>
        <w:t>须知资料表》。</w:t>
      </w:r>
      <w:r>
        <w:rPr>
          <w:rFonts w:hint="eastAsia" w:ascii="宋体" w:hAnsi="宋体"/>
          <w:sz w:val="24"/>
        </w:rPr>
        <w:t>成交</w:t>
      </w:r>
      <w:r>
        <w:rPr>
          <w:rFonts w:ascii="宋体" w:hAnsi="宋体"/>
          <w:sz w:val="24"/>
        </w:rPr>
        <w:t>候选人并列的，按照《</w:t>
      </w:r>
      <w:r>
        <w:rPr>
          <w:rFonts w:hint="eastAsia" w:ascii="宋体" w:hAnsi="宋体"/>
          <w:sz w:val="24"/>
        </w:rPr>
        <w:t>供应商</w:t>
      </w:r>
      <w:r>
        <w:rPr>
          <w:rFonts w:ascii="宋体" w:hAnsi="宋体"/>
          <w:sz w:val="24"/>
        </w:rPr>
        <w:t>须知资料表》要求确定</w:t>
      </w:r>
      <w:r>
        <w:rPr>
          <w:rFonts w:hint="eastAsia" w:ascii="宋体" w:hAnsi="宋体"/>
          <w:sz w:val="24"/>
        </w:rPr>
        <w:t>成交人</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bookmarkStart w:id="525" w:name="_Toc305158891"/>
      <w:bookmarkStart w:id="526" w:name="_Toc305158817"/>
      <w:bookmarkStart w:id="527" w:name="_Toc226337245"/>
      <w:bookmarkStart w:id="528" w:name="_Toc151193647"/>
      <w:bookmarkStart w:id="529" w:name="_Toc127151549"/>
      <w:bookmarkStart w:id="530" w:name="_Toc149720842"/>
      <w:bookmarkStart w:id="531" w:name="_Toc226965822"/>
      <w:bookmarkStart w:id="532" w:name="_Toc265228387"/>
      <w:bookmarkStart w:id="533" w:name="_Toc264969239"/>
      <w:bookmarkStart w:id="534" w:name="_Toc151193863"/>
      <w:bookmarkStart w:id="535" w:name="_Toc151193719"/>
      <w:bookmarkStart w:id="536" w:name="_Toc150509300"/>
      <w:bookmarkStart w:id="537" w:name="_Toc150774754"/>
      <w:bookmarkStart w:id="538" w:name="_Toc151193937"/>
      <w:bookmarkStart w:id="539" w:name="_Toc226309793"/>
      <w:bookmarkStart w:id="540" w:name="_Toc150480787"/>
      <w:bookmarkStart w:id="541" w:name="_Toc127161463"/>
      <w:bookmarkStart w:id="542" w:name="_Toc150774649"/>
      <w:bookmarkStart w:id="543" w:name="_Toc195842914"/>
      <w:bookmarkStart w:id="544" w:name="_Toc127151750"/>
      <w:bookmarkStart w:id="545" w:name="_Toc164351643"/>
      <w:bookmarkStart w:id="546" w:name="_Toc164608818"/>
      <w:bookmarkStart w:id="547" w:name="_Toc151193791"/>
      <w:bookmarkStart w:id="548" w:name="_Toc151190176"/>
      <w:bookmarkStart w:id="549" w:name="_Toc142311051"/>
      <w:bookmarkStart w:id="550" w:name="_Toc226965739"/>
      <w:bookmarkStart w:id="551" w:name="_Toc164608663"/>
      <w:bookmarkStart w:id="552" w:name="_Toc164229244"/>
      <w:bookmarkStart w:id="553" w:name="_Toc164229390"/>
      <w:bookmarkStart w:id="554" w:name="_Ref467307090"/>
      <w:bookmarkStart w:id="555" w:name="_Toc520356176"/>
      <w:bookmarkStart w:id="556" w:name="_Ref467306425"/>
      <w:r>
        <w:rPr>
          <w:rFonts w:hint="eastAsia" w:ascii="宋体" w:hAnsi="宋体"/>
          <w:sz w:val="24"/>
        </w:rPr>
        <w:t>成交</w:t>
      </w:r>
      <w:r>
        <w:rPr>
          <w:rFonts w:ascii="宋体" w:hAnsi="宋体"/>
          <w:sz w:val="24"/>
        </w:rPr>
        <w:t>公告与</w:t>
      </w:r>
      <w:r>
        <w:rPr>
          <w:rFonts w:hint="eastAsia" w:ascii="宋体" w:hAnsi="宋体"/>
          <w:sz w:val="24"/>
        </w:rPr>
        <w:t>成交</w:t>
      </w:r>
      <w:r>
        <w:rPr>
          <w:rFonts w:ascii="宋体" w:hAnsi="宋体"/>
          <w:sz w:val="24"/>
        </w:rPr>
        <w:t>通知书</w:t>
      </w:r>
      <w:bookmarkEnd w:id="525"/>
      <w:bookmarkEnd w:id="526"/>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hint="eastAsia" w:ascii="宋体" w:hAnsi="宋体"/>
          <w:sz w:val="24"/>
        </w:rPr>
        <w:t>成交人</w:t>
      </w:r>
      <w:r>
        <w:rPr>
          <w:rFonts w:ascii="宋体" w:hAnsi="宋体"/>
          <w:sz w:val="24"/>
        </w:rPr>
        <w:t>确定之日起2个工作日内，</w:t>
      </w:r>
      <w:r>
        <w:rPr>
          <w:rFonts w:ascii="宋体" w:hAnsi="宋体"/>
          <w:color w:val="000000"/>
          <w:kern w:val="0"/>
          <w:sz w:val="24"/>
        </w:rPr>
        <w:t>在</w:t>
      </w:r>
      <w:r>
        <w:rPr>
          <w:rFonts w:hint="eastAsia" w:ascii="宋体" w:hAnsi="宋体"/>
          <w:color w:val="000000"/>
          <w:kern w:val="0"/>
          <w:sz w:val="24"/>
        </w:rPr>
        <w:t>首都师范大学校园网</w:t>
      </w:r>
      <w:r>
        <w:rPr>
          <w:rFonts w:ascii="宋体" w:hAnsi="宋体"/>
          <w:sz w:val="24"/>
        </w:rPr>
        <w:t>发布</w:t>
      </w:r>
      <w:r>
        <w:rPr>
          <w:rFonts w:hint="eastAsia" w:ascii="宋体" w:hAnsi="宋体"/>
          <w:color w:val="000000"/>
          <w:kern w:val="0"/>
          <w:sz w:val="24"/>
        </w:rPr>
        <w:t>成交</w:t>
      </w:r>
      <w:r>
        <w:rPr>
          <w:rFonts w:ascii="宋体" w:hAnsi="宋体"/>
          <w:color w:val="000000"/>
          <w:kern w:val="0"/>
          <w:sz w:val="24"/>
        </w:rPr>
        <w:t>结果</w:t>
      </w:r>
      <w:r>
        <w:rPr>
          <w:rFonts w:ascii="宋体" w:hAnsi="宋体"/>
          <w:sz w:val="24"/>
        </w:rPr>
        <w:t>，</w:t>
      </w:r>
      <w:r>
        <w:rPr>
          <w:rFonts w:hint="eastAsia" w:ascii="宋体" w:hAnsi="宋体"/>
          <w:sz w:val="24"/>
        </w:rPr>
        <w:t>同时向成交人发出成交通知书，向未成交的供应商发出落标通知书，成交</w:t>
      </w:r>
      <w:r>
        <w:rPr>
          <w:rFonts w:ascii="宋体" w:hAnsi="宋体"/>
          <w:sz w:val="24"/>
        </w:rPr>
        <w:t>公告期限为1个工作日。</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w:t>
      </w:r>
      <w:r>
        <w:rPr>
          <w:rFonts w:ascii="宋体" w:hAnsi="宋体"/>
          <w:sz w:val="24"/>
        </w:rPr>
        <w:t>通知书对采购人和</w:t>
      </w:r>
      <w:r>
        <w:rPr>
          <w:rFonts w:hint="eastAsia" w:ascii="宋体" w:hAnsi="宋体"/>
          <w:sz w:val="24"/>
        </w:rPr>
        <w:t>成交</w:t>
      </w:r>
      <w:r>
        <w:rPr>
          <w:rFonts w:ascii="宋体" w:hAnsi="宋体"/>
          <w:sz w:val="24"/>
        </w:rPr>
        <w:t>供应商均具有法律效力。</w:t>
      </w:r>
      <w:r>
        <w:rPr>
          <w:rFonts w:hint="eastAsia" w:ascii="宋体" w:hAnsi="宋体"/>
          <w:sz w:val="24"/>
        </w:rPr>
        <w:t>成交</w:t>
      </w:r>
      <w:r>
        <w:rPr>
          <w:rFonts w:ascii="宋体" w:hAnsi="宋体"/>
          <w:sz w:val="24"/>
        </w:rPr>
        <w:t>通知书发出后，采购人改变</w:t>
      </w:r>
      <w:r>
        <w:rPr>
          <w:rFonts w:hint="eastAsia" w:ascii="宋体" w:hAnsi="宋体"/>
          <w:sz w:val="24"/>
        </w:rPr>
        <w:t>成交</w:t>
      </w:r>
      <w:r>
        <w:rPr>
          <w:rFonts w:ascii="宋体" w:hAnsi="宋体"/>
          <w:sz w:val="24"/>
        </w:rPr>
        <w:t>结果的，或者</w:t>
      </w:r>
      <w:r>
        <w:rPr>
          <w:rFonts w:hint="eastAsia" w:ascii="宋体" w:hAnsi="宋体"/>
          <w:sz w:val="24"/>
        </w:rPr>
        <w:t>成交</w:t>
      </w:r>
      <w:r>
        <w:rPr>
          <w:rFonts w:ascii="宋体" w:hAnsi="宋体"/>
          <w:sz w:val="24"/>
        </w:rPr>
        <w:t>供应商放弃</w:t>
      </w:r>
      <w:r>
        <w:rPr>
          <w:rFonts w:hint="eastAsia" w:ascii="宋体" w:hAnsi="宋体"/>
          <w:sz w:val="24"/>
        </w:rPr>
        <w:t>成交</w:t>
      </w:r>
      <w:r>
        <w:rPr>
          <w:rFonts w:ascii="宋体" w:hAnsi="宋体"/>
          <w:sz w:val="24"/>
        </w:rPr>
        <w:t>项目的，应当依法承担法律责任。</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pPr>
        <w:numPr>
          <w:ilvl w:val="2"/>
          <w:numId w:val="8"/>
        </w:numPr>
        <w:snapToGrid w:val="0"/>
        <w:spacing w:line="360" w:lineRule="auto"/>
        <w:rPr>
          <w:rFonts w:ascii="宋体" w:hAnsi="宋体"/>
          <w:sz w:val="24"/>
        </w:rPr>
      </w:pPr>
      <w:r>
        <w:rPr>
          <w:rFonts w:ascii="宋体" w:hAnsi="宋体"/>
          <w:sz w:val="24"/>
        </w:rPr>
        <w:t>符合专业条件的供应商或者对</w:t>
      </w:r>
      <w:r>
        <w:rPr>
          <w:rFonts w:hint="eastAsia" w:ascii="宋体" w:hAnsi="宋体"/>
          <w:sz w:val="24"/>
        </w:rPr>
        <w:t>比选文件</w:t>
      </w:r>
      <w:r>
        <w:rPr>
          <w:rFonts w:ascii="宋体" w:hAnsi="宋体"/>
          <w:sz w:val="24"/>
        </w:rPr>
        <w:t>作实质响应的供应商不足三家的；</w:t>
      </w:r>
    </w:p>
    <w:p>
      <w:pPr>
        <w:numPr>
          <w:ilvl w:val="2"/>
          <w:numId w:val="8"/>
        </w:numPr>
        <w:snapToGrid w:val="0"/>
        <w:spacing w:line="360" w:lineRule="auto"/>
        <w:rPr>
          <w:rFonts w:ascii="宋体" w:hAnsi="宋体"/>
          <w:sz w:val="24"/>
        </w:rPr>
      </w:pPr>
      <w:r>
        <w:rPr>
          <w:rFonts w:ascii="宋体" w:hAnsi="宋体"/>
          <w:sz w:val="24"/>
        </w:rPr>
        <w:t>出现影响采购公正的违法、违规行为的；</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的报价均超过了采购预算</w:t>
      </w:r>
      <w:r>
        <w:rPr>
          <w:rFonts w:hint="eastAsia" w:ascii="宋体" w:hAnsi="宋体"/>
          <w:sz w:val="24"/>
        </w:rPr>
        <w:t>或最高限价</w:t>
      </w:r>
      <w:r>
        <w:rPr>
          <w:rFonts w:ascii="宋体" w:hAnsi="宋体"/>
          <w:sz w:val="24"/>
        </w:rPr>
        <w:t>，采购人不能支付的；</w:t>
      </w:r>
    </w:p>
    <w:p>
      <w:pPr>
        <w:numPr>
          <w:ilvl w:val="2"/>
          <w:numId w:val="8"/>
        </w:numPr>
        <w:snapToGrid w:val="0"/>
        <w:spacing w:line="360" w:lineRule="auto"/>
        <w:rPr>
          <w:rFonts w:ascii="宋体" w:hAnsi="宋体"/>
          <w:sz w:val="24"/>
        </w:rPr>
      </w:pPr>
      <w:r>
        <w:rPr>
          <w:rFonts w:ascii="宋体" w:hAnsi="宋体"/>
          <w:sz w:val="24"/>
        </w:rPr>
        <w:t>因重大变故，采购任务取消的。</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w:t>
      </w:r>
      <w:r>
        <w:rPr>
          <w:rFonts w:hint="eastAsia" w:ascii="宋体" w:hAnsi="宋体"/>
          <w:sz w:val="24"/>
        </w:rPr>
        <w:t>供应商</w:t>
      </w:r>
      <w:r>
        <w:rPr>
          <w:rFonts w:ascii="宋体" w:hAnsi="宋体"/>
          <w:sz w:val="24"/>
        </w:rPr>
        <w:t>。</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Pr>
        <w:numPr>
          <w:ilvl w:val="0"/>
          <w:numId w:val="8"/>
        </w:numPr>
        <w:tabs>
          <w:tab w:val="left" w:pos="360"/>
        </w:tabs>
        <w:snapToGrid w:val="0"/>
        <w:spacing w:line="360" w:lineRule="auto"/>
        <w:ind w:left="357" w:hanging="357"/>
        <w:outlineLvl w:val="1"/>
        <w:rPr>
          <w:rFonts w:ascii="宋体" w:hAnsi="宋体"/>
          <w:sz w:val="24"/>
        </w:rPr>
      </w:pPr>
      <w:bookmarkStart w:id="557" w:name="_Ref467306978"/>
      <w:bookmarkStart w:id="558" w:name="_Toc149720843"/>
      <w:bookmarkStart w:id="559" w:name="_Toc127151550"/>
      <w:bookmarkStart w:id="560" w:name="_Toc305158818"/>
      <w:bookmarkStart w:id="561" w:name="_Toc151193792"/>
      <w:bookmarkStart w:id="562" w:name="_Toc195842915"/>
      <w:bookmarkStart w:id="563" w:name="_Toc226337246"/>
      <w:bookmarkStart w:id="564" w:name="_Toc151193864"/>
      <w:bookmarkStart w:id="565" w:name="_Toc150480788"/>
      <w:bookmarkStart w:id="566" w:name="_Toc226309794"/>
      <w:bookmarkStart w:id="567" w:name="_Toc264969240"/>
      <w:bookmarkStart w:id="568" w:name="_Toc226965740"/>
      <w:bookmarkStart w:id="569" w:name="_Toc150509301"/>
      <w:bookmarkStart w:id="570" w:name="_Ref467307062"/>
      <w:bookmarkStart w:id="571" w:name="_Toc164229245"/>
      <w:bookmarkStart w:id="572" w:name="_Toc164608819"/>
      <w:bookmarkStart w:id="573" w:name="_Ref467306377"/>
      <w:bookmarkStart w:id="574" w:name="_Toc305158892"/>
      <w:bookmarkStart w:id="575" w:name="_Toc151193648"/>
      <w:bookmarkStart w:id="576" w:name="_Toc164351644"/>
      <w:bookmarkStart w:id="577" w:name="_Ref467307204"/>
      <w:bookmarkStart w:id="578" w:name="_Toc164608664"/>
      <w:bookmarkStart w:id="579" w:name="_Toc127161464"/>
      <w:bookmarkStart w:id="580" w:name="_Toc520356175"/>
      <w:bookmarkStart w:id="581" w:name="_Toc226965823"/>
      <w:bookmarkStart w:id="582" w:name="_Toc151190177"/>
      <w:bookmarkStart w:id="583" w:name="_Toc127151751"/>
      <w:bookmarkStart w:id="584" w:name="_Toc150774650"/>
      <w:bookmarkStart w:id="585" w:name="_Toc150774755"/>
      <w:bookmarkStart w:id="586" w:name="_Toc151193720"/>
      <w:bookmarkStart w:id="587" w:name="_Toc142311052"/>
      <w:bookmarkStart w:id="588" w:name="_Toc151193938"/>
      <w:bookmarkStart w:id="589" w:name="_Toc265228388"/>
      <w:bookmarkStart w:id="590" w:name="_Toc164229391"/>
      <w:r>
        <w:rPr>
          <w:rFonts w:ascii="宋体" w:hAnsi="宋体"/>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w:t>
      </w:r>
      <w:r>
        <w:rPr>
          <w:rFonts w:ascii="宋体" w:hAnsi="宋体"/>
          <w:sz w:val="24"/>
        </w:rPr>
        <w:t>、采购人应当自</w:t>
      </w:r>
      <w:r>
        <w:rPr>
          <w:rFonts w:hint="eastAsia" w:ascii="宋体" w:hAnsi="宋体"/>
          <w:sz w:val="24"/>
        </w:rPr>
        <w:t>成交</w:t>
      </w:r>
      <w:r>
        <w:rPr>
          <w:rFonts w:ascii="宋体" w:hAnsi="宋体"/>
          <w:sz w:val="24"/>
        </w:rPr>
        <w:t>通知书发出之日起30日内，按照</w:t>
      </w:r>
      <w:r>
        <w:rPr>
          <w:rFonts w:hint="eastAsia" w:ascii="宋体" w:hAnsi="宋体"/>
          <w:sz w:val="24"/>
        </w:rPr>
        <w:t>比选文件</w:t>
      </w:r>
      <w:r>
        <w:rPr>
          <w:rFonts w:ascii="宋体" w:hAnsi="宋体"/>
          <w:sz w:val="24"/>
        </w:rPr>
        <w:t>和</w:t>
      </w:r>
      <w:r>
        <w:rPr>
          <w:rFonts w:hint="eastAsia" w:ascii="宋体" w:hAnsi="宋体"/>
          <w:sz w:val="24"/>
        </w:rPr>
        <w:t>成交人响应文件</w:t>
      </w:r>
      <w:r>
        <w:rPr>
          <w:rFonts w:ascii="宋体" w:hAnsi="宋体"/>
          <w:sz w:val="24"/>
        </w:rPr>
        <w:t>的规定签订书面合同。所签订的合同不得对</w:t>
      </w:r>
      <w:r>
        <w:rPr>
          <w:rFonts w:hint="eastAsia" w:ascii="宋体" w:hAnsi="宋体"/>
          <w:sz w:val="24"/>
        </w:rPr>
        <w:t>比选文件</w:t>
      </w:r>
      <w:r>
        <w:rPr>
          <w:rFonts w:ascii="宋体" w:hAnsi="宋体"/>
          <w:sz w:val="24"/>
        </w:rPr>
        <w:t>确定的事项和</w:t>
      </w:r>
      <w:r>
        <w:rPr>
          <w:rFonts w:hint="eastAsia" w:ascii="宋体" w:hAnsi="宋体"/>
          <w:sz w:val="24"/>
        </w:rPr>
        <w:t>成交人响应文件</w:t>
      </w:r>
      <w:r>
        <w:rPr>
          <w:rFonts w:ascii="宋体" w:hAnsi="宋体"/>
          <w:sz w:val="24"/>
        </w:rPr>
        <w:t>作实质性修改。</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w:t>
      </w:r>
      <w:r>
        <w:rPr>
          <w:rFonts w:hint="eastAsia" w:ascii="宋体" w:hAnsi="宋体"/>
          <w:sz w:val="24"/>
        </w:rPr>
        <w:t>成交</w:t>
      </w:r>
      <w:r>
        <w:rPr>
          <w:rFonts w:ascii="宋体" w:hAnsi="宋体"/>
          <w:sz w:val="24"/>
        </w:rPr>
        <w:t>候选人名单排序，确定下一候选人为</w:t>
      </w:r>
      <w:r>
        <w:rPr>
          <w:rFonts w:hint="eastAsia" w:ascii="宋体" w:hAnsi="宋体"/>
          <w:sz w:val="24"/>
        </w:rPr>
        <w:t>成交人</w:t>
      </w:r>
      <w:r>
        <w:rPr>
          <w:rFonts w:ascii="宋体" w:hAnsi="宋体"/>
          <w:sz w:val="24"/>
        </w:rPr>
        <w:t>，</w:t>
      </w:r>
      <w:r>
        <w:rPr>
          <w:rFonts w:hint="eastAsia" w:ascii="宋体" w:hAnsi="宋体"/>
          <w:sz w:val="24"/>
        </w:rPr>
        <w:t>也可以</w:t>
      </w:r>
      <w:r>
        <w:rPr>
          <w:rFonts w:ascii="宋体" w:hAnsi="宋体"/>
          <w:sz w:val="24"/>
        </w:rPr>
        <w:t>重新开展政府采购活动。</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成交</w:t>
      </w:r>
      <w:r>
        <w:rPr>
          <w:rFonts w:ascii="宋体" w:hAnsi="宋体"/>
          <w:sz w:val="24"/>
        </w:rPr>
        <w:t>的，联合体各方应当共同与采购人签订合同，就</w:t>
      </w:r>
      <w:r>
        <w:rPr>
          <w:rFonts w:hint="eastAsia" w:ascii="宋体" w:hAnsi="宋体"/>
          <w:sz w:val="24"/>
        </w:rPr>
        <w:t>成交</w:t>
      </w:r>
      <w:r>
        <w:rPr>
          <w:rFonts w:ascii="宋体" w:hAnsi="宋体"/>
          <w:sz w:val="24"/>
        </w:rPr>
        <w:t>项目向采购人承担连带责任。</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hint="eastAsia" w:ascii="宋体" w:hAnsi="宋体"/>
          <w:sz w:val="24"/>
        </w:rPr>
        <w:t>成交人</w:t>
      </w:r>
      <w:r>
        <w:rPr>
          <w:rFonts w:ascii="宋体" w:hAnsi="宋体"/>
          <w:sz w:val="24"/>
        </w:rPr>
        <w:t>可以依法在</w:t>
      </w:r>
      <w:r>
        <w:rPr>
          <w:rFonts w:hint="eastAsia" w:ascii="宋体" w:hAnsi="宋体"/>
          <w:sz w:val="24"/>
        </w:rPr>
        <w:t>成交</w:t>
      </w:r>
      <w:r>
        <w:rPr>
          <w:rFonts w:ascii="宋体" w:hAnsi="宋体"/>
          <w:sz w:val="24"/>
        </w:rPr>
        <w:t>后将</w:t>
      </w:r>
      <w:r>
        <w:rPr>
          <w:rFonts w:hint="eastAsia" w:ascii="宋体" w:hAnsi="宋体"/>
          <w:sz w:val="24"/>
        </w:rPr>
        <w:t>成交</w:t>
      </w:r>
      <w:r>
        <w:rPr>
          <w:rFonts w:ascii="宋体" w:hAnsi="宋体"/>
          <w:sz w:val="24"/>
        </w:rPr>
        <w:t>项目的非主体、非关键性工作采取分包方式履行合同。本项目的非主体、非关键性工作是否允许分包，见《</w:t>
      </w:r>
      <w:r>
        <w:rPr>
          <w:rFonts w:hint="eastAsia" w:ascii="宋体" w:hAnsi="宋体"/>
          <w:sz w:val="24"/>
        </w:rPr>
        <w:t>供应商</w:t>
      </w:r>
      <w:r>
        <w:rPr>
          <w:rFonts w:ascii="宋体" w:hAnsi="宋体"/>
          <w:sz w:val="24"/>
        </w:rPr>
        <w:t>须知资料表》。政府采购合同分包履行的，应当在</w:t>
      </w:r>
      <w:r>
        <w:rPr>
          <w:rFonts w:hint="eastAsia" w:ascii="宋体" w:hAnsi="宋体"/>
          <w:sz w:val="24"/>
        </w:rPr>
        <w:t>响应文件</w:t>
      </w:r>
      <w:r>
        <w:rPr>
          <w:rFonts w:ascii="宋体" w:hAnsi="宋体"/>
          <w:sz w:val="24"/>
        </w:rPr>
        <w:t>中载明分包承担主体，分包承担主体应当具备相应资质条件且不得再次分包</w:t>
      </w:r>
      <w:r>
        <w:rPr>
          <w:rFonts w:ascii="宋体" w:hAnsi="宋体"/>
          <w:b/>
          <w:sz w:val="24"/>
        </w:rPr>
        <w:t>，</w:t>
      </w:r>
      <w:r>
        <w:rPr>
          <w:rFonts w:ascii="宋体" w:hAnsi="宋体"/>
          <w:sz w:val="24"/>
        </w:rPr>
        <w:t>否则</w:t>
      </w:r>
      <w:r>
        <w:rPr>
          <w:rFonts w:hint="eastAsia" w:ascii="宋体" w:hAnsi="宋体"/>
          <w:b/>
          <w:sz w:val="24"/>
        </w:rPr>
        <w:t>响应</w:t>
      </w:r>
      <w:r>
        <w:rPr>
          <w:rFonts w:ascii="宋体" w:hAnsi="宋体"/>
          <w:b/>
          <w:sz w:val="24"/>
        </w:rPr>
        <w:t>无效</w:t>
      </w:r>
      <w:r>
        <w:rPr>
          <w:rFonts w:ascii="宋体" w:hAnsi="宋体"/>
          <w:sz w:val="24"/>
        </w:rPr>
        <w:t>。</w:t>
      </w:r>
      <w:r>
        <w:rPr>
          <w:rFonts w:hint="eastAsia" w:ascii="宋体" w:hAnsi="宋体"/>
          <w:sz w:val="24"/>
        </w:rPr>
        <w:t>成交人</w:t>
      </w:r>
      <w:r>
        <w:rPr>
          <w:rFonts w:ascii="宋体" w:hAnsi="宋体"/>
          <w:sz w:val="24"/>
        </w:rPr>
        <w:t>就采购项目和分包项目向采购人负责，分包供应商就分包项目承担责任。</w:t>
      </w:r>
    </w:p>
    <w:bookmarkEnd w:id="554"/>
    <w:bookmarkEnd w:id="555"/>
    <w:bookmarkEnd w:id="556"/>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对政府采购活动事项有疑问的，可依法提出询问，并按《</w:t>
      </w:r>
      <w:r>
        <w:rPr>
          <w:rFonts w:hint="eastAsia" w:ascii="宋体" w:hAnsi="宋体"/>
          <w:sz w:val="24"/>
        </w:rPr>
        <w:t>供应商</w:t>
      </w:r>
      <w:r>
        <w:rPr>
          <w:rFonts w:ascii="宋体" w:hAnsi="宋体"/>
          <w:sz w:val="24"/>
        </w:rPr>
        <w:t>须知资料表》载明的形式送达采购人或采购代理机构。</w:t>
      </w:r>
    </w:p>
    <w:p>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认为采购文件、采购过程、</w:t>
      </w:r>
      <w:r>
        <w:rPr>
          <w:rFonts w:hint="eastAsia" w:ascii="宋体" w:hAnsi="宋体"/>
          <w:sz w:val="24"/>
        </w:rPr>
        <w:t>成交</w:t>
      </w:r>
      <w:r>
        <w:rPr>
          <w:rFonts w:ascii="宋体" w:hAnsi="宋体"/>
          <w:sz w:val="24"/>
        </w:rPr>
        <w:t>结果使自己的权益受到损害的，可以在知道或者应知其权益受到损害之日起7个工作日内，由</w:t>
      </w:r>
      <w:r>
        <w:rPr>
          <w:rFonts w:hint="eastAsia" w:ascii="宋体" w:hAnsi="宋体"/>
          <w:sz w:val="24"/>
        </w:rPr>
        <w:t>供应商</w:t>
      </w:r>
      <w:r>
        <w:rPr>
          <w:rFonts w:ascii="宋体" w:hAnsi="宋体"/>
          <w:sz w:val="24"/>
        </w:rPr>
        <w:t>派授权代表以书面形式向采购人、采购代理机构提出质疑。采购人、采购代理机构在收到质疑函后7个工作日内作出答复。</w:t>
      </w:r>
      <w:r>
        <w:rPr>
          <w:rFonts w:hint="eastAsia" w:ascii="宋体" w:hAnsi="宋体"/>
          <w:sz w:val="24"/>
        </w:rPr>
        <w:t>提出质疑的供应商应当是参与所质疑项目招标活动的供应商。潜在供应商已按要求购买比选文件的，可以按规定对比选文件提出质疑。</w:t>
      </w:r>
    </w:p>
    <w:p>
      <w:pPr>
        <w:numPr>
          <w:ilvl w:val="2"/>
          <w:numId w:val="8"/>
        </w:numPr>
        <w:snapToGrid w:val="0"/>
        <w:spacing w:line="360" w:lineRule="auto"/>
        <w:rPr>
          <w:rFonts w:ascii="宋体" w:hAnsi="宋体"/>
          <w:sz w:val="24"/>
        </w:rPr>
      </w:pPr>
      <w:r>
        <w:rPr>
          <w:rFonts w:ascii="宋体" w:hAnsi="宋体"/>
          <w:sz w:val="24"/>
        </w:rPr>
        <w:t>质疑函须使用财政部制定的范本文件。</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为自然人的，应当由本人签字；</w:t>
      </w:r>
      <w:r>
        <w:rPr>
          <w:rFonts w:hint="eastAsia" w:ascii="宋体" w:hAnsi="宋体"/>
          <w:sz w:val="24"/>
        </w:rPr>
        <w:t>供应商</w:t>
      </w:r>
      <w:r>
        <w:rPr>
          <w:rFonts w:ascii="宋体" w:hAnsi="宋体"/>
          <w:sz w:val="24"/>
        </w:rPr>
        <w:t>为法人或者其他组织的，应当由法定代表人、主要负责人，或者其授权代表签字或者盖章，并加盖公章。</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hint="eastAsia" w:ascii="宋体" w:hAnsi="宋体"/>
          <w:sz w:val="24"/>
        </w:rPr>
        <w:t>供应商</w:t>
      </w:r>
      <w:r>
        <w:rPr>
          <w:rFonts w:ascii="宋体" w:hAnsi="宋体"/>
          <w:sz w:val="24"/>
        </w:rPr>
        <w:t>须知资料表》。由</w:t>
      </w:r>
      <w:r>
        <w:rPr>
          <w:rFonts w:hint="eastAsia" w:ascii="宋体" w:hAnsi="宋体"/>
          <w:sz w:val="24"/>
        </w:rPr>
        <w:t>成交人</w:t>
      </w:r>
      <w:r>
        <w:rPr>
          <w:rFonts w:ascii="宋体" w:hAnsi="宋体"/>
          <w:sz w:val="24"/>
        </w:rPr>
        <w:t>支付的，</w:t>
      </w:r>
      <w:r>
        <w:rPr>
          <w:rFonts w:hint="eastAsia" w:ascii="宋体" w:hAnsi="宋体"/>
          <w:sz w:val="24"/>
        </w:rPr>
        <w:t>成交人</w:t>
      </w:r>
      <w:r>
        <w:rPr>
          <w:rFonts w:ascii="宋体" w:hAnsi="宋体"/>
          <w:sz w:val="24"/>
        </w:rPr>
        <w:t>须一次性向采购代理机构缴纳代理费，</w:t>
      </w:r>
      <w:r>
        <w:rPr>
          <w:rFonts w:hint="eastAsia" w:ascii="宋体" w:hAnsi="宋体"/>
          <w:sz w:val="24"/>
        </w:rPr>
        <w:t>响应</w:t>
      </w:r>
      <w:r>
        <w:rPr>
          <w:rFonts w:ascii="宋体" w:hAnsi="宋体"/>
          <w:sz w:val="24"/>
        </w:rPr>
        <w:t>报价应包含代理费用。</w:t>
      </w:r>
    </w:p>
    <w:p>
      <w:pPr>
        <w:spacing w:line="360" w:lineRule="auto"/>
        <w:jc w:val="center"/>
        <w:outlineLvl w:val="0"/>
        <w:rPr>
          <w:b/>
          <w:sz w:val="36"/>
          <w:szCs w:val="36"/>
        </w:rPr>
      </w:pPr>
      <w:bookmarkStart w:id="591" w:name="_Toc150774759"/>
      <w:bookmarkStart w:id="592" w:name="_Toc264969244"/>
      <w:bookmarkStart w:id="593" w:name="_Toc353825544"/>
      <w:bookmarkStart w:id="594" w:name="_Toc305158822"/>
      <w:bookmarkStart w:id="595" w:name="_Toc226337250"/>
      <w:bookmarkStart w:id="596" w:name="_Toc226965827"/>
      <w:bookmarkStart w:id="597" w:name="_Toc353873934"/>
      <w:bookmarkStart w:id="598" w:name="_Toc150480792"/>
      <w:bookmarkStart w:id="599" w:name="_Toc305158896"/>
      <w:bookmarkStart w:id="600" w:name="_Toc265228392"/>
      <w:bookmarkStart w:id="601" w:name="_Toc127151554"/>
      <w:bookmarkStart w:id="602" w:name="_Toc353873664"/>
      <w:bookmarkStart w:id="603" w:name="_Toc142311056"/>
      <w:r>
        <w:rPr>
          <w:rFonts w:ascii="宋体" w:hAnsi="宋体"/>
          <w:sz w:val="24"/>
        </w:rPr>
        <w:br w:type="page"/>
      </w:r>
      <w:bookmarkEnd w:id="591"/>
      <w:bookmarkEnd w:id="592"/>
      <w:bookmarkEnd w:id="593"/>
      <w:bookmarkEnd w:id="594"/>
      <w:bookmarkEnd w:id="595"/>
      <w:bookmarkEnd w:id="596"/>
      <w:bookmarkEnd w:id="597"/>
      <w:bookmarkEnd w:id="598"/>
      <w:bookmarkEnd w:id="599"/>
      <w:bookmarkEnd w:id="600"/>
      <w:bookmarkEnd w:id="601"/>
      <w:bookmarkEnd w:id="602"/>
      <w:bookmarkEnd w:id="603"/>
      <w:bookmarkStart w:id="604" w:name="_Toc31330"/>
      <w:bookmarkStart w:id="605" w:name="_Toc19436"/>
      <w:bookmarkStart w:id="606" w:name="_Toc99301422"/>
      <w:bookmarkStart w:id="607" w:name="_Toc487900382"/>
      <w:r>
        <w:rPr>
          <w:b/>
          <w:sz w:val="36"/>
          <w:szCs w:val="36"/>
        </w:rPr>
        <w:t>第三章   评审方法和评审标准</w:t>
      </w:r>
      <w:bookmarkEnd w:id="604"/>
      <w:bookmarkEnd w:id="605"/>
    </w:p>
    <w:p>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pPr>
        <w:tabs>
          <w:tab w:val="left" w:pos="1080"/>
        </w:tabs>
        <w:snapToGrid w:val="0"/>
        <w:jc w:val="left"/>
        <w:rPr>
          <w:b/>
          <w:sz w:val="24"/>
        </w:rPr>
      </w:pPr>
      <w:r>
        <w:rPr>
          <w:b/>
          <w:sz w:val="24"/>
        </w:rPr>
        <w:tab/>
      </w:r>
    </w:p>
    <w:p>
      <w:pPr>
        <w:numPr>
          <w:ilvl w:val="0"/>
          <w:numId w:val="10"/>
        </w:numPr>
        <w:tabs>
          <w:tab w:val="left" w:pos="360"/>
        </w:tabs>
        <w:snapToGrid w:val="0"/>
        <w:spacing w:line="360" w:lineRule="auto"/>
        <w:outlineLvl w:val="1"/>
        <w:rPr>
          <w:sz w:val="24"/>
        </w:rPr>
      </w:pPr>
      <w:r>
        <w:rPr>
          <w:sz w:val="24"/>
        </w:rPr>
        <w:t>响应文件的资格性检查和符合性审查</w:t>
      </w:r>
    </w:p>
    <w:p>
      <w:pPr>
        <w:numPr>
          <w:ilvl w:val="1"/>
          <w:numId w:val="10"/>
        </w:numPr>
        <w:tabs>
          <w:tab w:val="left" w:pos="1080"/>
        </w:tabs>
        <w:snapToGrid w:val="0"/>
        <w:spacing w:line="360" w:lineRule="auto"/>
        <w:ind w:left="1077" w:hanging="720"/>
        <w:rPr>
          <w:sz w:val="24"/>
        </w:rPr>
      </w:pPr>
      <w:r>
        <w:rPr>
          <w:rFonts w:hint="eastAsia"/>
          <w:sz w:val="24"/>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比选</w:t>
      </w:r>
      <w:r>
        <w:rPr>
          <w:sz w:val="24"/>
        </w:rPr>
        <w:t>文件。未实质性响应</w:t>
      </w:r>
      <w:r>
        <w:rPr>
          <w:rFonts w:hint="eastAsia"/>
          <w:sz w:val="24"/>
        </w:rPr>
        <w:t>比选</w:t>
      </w:r>
      <w:r>
        <w:rPr>
          <w:sz w:val="24"/>
        </w:rPr>
        <w:t>文件的响应文件按</w:t>
      </w:r>
      <w:r>
        <w:rPr>
          <w:b/>
          <w:sz w:val="24"/>
        </w:rPr>
        <w:t>无效响应</w:t>
      </w:r>
      <w:r>
        <w:rPr>
          <w:sz w:val="24"/>
        </w:rPr>
        <w:t>处理。</w:t>
      </w:r>
    </w:p>
    <w:p>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比选</w:t>
      </w:r>
      <w:r>
        <w:rPr>
          <w:sz w:val="24"/>
        </w:rPr>
        <w:t>文件另有规定外，均为“实质性格式”文件。</w:t>
      </w:r>
    </w:p>
    <w:p>
      <w:pPr>
        <w:numPr>
          <w:ilvl w:val="1"/>
          <w:numId w:val="10"/>
        </w:numPr>
        <w:tabs>
          <w:tab w:val="left" w:pos="1080"/>
        </w:tabs>
        <w:snapToGrid w:val="0"/>
        <w:spacing w:line="360" w:lineRule="auto"/>
        <w:ind w:left="1077" w:hanging="720"/>
        <w:rPr>
          <w:sz w:val="24"/>
        </w:rPr>
      </w:pPr>
      <w:r>
        <w:rPr>
          <w:sz w:val="24"/>
        </w:rPr>
        <w:t>《资格性检查要求》见下表：</w:t>
      </w:r>
    </w:p>
    <w:bookmarkEnd w:id="606"/>
    <w:p>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607"/>
    <w:tbl>
      <w:tblPr>
        <w:tblStyle w:val="4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608" w:name="_Hlt487972895"/>
            <w:bookmarkEnd w:id="608"/>
            <w:bookmarkStart w:id="609" w:name="_Toc226965858"/>
            <w:bookmarkStart w:id="610" w:name="_Toc127161490"/>
            <w:bookmarkStart w:id="611" w:name="_Toc353825550"/>
            <w:bookmarkStart w:id="612" w:name="_Toc127151779"/>
            <w:bookmarkStart w:id="613" w:name="_Toc353873940"/>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满足《中华人民共和国政府采购法》第二十二条规定及法律法规的其他规定</w:t>
            </w:r>
          </w:p>
        </w:tc>
        <w:tc>
          <w:tcPr>
            <w:tcW w:w="2596" w:type="pct"/>
            <w:vAlign w:val="center"/>
          </w:tcPr>
          <w:p>
            <w:pPr>
              <w:tabs>
                <w:tab w:val="left" w:pos="1080"/>
              </w:tabs>
              <w:snapToGrid w:val="0"/>
              <w:rPr>
                <w:sz w:val="24"/>
              </w:rPr>
            </w:pPr>
            <w:r>
              <w:rPr>
                <w:sz w:val="24"/>
              </w:rPr>
              <w:t>具体规定见第一章《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rFonts w:hint="eastAsia"/>
                <w:sz w:val="24"/>
              </w:rPr>
              <w:t>供应商</w:t>
            </w:r>
            <w:r>
              <w:rPr>
                <w:sz w:val="24"/>
              </w:rPr>
              <w:t>为企业（包括合伙企业）的，应提供有效的“营业执照”；</w:t>
            </w:r>
          </w:p>
          <w:p>
            <w:pPr>
              <w:tabs>
                <w:tab w:val="left" w:pos="1080"/>
              </w:tabs>
              <w:snapToGrid w:val="0"/>
              <w:rPr>
                <w:sz w:val="24"/>
              </w:rPr>
            </w:pPr>
            <w:r>
              <w:rPr>
                <w:rFonts w:hint="eastAsia"/>
                <w:sz w:val="24"/>
              </w:rPr>
              <w:t>供应商</w:t>
            </w:r>
            <w:r>
              <w:rPr>
                <w:sz w:val="24"/>
              </w:rPr>
              <w:t>为事业单位的，应提供有效的“事业单位法人证书”；</w:t>
            </w:r>
          </w:p>
          <w:p>
            <w:pPr>
              <w:tabs>
                <w:tab w:val="left" w:pos="1080"/>
              </w:tabs>
              <w:snapToGrid w:val="0"/>
              <w:rPr>
                <w:sz w:val="24"/>
              </w:rPr>
            </w:pPr>
            <w:r>
              <w:rPr>
                <w:rFonts w:hint="eastAsia"/>
                <w:sz w:val="24"/>
              </w:rPr>
              <w:t>供应商是非企业机构的，应提供有效的“执业许可证”、“登记证书”等证明文件；</w:t>
            </w:r>
          </w:p>
          <w:p>
            <w:pPr>
              <w:tabs>
                <w:tab w:val="left" w:pos="1080"/>
              </w:tabs>
              <w:snapToGrid w:val="0"/>
              <w:rPr>
                <w:sz w:val="24"/>
              </w:rPr>
            </w:pPr>
            <w:r>
              <w:rPr>
                <w:rFonts w:hint="eastAsia"/>
                <w:sz w:val="24"/>
              </w:rPr>
              <w:t>供应商</w:t>
            </w:r>
            <w:r>
              <w:rPr>
                <w:sz w:val="24"/>
              </w:rPr>
              <w:t>是个体工商户的，应提供有效的“个体工商户营业执照”；</w:t>
            </w:r>
          </w:p>
          <w:p>
            <w:pPr>
              <w:tabs>
                <w:tab w:val="left" w:pos="1080"/>
              </w:tabs>
              <w:snapToGrid w:val="0"/>
              <w:rPr>
                <w:sz w:val="24"/>
              </w:rPr>
            </w:pPr>
            <w:r>
              <w:rPr>
                <w:rFonts w:hint="eastAsia"/>
                <w:sz w:val="24"/>
              </w:rPr>
              <w:t>供应商</w:t>
            </w:r>
            <w:r>
              <w:rPr>
                <w:sz w:val="24"/>
              </w:rPr>
              <w:t>是自然人的，应提供有效的自然人身份证明。</w:t>
            </w:r>
          </w:p>
          <w:p>
            <w:pPr>
              <w:tabs>
                <w:tab w:val="left" w:pos="1080"/>
              </w:tabs>
              <w:snapToGrid w:val="0"/>
              <w:rPr>
                <w:color w:val="000000"/>
                <w:sz w:val="24"/>
              </w:rPr>
            </w:pPr>
            <w:r>
              <w:rPr>
                <w:rFonts w:hint="eastAsia"/>
                <w:color w:val="000000"/>
                <w:sz w:val="24"/>
              </w:rPr>
              <w:t>若本项目允许分支机构参加响应，则分支机构参加响应的，此处可提供该分支机构或其所属法人或其他组织的相应证明文件。</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rFonts w:hint="eastAsia"/>
                <w:sz w:val="24"/>
              </w:rPr>
              <w:t>供应商</w:t>
            </w:r>
            <w:r>
              <w:rPr>
                <w:sz w:val="24"/>
              </w:rPr>
              <w:t>资格声明书</w:t>
            </w:r>
          </w:p>
        </w:tc>
        <w:tc>
          <w:tcPr>
            <w:tcW w:w="2596" w:type="pct"/>
            <w:vAlign w:val="center"/>
          </w:tcPr>
          <w:p>
            <w:pPr>
              <w:tabs>
                <w:tab w:val="left" w:pos="1080"/>
              </w:tabs>
              <w:snapToGrid w:val="0"/>
              <w:rPr>
                <w:sz w:val="24"/>
              </w:rPr>
            </w:pPr>
            <w:r>
              <w:rPr>
                <w:sz w:val="24"/>
              </w:rPr>
              <w:t>提供了符合</w:t>
            </w:r>
            <w:r>
              <w:rPr>
                <w:rFonts w:hint="eastAsia"/>
                <w:sz w:val="24"/>
              </w:rPr>
              <w:t>比选文件</w:t>
            </w:r>
            <w:r>
              <w:rPr>
                <w:sz w:val="24"/>
              </w:rPr>
              <w:t>要求的《</w:t>
            </w:r>
            <w:r>
              <w:rPr>
                <w:rFonts w:hint="eastAsia"/>
                <w:sz w:val="24"/>
              </w:rPr>
              <w:t>供应商</w:t>
            </w:r>
            <w:r>
              <w:rPr>
                <w:sz w:val="24"/>
              </w:rPr>
              <w:t>资格声明书》。</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rFonts w:hint="eastAsia"/>
                <w:sz w:val="24"/>
              </w:rPr>
              <w:t>1-</w:t>
            </w:r>
            <w:r>
              <w:rPr>
                <w:sz w:val="24"/>
              </w:rPr>
              <w:t>3</w:t>
            </w:r>
          </w:p>
        </w:tc>
        <w:tc>
          <w:tcPr>
            <w:tcW w:w="1067" w:type="pct"/>
            <w:vAlign w:val="center"/>
          </w:tcPr>
          <w:p>
            <w:pPr>
              <w:tabs>
                <w:tab w:val="left" w:pos="1080"/>
              </w:tabs>
              <w:snapToGrid w:val="0"/>
              <w:rPr>
                <w:sz w:val="24"/>
              </w:rPr>
            </w:pPr>
            <w:r>
              <w:rPr>
                <w:rFonts w:hint="eastAsia"/>
                <w:sz w:val="24"/>
              </w:rPr>
              <w:t>供应商</w:t>
            </w:r>
            <w:r>
              <w:rPr>
                <w:sz w:val="24"/>
              </w:rPr>
              <w:t>信用记录</w:t>
            </w:r>
          </w:p>
        </w:tc>
        <w:tc>
          <w:tcPr>
            <w:tcW w:w="2596"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pPr>
              <w:tabs>
                <w:tab w:val="left" w:pos="1080"/>
              </w:tabs>
              <w:snapToGrid w:val="0"/>
              <w:rPr>
                <w:sz w:val="24"/>
              </w:rPr>
            </w:pPr>
            <w:r>
              <w:rPr>
                <w:sz w:val="24"/>
              </w:rPr>
              <w:t>无须</w:t>
            </w:r>
            <w:r>
              <w:rPr>
                <w:rFonts w:hint="eastAsia"/>
                <w:sz w:val="24"/>
              </w:rPr>
              <w:t>供应商</w:t>
            </w:r>
            <w:r>
              <w:rPr>
                <w:sz w:val="24"/>
              </w:rPr>
              <w:t>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落实政府采购政策需满足的资格要求</w:t>
            </w:r>
          </w:p>
        </w:tc>
        <w:tc>
          <w:tcPr>
            <w:tcW w:w="2596" w:type="pct"/>
            <w:vAlign w:val="center"/>
          </w:tcPr>
          <w:p>
            <w:pPr>
              <w:tabs>
                <w:tab w:val="left" w:pos="1080"/>
              </w:tabs>
              <w:snapToGrid w:val="0"/>
              <w:rPr>
                <w:sz w:val="24"/>
              </w:rPr>
            </w:pPr>
            <w:r>
              <w:rPr>
                <w:sz w:val="24"/>
              </w:rPr>
              <w:t>具体要求见第一章《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w:t>
            </w:r>
          </w:p>
        </w:tc>
        <w:tc>
          <w:tcPr>
            <w:tcW w:w="1067" w:type="pct"/>
            <w:vAlign w:val="center"/>
          </w:tcPr>
          <w:p>
            <w:pPr>
              <w:tabs>
                <w:tab w:val="left" w:pos="1080"/>
              </w:tabs>
              <w:snapToGrid w:val="0"/>
              <w:rPr>
                <w:sz w:val="24"/>
              </w:rPr>
            </w:pPr>
            <w:r>
              <w:rPr>
                <w:sz w:val="24"/>
              </w:rPr>
              <w:t>中小企业声明函</w:t>
            </w:r>
          </w:p>
        </w:tc>
        <w:tc>
          <w:tcPr>
            <w:tcW w:w="2596" w:type="pct"/>
            <w:vAlign w:val="center"/>
          </w:tcPr>
          <w:p>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pPr>
              <w:tabs>
                <w:tab w:val="left" w:pos="1080"/>
              </w:tabs>
              <w:snapToGrid w:val="0"/>
              <w:rPr>
                <w:sz w:val="24"/>
              </w:rPr>
            </w:pPr>
            <w:r>
              <w:rPr>
                <w:rFonts w:hint="eastAsia"/>
                <w:sz w:val="24"/>
              </w:rPr>
              <w:t>1、供应商单独响应的，应提供中小企业声明函；如为监狱企业或</w:t>
            </w:r>
            <w:r>
              <w:rPr>
                <w:sz w:val="24"/>
              </w:rPr>
              <w:t>残疾人福利性单位</w:t>
            </w:r>
            <w:r>
              <w:rPr>
                <w:rFonts w:hint="eastAsia"/>
                <w:sz w:val="24"/>
              </w:rPr>
              <w:t>，不必提供中小企业声明函，但须按注1或注2要求提供证明材料。</w:t>
            </w:r>
          </w:p>
          <w:p>
            <w:pPr>
              <w:tabs>
                <w:tab w:val="left" w:pos="1080"/>
              </w:tabs>
              <w:snapToGrid w:val="0"/>
              <w:rPr>
                <w:sz w:val="24"/>
              </w:rPr>
            </w:pPr>
            <w:r>
              <w:rPr>
                <w:rFonts w:hint="eastAsia"/>
                <w:sz w:val="24"/>
              </w:rPr>
              <w:t>2、如比选文件</w:t>
            </w:r>
            <w:r>
              <w:rPr>
                <w:sz w:val="24"/>
              </w:rPr>
              <w:t>要求以联合体形式参加或者要求合同分包的，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pPr>
              <w:tabs>
                <w:tab w:val="left" w:pos="1080"/>
              </w:tabs>
              <w:snapToGrid w:val="0"/>
              <w:rPr>
                <w:sz w:val="24"/>
              </w:rPr>
            </w:pPr>
          </w:p>
          <w:p>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pPr>
              <w:tabs>
                <w:tab w:val="left" w:pos="1080"/>
              </w:tabs>
              <w:snapToGrid w:val="0"/>
              <w:rPr>
                <w:sz w:val="24"/>
              </w:rPr>
            </w:pPr>
            <w:r>
              <w:rPr>
                <w:rFonts w:hint="eastAsia"/>
                <w:sz w:val="24"/>
              </w:rPr>
              <w:t>注2：</w:t>
            </w:r>
            <w:r>
              <w:rPr>
                <w:sz w:val="24"/>
              </w:rPr>
              <w:t>残疾人福利性单位须按</w:t>
            </w:r>
            <w:r>
              <w:rPr>
                <w:rFonts w:hint="eastAsia"/>
                <w:sz w:val="24"/>
              </w:rPr>
              <w:t>比选文件</w:t>
            </w:r>
            <w:r>
              <w:rPr>
                <w:sz w:val="24"/>
              </w:rPr>
              <w:t>要求提供《残疾人福利性单位声明函》。</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pPr>
              <w:tabs>
                <w:tab w:val="left" w:pos="1080"/>
              </w:tabs>
              <w:snapToGrid w:val="0"/>
              <w:jc w:val="center"/>
              <w:rPr>
                <w:sz w:val="24"/>
              </w:rPr>
            </w:pPr>
            <w:r>
              <w:rPr>
                <w:sz w:val="24"/>
              </w:rPr>
              <w:t>2-2</w:t>
            </w:r>
          </w:p>
        </w:tc>
        <w:tc>
          <w:tcPr>
            <w:tcW w:w="1067" w:type="pct"/>
            <w:vAlign w:val="center"/>
          </w:tcPr>
          <w:p>
            <w:pPr>
              <w:tabs>
                <w:tab w:val="left" w:pos="1080"/>
              </w:tabs>
              <w:snapToGrid w:val="0"/>
              <w:rPr>
                <w:sz w:val="24"/>
              </w:rPr>
            </w:pPr>
            <w:r>
              <w:rPr>
                <w:sz w:val="24"/>
              </w:rPr>
              <w:t>拟分包情况说明及分包意向协议（类型一）</w:t>
            </w:r>
          </w:p>
        </w:tc>
        <w:tc>
          <w:tcPr>
            <w:tcW w:w="2596" w:type="pct"/>
            <w:vAlign w:val="center"/>
          </w:tcPr>
          <w:p>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2-3</w:t>
            </w:r>
          </w:p>
        </w:tc>
        <w:tc>
          <w:tcPr>
            <w:tcW w:w="1067" w:type="pct"/>
            <w:vAlign w:val="center"/>
          </w:tcPr>
          <w:p>
            <w:pPr>
              <w:tabs>
                <w:tab w:val="left" w:pos="1080"/>
              </w:tabs>
              <w:snapToGrid w:val="0"/>
              <w:rPr>
                <w:sz w:val="24"/>
              </w:rPr>
            </w:pPr>
            <w:r>
              <w:rPr>
                <w:sz w:val="24"/>
              </w:rPr>
              <w:t>其它落实政府采购政策的资格要求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提供相关证件复印件并加盖公章、提供承诺函原件，签字并加盖公章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54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sz w:val="24"/>
              </w:rPr>
              <w:t>是否接受联合体</w:t>
            </w:r>
            <w:r>
              <w:rPr>
                <w:rFonts w:hint="eastAsia"/>
                <w:sz w:val="24"/>
              </w:rPr>
              <w:t>响应</w:t>
            </w:r>
          </w:p>
        </w:tc>
        <w:tc>
          <w:tcPr>
            <w:tcW w:w="2596" w:type="pct"/>
            <w:vAlign w:val="center"/>
          </w:tcPr>
          <w:p>
            <w:pPr>
              <w:tabs>
                <w:tab w:val="left" w:pos="1080"/>
              </w:tabs>
              <w:snapToGrid w:val="0"/>
              <w:rPr>
                <w:sz w:val="24"/>
              </w:rPr>
            </w:pPr>
            <w:r>
              <w:rPr>
                <w:sz w:val="24"/>
              </w:rPr>
              <w:t>1、如本项目接受联合体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pPr>
              <w:tabs>
                <w:tab w:val="left" w:pos="1080"/>
              </w:tabs>
              <w:snapToGrid w:val="0"/>
              <w:rPr>
                <w:sz w:val="24"/>
              </w:rPr>
            </w:pPr>
            <w:r>
              <w:rPr>
                <w:sz w:val="24"/>
              </w:rPr>
              <w:t>2、</w:t>
            </w:r>
            <w:r>
              <w:rPr>
                <w:rFonts w:hint="eastAsia"/>
                <w:sz w:val="24"/>
              </w:rPr>
              <w:t>联合体各成员单位均须提供本表中序号1-1、1-2的证明文件。</w:t>
            </w:r>
          </w:p>
          <w:p>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rFonts w:hint="eastAsia"/>
                <w:b/>
                <w:sz w:val="24"/>
              </w:rPr>
              <w:t>响应</w:t>
            </w:r>
            <w:r>
              <w:rPr>
                <w:b/>
                <w:sz w:val="24"/>
              </w:rPr>
              <w:t>无效</w:t>
            </w:r>
            <w:r>
              <w:rPr>
                <w:sz w:val="24"/>
              </w:rPr>
              <w:t>。</w:t>
            </w:r>
          </w:p>
          <w:p>
            <w:pPr>
              <w:tabs>
                <w:tab w:val="left" w:pos="1080"/>
              </w:tabs>
              <w:snapToGrid w:val="0"/>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pPr>
              <w:tabs>
                <w:tab w:val="left" w:pos="1080"/>
              </w:tabs>
              <w:snapToGrid w:val="0"/>
              <w:rPr>
                <w:sz w:val="24"/>
              </w:rPr>
            </w:pPr>
            <w:r>
              <w:rPr>
                <w:sz w:val="24"/>
              </w:rPr>
              <w:t>提供《联合协议》</w:t>
            </w:r>
            <w:r>
              <w:rPr>
                <w:rFonts w:hint="eastAsia"/>
                <w:sz w:val="24"/>
              </w:rPr>
              <w:t>原</w:t>
            </w:r>
            <w:r>
              <w:rPr>
                <w:sz w:val="24"/>
              </w:rPr>
              <w:t>件</w:t>
            </w:r>
          </w:p>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sz w:val="24"/>
              </w:rPr>
            </w:pPr>
            <w:r>
              <w:rPr>
                <w:sz w:val="24"/>
              </w:rPr>
              <w:t>3-2</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color w:val="000000"/>
                <w:sz w:val="24"/>
              </w:rPr>
              <w:t>如有，见</w:t>
            </w:r>
            <w:r>
              <w:rPr>
                <w:sz w:val="24"/>
              </w:rPr>
              <w:t>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rFonts w:hint="eastAsia"/>
                <w:sz w:val="24"/>
              </w:rPr>
              <w:t>报价保证金</w:t>
            </w:r>
          </w:p>
        </w:tc>
        <w:tc>
          <w:tcPr>
            <w:tcW w:w="2596" w:type="pct"/>
            <w:vAlign w:val="center"/>
          </w:tcPr>
          <w:p>
            <w:pPr>
              <w:tabs>
                <w:tab w:val="left" w:pos="1080"/>
              </w:tabs>
              <w:snapToGrid w:val="0"/>
              <w:rPr>
                <w:sz w:val="24"/>
              </w:rPr>
            </w:pPr>
            <w:r>
              <w:rPr>
                <w:color w:val="000000"/>
                <w:kern w:val="0"/>
                <w:sz w:val="24"/>
              </w:rPr>
              <w:t>按照</w:t>
            </w:r>
            <w:r>
              <w:rPr>
                <w:rFonts w:hint="eastAsia"/>
                <w:color w:val="000000"/>
                <w:kern w:val="0"/>
                <w:sz w:val="24"/>
              </w:rPr>
              <w:t>比选文件</w:t>
            </w:r>
            <w:r>
              <w:rPr>
                <w:color w:val="000000"/>
                <w:kern w:val="0"/>
                <w:sz w:val="24"/>
              </w:rPr>
              <w:t>的规定提交</w:t>
            </w:r>
            <w:r>
              <w:rPr>
                <w:rFonts w:hint="eastAsia"/>
                <w:color w:val="000000"/>
                <w:kern w:val="0"/>
                <w:sz w:val="24"/>
              </w:rPr>
              <w:t>报价保证金。</w:t>
            </w:r>
          </w:p>
        </w:tc>
        <w:tc>
          <w:tcPr>
            <w:tcW w:w="882" w:type="pct"/>
            <w:vAlign w:val="center"/>
          </w:tcPr>
          <w:p>
            <w:pPr>
              <w:tabs>
                <w:tab w:val="left" w:pos="1080"/>
              </w:tabs>
              <w:snapToGrid w:val="0"/>
              <w:rPr>
                <w:sz w:val="24"/>
              </w:rPr>
            </w:pPr>
          </w:p>
        </w:tc>
        <w:bookmarkStart w:id="614" w:name="_Hlt487900425"/>
        <w:bookmarkStart w:id="615" w:name="_Hlt522424701"/>
      </w:tr>
      <w:bookmarkEnd w:id="614"/>
      <w:bookmarkEnd w:id="615"/>
    </w:tbl>
    <w:p>
      <w:pPr>
        <w:widowControl/>
        <w:jc w:val="left"/>
        <w:rPr>
          <w:rFonts w:ascii="宋体" w:hAnsi="宋体"/>
          <w:sz w:val="24"/>
        </w:rPr>
      </w:pPr>
      <w:r>
        <w:rPr>
          <w:rFonts w:ascii="宋体" w:hAnsi="宋体"/>
          <w:sz w:val="24"/>
        </w:rPr>
        <w:br w:type="page"/>
      </w:r>
    </w:p>
    <w:bookmarkEnd w:id="609"/>
    <w:bookmarkEnd w:id="610"/>
    <w:bookmarkEnd w:id="611"/>
    <w:bookmarkEnd w:id="612"/>
    <w:bookmarkEnd w:id="613"/>
    <w:p>
      <w:pPr>
        <w:tabs>
          <w:tab w:val="left" w:pos="900"/>
          <w:tab w:val="left" w:pos="1080"/>
          <w:tab w:val="left" w:pos="1589"/>
        </w:tabs>
        <w:snapToGrid w:val="0"/>
        <w:spacing w:line="360" w:lineRule="auto"/>
        <w:ind w:leftChars="-170" w:hanging="357" w:hangingChars="148"/>
        <w:jc w:val="center"/>
        <w:rPr>
          <w:rFonts w:ascii="宋体" w:hAnsi="宋体"/>
          <w:b/>
          <w:color w:val="000000"/>
          <w:sz w:val="24"/>
        </w:rPr>
      </w:pPr>
      <w:bookmarkStart w:id="616" w:name="_Toc353825551"/>
      <w:bookmarkStart w:id="617" w:name="_Toc353873941"/>
      <w:bookmarkStart w:id="618" w:name="_Toc353873935"/>
      <w:bookmarkStart w:id="619" w:name="_Toc226965828"/>
      <w:bookmarkStart w:id="620" w:name="_Toc353825545"/>
      <w:bookmarkStart w:id="621" w:name="_Toc264969245"/>
      <w:bookmarkStart w:id="622" w:name="_Toc353873665"/>
      <w:bookmarkStart w:id="623" w:name="_Toc195842920"/>
      <w:bookmarkStart w:id="624" w:name="_Toc305158897"/>
      <w:bookmarkStart w:id="625" w:name="_Toc265228393"/>
      <w:bookmarkStart w:id="626" w:name="_Toc142311057"/>
      <w:bookmarkStart w:id="627" w:name="_Toc226337251"/>
      <w:bookmarkStart w:id="628" w:name="_Toc305158823"/>
      <w:bookmarkStart w:id="629" w:name="_Toc127151555"/>
      <w:bookmarkStart w:id="630" w:name="_Toc150480793"/>
      <w:bookmarkStart w:id="631" w:name="_Toc150774760"/>
      <w:r>
        <w:rPr>
          <w:rFonts w:ascii="宋体" w:hAnsi="宋体"/>
          <w:b/>
          <w:sz w:val="24"/>
        </w:rPr>
        <w:t>符合性审查</w:t>
      </w:r>
      <w:r>
        <w:rPr>
          <w:rFonts w:hint="eastAsia" w:ascii="宋体" w:hAnsi="宋体"/>
          <w:b/>
          <w:sz w:val="24"/>
        </w:rPr>
        <w:t>要求</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pPr>
              <w:widowControl/>
              <w:jc w:val="center"/>
              <w:rPr>
                <w:b/>
                <w:color w:val="000000"/>
                <w:kern w:val="0"/>
                <w:sz w:val="24"/>
              </w:rPr>
            </w:pPr>
            <w:r>
              <w:rPr>
                <w:b/>
                <w:color w:val="000000"/>
                <w:kern w:val="0"/>
                <w:sz w:val="24"/>
              </w:rPr>
              <w:t>序号</w:t>
            </w:r>
          </w:p>
        </w:tc>
        <w:tc>
          <w:tcPr>
            <w:tcW w:w="976" w:type="pct"/>
            <w:vAlign w:val="center"/>
          </w:tcPr>
          <w:p>
            <w:pPr>
              <w:widowControl/>
              <w:jc w:val="center"/>
              <w:rPr>
                <w:b/>
                <w:color w:val="000000"/>
                <w:kern w:val="0"/>
                <w:sz w:val="24"/>
              </w:rPr>
            </w:pPr>
            <w:r>
              <w:rPr>
                <w:b/>
                <w:color w:val="000000"/>
                <w:kern w:val="0"/>
                <w:sz w:val="24"/>
              </w:rPr>
              <w:t>审查因素</w:t>
            </w:r>
          </w:p>
        </w:tc>
        <w:tc>
          <w:tcPr>
            <w:tcW w:w="3620" w:type="pct"/>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w:t>
            </w:r>
          </w:p>
        </w:tc>
        <w:tc>
          <w:tcPr>
            <w:tcW w:w="976" w:type="pct"/>
            <w:vAlign w:val="center"/>
          </w:tcPr>
          <w:p>
            <w:pPr>
              <w:widowControl/>
              <w:jc w:val="left"/>
              <w:rPr>
                <w:color w:val="000000"/>
                <w:kern w:val="0"/>
                <w:sz w:val="24"/>
              </w:rPr>
            </w:pPr>
            <w:r>
              <w:rPr>
                <w:color w:val="000000"/>
                <w:kern w:val="0"/>
                <w:sz w:val="24"/>
              </w:rPr>
              <w:t>授权委托书</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2</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3</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比选文件</w:t>
            </w:r>
            <w:r>
              <w:rPr>
                <w:color w:val="000000"/>
                <w:sz w:val="24"/>
              </w:rPr>
              <w:t>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4</w:t>
            </w:r>
          </w:p>
        </w:tc>
        <w:tc>
          <w:tcPr>
            <w:tcW w:w="976" w:type="pct"/>
            <w:vAlign w:val="center"/>
          </w:tcPr>
          <w:p>
            <w:pPr>
              <w:widowControl/>
              <w:jc w:val="left"/>
              <w:rPr>
                <w:color w:val="000000"/>
                <w:kern w:val="0"/>
                <w:sz w:val="24"/>
              </w:rPr>
            </w:pPr>
            <w:r>
              <w:rPr>
                <w:color w:val="000000"/>
                <w:kern w:val="0"/>
                <w:sz w:val="24"/>
              </w:rPr>
              <w:t>报价唯一性</w:t>
            </w:r>
          </w:p>
        </w:tc>
        <w:tc>
          <w:tcPr>
            <w:tcW w:w="3620" w:type="pct"/>
            <w:vAlign w:val="center"/>
          </w:tcPr>
          <w:p>
            <w:pPr>
              <w:widowControl/>
              <w:jc w:val="left"/>
              <w:rPr>
                <w:color w:val="000000"/>
                <w:kern w:val="0"/>
                <w:sz w:val="24"/>
              </w:rPr>
            </w:pPr>
            <w:r>
              <w:rPr>
                <w:rFonts w:hint="eastAsia"/>
                <w:color w:val="000000"/>
                <w:kern w:val="0"/>
                <w:sz w:val="24"/>
              </w:rPr>
              <w:t>响应文件未</w:t>
            </w:r>
            <w:r>
              <w:rPr>
                <w:rFonts w:hint="eastAsia"/>
                <w:sz w:val="24"/>
              </w:rPr>
              <w:t>出现可选择性或可调整的报价（比选文件另有规定的除外）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5</w:t>
            </w:r>
          </w:p>
        </w:tc>
        <w:tc>
          <w:tcPr>
            <w:tcW w:w="976" w:type="pct"/>
            <w:vAlign w:val="center"/>
          </w:tcPr>
          <w:p>
            <w:pPr>
              <w:widowControl/>
              <w:jc w:val="left"/>
              <w:rPr>
                <w:color w:val="000000"/>
                <w:kern w:val="0"/>
                <w:sz w:val="24"/>
              </w:rPr>
            </w:pPr>
            <w:r>
              <w:rPr>
                <w:rFonts w:hint="eastAsia"/>
                <w:color w:val="000000"/>
                <w:kern w:val="0"/>
                <w:sz w:val="24"/>
              </w:rPr>
              <w:t>报价有效期</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报价有效期满足比选文件</w:t>
            </w:r>
            <w:r>
              <w:rPr>
                <w:color w:val="000000"/>
                <w:kern w:val="0"/>
                <w:sz w:val="24"/>
              </w:rPr>
              <w:t>中载明的</w:t>
            </w:r>
            <w:r>
              <w:rPr>
                <w:rFonts w:hint="eastAsia"/>
                <w:color w:val="000000"/>
                <w:kern w:val="0"/>
                <w:sz w:val="24"/>
              </w:rPr>
              <w:t>报价有效期</w:t>
            </w:r>
            <w:r>
              <w:rPr>
                <w:color w:val="000000"/>
                <w:kern w:val="0"/>
                <w:sz w:val="24"/>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6</w:t>
            </w:r>
          </w:p>
        </w:tc>
        <w:tc>
          <w:tcPr>
            <w:tcW w:w="976" w:type="pct"/>
            <w:vAlign w:val="center"/>
          </w:tcPr>
          <w:p>
            <w:pPr>
              <w:widowControl/>
              <w:jc w:val="left"/>
              <w:rPr>
                <w:color w:val="000000"/>
                <w:kern w:val="0"/>
                <w:sz w:val="24"/>
              </w:rPr>
            </w:pPr>
            <w:r>
              <w:rPr>
                <w:color w:val="000000"/>
                <w:kern w:val="0"/>
                <w:sz w:val="24"/>
              </w:rPr>
              <w:t>签署、盖章</w:t>
            </w:r>
          </w:p>
        </w:tc>
        <w:tc>
          <w:tcPr>
            <w:tcW w:w="3620" w:type="pct"/>
            <w:vAlign w:val="center"/>
          </w:tcPr>
          <w:p>
            <w:pPr>
              <w:widowControl/>
              <w:jc w:val="left"/>
              <w:rPr>
                <w:color w:val="000000"/>
                <w:kern w:val="0"/>
                <w:sz w:val="24"/>
              </w:rPr>
            </w:pPr>
            <w:r>
              <w:rPr>
                <w:color w:val="000000"/>
                <w:kern w:val="0"/>
                <w:sz w:val="24"/>
              </w:rPr>
              <w:t>按照</w:t>
            </w:r>
            <w:r>
              <w:rPr>
                <w:rFonts w:hint="eastAsia"/>
                <w:color w:val="000000"/>
                <w:kern w:val="0"/>
                <w:sz w:val="24"/>
              </w:rPr>
              <w:t>比选文件</w:t>
            </w:r>
            <w:r>
              <w:rPr>
                <w:color w:val="000000"/>
                <w:kern w:val="0"/>
                <w:sz w:val="24"/>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7</w:t>
            </w:r>
          </w:p>
        </w:tc>
        <w:tc>
          <w:tcPr>
            <w:tcW w:w="976" w:type="pct"/>
            <w:vAlign w:val="center"/>
          </w:tcPr>
          <w:p>
            <w:pPr>
              <w:widowControl/>
              <w:jc w:val="left"/>
              <w:rPr>
                <w:color w:val="000000"/>
                <w:kern w:val="0"/>
                <w:sz w:val="24"/>
              </w:rPr>
            </w:pPr>
            <w:r>
              <w:rPr>
                <w:rFonts w:hint="eastAsia"/>
                <w:color w:val="000000"/>
                <w:kern w:val="0"/>
                <w:sz w:val="24"/>
              </w:rPr>
              <w:t>实质性格式</w:t>
            </w:r>
          </w:p>
        </w:tc>
        <w:tc>
          <w:tcPr>
            <w:tcW w:w="3620" w:type="pct"/>
            <w:vAlign w:val="center"/>
          </w:tcPr>
          <w:p>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文件均按比选文件要求提供；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8</w:t>
            </w:r>
          </w:p>
        </w:tc>
        <w:tc>
          <w:tcPr>
            <w:tcW w:w="976" w:type="pct"/>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比选文件</w:t>
            </w:r>
            <w:r>
              <w:rPr>
                <w:rFonts w:hint="eastAsia"/>
                <w:sz w:val="24"/>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9</w:t>
            </w:r>
          </w:p>
        </w:tc>
        <w:tc>
          <w:tcPr>
            <w:tcW w:w="976" w:type="pct"/>
            <w:vAlign w:val="center"/>
          </w:tcPr>
          <w:p>
            <w:pPr>
              <w:widowControl/>
              <w:jc w:val="left"/>
              <w:rPr>
                <w:color w:val="000000"/>
                <w:kern w:val="0"/>
                <w:sz w:val="24"/>
              </w:rPr>
            </w:pPr>
            <w:r>
              <w:rPr>
                <w:color w:val="000000"/>
                <w:kern w:val="0"/>
                <w:sz w:val="24"/>
              </w:rPr>
              <w:t>分包承担主体资质（如有）</w:t>
            </w:r>
          </w:p>
        </w:tc>
        <w:tc>
          <w:tcPr>
            <w:tcW w:w="3620" w:type="pct"/>
            <w:vAlign w:val="center"/>
          </w:tcPr>
          <w:p>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10</w:t>
            </w:r>
          </w:p>
        </w:tc>
        <w:tc>
          <w:tcPr>
            <w:tcW w:w="976" w:type="pct"/>
            <w:vAlign w:val="center"/>
          </w:tcPr>
          <w:p>
            <w:pPr>
              <w:widowControl/>
              <w:jc w:val="left"/>
              <w:rPr>
                <w:color w:val="000000"/>
                <w:kern w:val="0"/>
                <w:sz w:val="24"/>
              </w:rPr>
            </w:pPr>
            <w:r>
              <w:rPr>
                <w:color w:val="000000"/>
                <w:kern w:val="0"/>
                <w:sz w:val="24"/>
              </w:rPr>
              <w:t>分包意向协议</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规定签订并提供分包意向协议原件的电子件的；</w:t>
            </w:r>
            <w:r>
              <w:rPr>
                <w:rFonts w:hint="eastAsia"/>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11</w:t>
            </w:r>
          </w:p>
        </w:tc>
        <w:tc>
          <w:tcPr>
            <w:tcW w:w="976" w:type="pct"/>
            <w:vAlign w:val="center"/>
          </w:tcPr>
          <w:p>
            <w:pPr>
              <w:widowControl/>
              <w:jc w:val="left"/>
              <w:rPr>
                <w:color w:val="000000"/>
                <w:kern w:val="0"/>
                <w:sz w:val="24"/>
              </w:rPr>
            </w:pPr>
            <w:r>
              <w:rPr>
                <w:color w:val="000000"/>
                <w:kern w:val="0"/>
                <w:sz w:val="24"/>
              </w:rPr>
              <w:t>报价的修正（如有）</w:t>
            </w:r>
          </w:p>
        </w:tc>
        <w:tc>
          <w:tcPr>
            <w:tcW w:w="3620" w:type="pct"/>
            <w:vAlign w:val="center"/>
          </w:tcPr>
          <w:p>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12</w:t>
            </w:r>
          </w:p>
        </w:tc>
        <w:tc>
          <w:tcPr>
            <w:tcW w:w="976" w:type="pct"/>
            <w:vAlign w:val="center"/>
          </w:tcPr>
          <w:p>
            <w:pPr>
              <w:widowControl/>
              <w:jc w:val="left"/>
              <w:rPr>
                <w:color w:val="000000"/>
                <w:kern w:val="0"/>
                <w:sz w:val="24"/>
              </w:rPr>
            </w:pPr>
            <w:r>
              <w:rPr>
                <w:color w:val="000000"/>
                <w:kern w:val="0"/>
                <w:sz w:val="24"/>
              </w:rPr>
              <w:t>报价合理性</w:t>
            </w:r>
          </w:p>
        </w:tc>
        <w:tc>
          <w:tcPr>
            <w:tcW w:w="3620" w:type="pct"/>
            <w:vAlign w:val="center"/>
          </w:tcPr>
          <w:p>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13</w:t>
            </w:r>
          </w:p>
        </w:tc>
        <w:tc>
          <w:tcPr>
            <w:tcW w:w="976" w:type="pct"/>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rFonts w:hint="eastAsia" w:ascii="宋体" w:hAnsi="宋体"/>
                <w:sz w:val="24"/>
              </w:rPr>
              <w:t>比选文件</w:t>
            </w:r>
            <w:r>
              <w:rPr>
                <w:rFonts w:ascii="宋体" w:hAnsi="宋体"/>
                <w:sz w:val="24"/>
              </w:rPr>
              <w:t>不接受进口产品</w:t>
            </w:r>
            <w:r>
              <w:rPr>
                <w:rFonts w:hint="eastAsia" w:ascii="宋体" w:hAnsi="宋体"/>
                <w:sz w:val="24"/>
              </w:rPr>
              <w:t>响应的内容时</w:t>
            </w:r>
            <w:r>
              <w:rPr>
                <w:rFonts w:ascii="宋体" w:hAnsi="宋体"/>
                <w:sz w:val="24"/>
              </w:rPr>
              <w:t>，</w:t>
            </w:r>
            <w:r>
              <w:rPr>
                <w:rFonts w:hint="eastAsia" w:ascii="宋体" w:hAnsi="宋体"/>
                <w:sz w:val="24"/>
              </w:rPr>
              <w:t>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14</w:t>
            </w:r>
          </w:p>
        </w:tc>
        <w:tc>
          <w:tcPr>
            <w:tcW w:w="976"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pPr>
              <w:widowControl/>
              <w:jc w:val="left"/>
              <w:rPr>
                <w:color w:val="000000"/>
                <w:kern w:val="0"/>
                <w:sz w:val="24"/>
              </w:rPr>
            </w:pPr>
            <w:r>
              <w:rPr>
                <w:rFonts w:hint="eastAsia"/>
                <w:color w:val="000000"/>
                <w:kern w:val="0"/>
                <w:sz w:val="24"/>
              </w:rPr>
              <w:t>1）</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pPr>
              <w:widowControl/>
              <w:jc w:val="left"/>
              <w:rPr>
                <w:color w:val="000000"/>
                <w:kern w:val="0"/>
                <w:sz w:val="24"/>
              </w:rPr>
            </w:pPr>
            <w:r>
              <w:rPr>
                <w:rFonts w:hint="eastAsia"/>
                <w:color w:val="000000"/>
                <w:kern w:val="0"/>
                <w:sz w:val="24"/>
              </w:rPr>
              <w:t>2）响应</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pPr>
              <w:widowControl/>
              <w:jc w:val="left"/>
              <w:rPr>
                <w:color w:val="000000"/>
                <w:kern w:val="0"/>
                <w:sz w:val="24"/>
              </w:rPr>
            </w:pPr>
            <w:r>
              <w:rPr>
                <w:color w:val="000000"/>
                <w:kern w:val="0"/>
                <w:sz w:val="24"/>
              </w:rPr>
              <w:t>3</w:t>
            </w:r>
            <w:r>
              <w:rPr>
                <w:rFonts w:hint="eastAsia"/>
                <w:color w:val="000000"/>
                <w:kern w:val="0"/>
                <w:sz w:val="24"/>
              </w:rPr>
              <w:t>）响应</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pPr>
              <w:widowControl/>
              <w:jc w:val="left"/>
              <w:rPr>
                <w:sz w:val="24"/>
              </w:rPr>
            </w:pPr>
            <w:r>
              <w:rPr>
                <w:rFonts w:hint="eastAsia"/>
                <w:sz w:val="24"/>
              </w:rPr>
              <w:t>4）</w:t>
            </w:r>
            <w:r>
              <w:rPr>
                <w:sz w:val="24"/>
              </w:rPr>
              <w:t>国家有特殊信息安全要求的项目，采购产品涉及无线局域网产品和含有无线局域网功能的计算机、通信设备、打印机、复印机、投影仪等产品的，</w:t>
            </w:r>
            <w:r>
              <w:rPr>
                <w:rFonts w:hint="eastAsia"/>
                <w:sz w:val="24"/>
              </w:rPr>
              <w:t>响应</w:t>
            </w:r>
            <w:r>
              <w:rPr>
                <w:sz w:val="24"/>
              </w:rPr>
              <w:t>产品须为符合国家无线局域网安全标准（GB 15629.11/1102）并通过国家产品认证的产品；</w:t>
            </w:r>
          </w:p>
          <w:p>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项目中涉及涂料、胶黏剂、油墨、清洗剂等挥发性有机物产品，且属于强制性标准的，供应商应执行符合本市和国家的VOCs 含量限制标准</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15</w:t>
            </w:r>
          </w:p>
        </w:tc>
        <w:tc>
          <w:tcPr>
            <w:tcW w:w="976" w:type="pct"/>
            <w:vAlign w:val="center"/>
          </w:tcPr>
          <w:p>
            <w:pPr>
              <w:widowControl/>
              <w:jc w:val="left"/>
              <w:rPr>
                <w:color w:val="000000"/>
                <w:kern w:val="0"/>
                <w:sz w:val="24"/>
              </w:rPr>
            </w:pPr>
            <w:r>
              <w:rPr>
                <w:color w:val="000000"/>
                <w:kern w:val="0"/>
                <w:sz w:val="24"/>
              </w:rPr>
              <w:t>公平竞争</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16</w:t>
            </w:r>
          </w:p>
        </w:tc>
        <w:tc>
          <w:tcPr>
            <w:tcW w:w="976" w:type="pct"/>
            <w:vAlign w:val="center"/>
          </w:tcPr>
          <w:p>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性差异；（五）不同供应商的响应文件相互混装；（六）不同供应商的报价保证金从同一单位或者个人的账户转出</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17</w:t>
            </w:r>
          </w:p>
        </w:tc>
        <w:tc>
          <w:tcPr>
            <w:tcW w:w="976" w:type="pct"/>
            <w:vAlign w:val="center"/>
          </w:tcPr>
          <w:p>
            <w:pPr>
              <w:widowControl/>
              <w:jc w:val="left"/>
              <w:rPr>
                <w:color w:val="000000"/>
                <w:kern w:val="0"/>
                <w:sz w:val="24"/>
              </w:rPr>
            </w:pPr>
            <w:r>
              <w:rPr>
                <w:color w:val="000000"/>
                <w:kern w:val="0"/>
                <w:sz w:val="24"/>
              </w:rPr>
              <w:t>附加条件</w:t>
            </w:r>
          </w:p>
        </w:tc>
        <w:tc>
          <w:tcPr>
            <w:tcW w:w="3620" w:type="pct"/>
            <w:vAlign w:val="center"/>
          </w:tcPr>
          <w:p>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pPr>
              <w:widowControl/>
              <w:jc w:val="left"/>
              <w:rPr>
                <w:color w:val="000000"/>
                <w:kern w:val="0"/>
                <w:sz w:val="24"/>
              </w:rPr>
            </w:pPr>
            <w:r>
              <w:rPr>
                <w:color w:val="000000"/>
                <w:kern w:val="0"/>
                <w:sz w:val="24"/>
              </w:rPr>
              <w:t>其他无效情形</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比选文件</w:t>
            </w:r>
            <w:r>
              <w:rPr>
                <w:color w:val="000000"/>
                <w:sz w:val="24"/>
              </w:rPr>
              <w:t>规定的其他无效情形。</w:t>
            </w:r>
          </w:p>
        </w:tc>
      </w:tr>
    </w:tbl>
    <w:p>
      <w:pPr>
        <w:tabs>
          <w:tab w:val="left" w:pos="1080"/>
          <w:tab w:val="left" w:pos="1589"/>
        </w:tabs>
        <w:snapToGrid w:val="0"/>
        <w:spacing w:line="360" w:lineRule="auto"/>
        <w:rPr>
          <w:rFonts w:ascii="宋体" w:hAnsi="宋体"/>
          <w:sz w:val="24"/>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有关事项的澄清或者说明</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hint="eastAsia" w:ascii="宋体" w:hAnsi="宋体"/>
          <w:sz w:val="24"/>
        </w:rPr>
        <w:t>供应商</w:t>
      </w:r>
      <w:r>
        <w:rPr>
          <w:rFonts w:ascii="宋体" w:hAnsi="宋体"/>
          <w:sz w:val="24"/>
        </w:rPr>
        <w:t>对其</w:t>
      </w:r>
      <w:r>
        <w:rPr>
          <w:rFonts w:hint="eastAsia" w:ascii="宋体" w:hAnsi="宋体"/>
          <w:sz w:val="24"/>
        </w:rPr>
        <w:t>响应文件</w:t>
      </w:r>
      <w:r>
        <w:rPr>
          <w:rFonts w:ascii="宋体" w:hAnsi="宋体"/>
          <w:sz w:val="24"/>
        </w:rPr>
        <w:t>中含义不明确、同类问题表述不一致或者有明显文字和计算错误的内容，作出必要的澄清、说明或者补正。</w:t>
      </w:r>
      <w:r>
        <w:rPr>
          <w:rFonts w:hint="eastAsia" w:ascii="宋体" w:hAnsi="宋体"/>
          <w:sz w:val="24"/>
        </w:rPr>
        <w:t>供应商</w:t>
      </w:r>
      <w:r>
        <w:rPr>
          <w:rFonts w:ascii="宋体" w:hAnsi="宋体"/>
          <w:sz w:val="24"/>
        </w:rPr>
        <w:t>的澄清、说明或者补正应当采用书面形式，并加盖公章，或者由法定代表人或其授权的代表签字。</w:t>
      </w:r>
      <w:r>
        <w:rPr>
          <w:rFonts w:hint="eastAsia" w:ascii="宋体" w:hAnsi="宋体"/>
          <w:sz w:val="24"/>
        </w:rPr>
        <w:t>供应商</w:t>
      </w:r>
      <w:r>
        <w:rPr>
          <w:rFonts w:ascii="宋体" w:hAnsi="宋体"/>
          <w:sz w:val="24"/>
        </w:rPr>
        <w:t>的澄清、说明或者补正不得超出</w:t>
      </w:r>
      <w:r>
        <w:rPr>
          <w:rFonts w:hint="eastAsia" w:ascii="宋体" w:hAnsi="宋体"/>
          <w:sz w:val="24"/>
        </w:rPr>
        <w:t>响应文件</w:t>
      </w:r>
      <w:r>
        <w:rPr>
          <w:rFonts w:ascii="宋体" w:hAnsi="宋体"/>
          <w:sz w:val="24"/>
        </w:rPr>
        <w:t>的范围或者改变</w:t>
      </w:r>
      <w:r>
        <w:rPr>
          <w:rFonts w:hint="eastAsia" w:ascii="宋体" w:hAnsi="宋体"/>
          <w:sz w:val="24"/>
        </w:rPr>
        <w:t>响应文件</w:t>
      </w:r>
      <w:r>
        <w:rPr>
          <w:rFonts w:ascii="宋体" w:hAnsi="宋体"/>
          <w:sz w:val="24"/>
        </w:rPr>
        <w:t>的实质性内容。澄清文件将作为</w:t>
      </w:r>
      <w:r>
        <w:rPr>
          <w:rFonts w:hint="eastAsia" w:ascii="宋体" w:hAnsi="宋体"/>
          <w:sz w:val="24"/>
        </w:rPr>
        <w:t>响应文件</w:t>
      </w:r>
      <w:r>
        <w:rPr>
          <w:rFonts w:ascii="宋体" w:hAnsi="宋体"/>
          <w:sz w:val="24"/>
        </w:rPr>
        <w:t>内容的一部分。</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hint="eastAsia" w:ascii="宋体" w:hAnsi="宋体"/>
          <w:sz w:val="24"/>
        </w:rPr>
        <w:t>供应商</w:t>
      </w:r>
      <w:r>
        <w:rPr>
          <w:rFonts w:ascii="宋体" w:hAnsi="宋体"/>
          <w:sz w:val="24"/>
        </w:rPr>
        <w:t>的报价明显低于其他通过符合性审查</w:t>
      </w:r>
      <w:r>
        <w:rPr>
          <w:rFonts w:hint="eastAsia" w:ascii="宋体" w:hAnsi="宋体"/>
          <w:sz w:val="24"/>
        </w:rPr>
        <w:t>供应商</w:t>
      </w:r>
      <w:r>
        <w:rPr>
          <w:rFonts w:ascii="宋体" w:hAnsi="宋体"/>
          <w:sz w:val="24"/>
        </w:rPr>
        <w:t>的报价，有可能影响产品质量或者不能诚信履约的，有权要求该</w:t>
      </w:r>
      <w:r>
        <w:rPr>
          <w:rFonts w:hint="eastAsia" w:ascii="宋体" w:hAnsi="宋体"/>
          <w:sz w:val="24"/>
        </w:rPr>
        <w:t>供应商</w:t>
      </w:r>
      <w:r>
        <w:rPr>
          <w:rFonts w:ascii="宋体" w:hAnsi="宋体"/>
          <w:sz w:val="24"/>
        </w:rPr>
        <w:t>在评标现场合理的时间内提供书面说明，必要时提交相关证明材料；若</w:t>
      </w:r>
      <w:r>
        <w:rPr>
          <w:rFonts w:hint="eastAsia" w:ascii="宋体" w:hAnsi="宋体"/>
          <w:sz w:val="24"/>
        </w:rPr>
        <w:t>供应商</w:t>
      </w:r>
      <w:r>
        <w:rPr>
          <w:rFonts w:ascii="宋体" w:hAnsi="宋体"/>
          <w:sz w:val="24"/>
        </w:rPr>
        <w:t>不能证明其报价合理性，评标委员会将其作为</w:t>
      </w:r>
      <w:r>
        <w:rPr>
          <w:rFonts w:hint="eastAsia" w:ascii="宋体" w:hAnsi="宋体"/>
          <w:b/>
          <w:sz w:val="24"/>
        </w:rPr>
        <w:t>响应无效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w:t>
      </w:r>
      <w:r>
        <w:rPr>
          <w:rFonts w:ascii="宋体" w:hAnsi="宋体"/>
          <w:sz w:val="24"/>
        </w:rPr>
        <w:t>报价须包含</w:t>
      </w:r>
      <w:r>
        <w:rPr>
          <w:rFonts w:hint="eastAsia" w:ascii="宋体" w:hAnsi="宋体"/>
          <w:sz w:val="24"/>
        </w:rPr>
        <w:t>比选文件</w:t>
      </w:r>
      <w:r>
        <w:rPr>
          <w:rFonts w:ascii="宋体" w:hAnsi="宋体"/>
          <w:sz w:val="24"/>
        </w:rPr>
        <w:t>全部内容，如分项报价表有缺漏视为已含在其他各项报价中，将不对</w:t>
      </w:r>
      <w:r>
        <w:rPr>
          <w:rFonts w:hint="eastAsia" w:ascii="宋体" w:hAnsi="宋体"/>
          <w:sz w:val="24"/>
        </w:rPr>
        <w:t>响应</w:t>
      </w:r>
      <w:r>
        <w:rPr>
          <w:rFonts w:ascii="宋体" w:hAnsi="宋体"/>
          <w:sz w:val="24"/>
        </w:rPr>
        <w:t>总价进行调整。评标委员会有权要求</w:t>
      </w:r>
      <w:r>
        <w:rPr>
          <w:rFonts w:hint="eastAsia" w:ascii="宋体" w:hAnsi="宋体"/>
          <w:sz w:val="24"/>
        </w:rPr>
        <w:t>供应商</w:t>
      </w:r>
      <w:r>
        <w:rPr>
          <w:rFonts w:ascii="宋体" w:hAnsi="宋体"/>
          <w:sz w:val="24"/>
        </w:rPr>
        <w:t>在评标现场合理的时间内对此进行书面确认，</w:t>
      </w:r>
      <w:r>
        <w:rPr>
          <w:rFonts w:hint="eastAsia" w:ascii="宋体" w:hAnsi="宋体"/>
          <w:sz w:val="24"/>
        </w:rPr>
        <w:t>供应商</w:t>
      </w:r>
      <w:r>
        <w:rPr>
          <w:rFonts w:ascii="宋体" w:hAnsi="宋体"/>
          <w:sz w:val="24"/>
        </w:rPr>
        <w:t>不确认的，视为将一个采购包中的内容拆开</w:t>
      </w:r>
      <w:r>
        <w:rPr>
          <w:rFonts w:hint="eastAsia" w:ascii="宋体" w:hAnsi="宋体"/>
          <w:sz w:val="24"/>
        </w:rPr>
        <w:t>响应</w:t>
      </w:r>
      <w:r>
        <w:rPr>
          <w:rFonts w:ascii="宋体" w:hAnsi="宋体"/>
          <w:sz w:val="24"/>
        </w:rPr>
        <w:t>，其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报价出现前后不一致的，按照下列规定修正：</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比选文件</w:t>
      </w:r>
      <w:r>
        <w:rPr>
          <w:rFonts w:ascii="宋体" w:hAnsi="宋体"/>
          <w:sz w:val="24"/>
        </w:rPr>
        <w:t>对于报价修正是否另有规定：</w:t>
      </w:r>
    </w:p>
    <w:p>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w:t>
      </w:r>
      <w:r>
        <w:rPr>
          <w:rFonts w:ascii="宋体" w:hAnsi="宋体"/>
          <w:sz w:val="24"/>
        </w:rPr>
        <w:t>无，按下述2.4.2-2.4.7项规定修正。</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w:t>
      </w:r>
      <w:r>
        <w:rPr>
          <w:rFonts w:hint="eastAsia" w:ascii="宋体" w:hAnsi="宋体"/>
          <w:color w:val="000000"/>
          <w:sz w:val="24"/>
        </w:rPr>
        <w:t>开选</w:t>
      </w:r>
      <w:r>
        <w:rPr>
          <w:rFonts w:ascii="宋体" w:hAnsi="宋体"/>
          <w:color w:val="000000"/>
          <w:sz w:val="24"/>
        </w:rPr>
        <w:t>一览表（报价表）与</w:t>
      </w: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一览表（报价表）内容不一致的，以单独递交的</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一览表（报价表）内容与</w:t>
      </w:r>
      <w:r>
        <w:rPr>
          <w:rFonts w:hint="eastAsia" w:ascii="宋体" w:hAnsi="宋体"/>
          <w:color w:val="000000"/>
          <w:sz w:val="24"/>
        </w:rPr>
        <w:t>响应文件</w:t>
      </w:r>
      <w:r>
        <w:rPr>
          <w:rFonts w:ascii="宋体" w:hAnsi="宋体"/>
          <w:color w:val="000000"/>
          <w:sz w:val="24"/>
        </w:rPr>
        <w:t>中相应内容不一致的，以</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w:t>
      </w:r>
      <w:r>
        <w:rPr>
          <w:rFonts w:hint="eastAsia" w:ascii="宋体" w:hAnsi="宋体"/>
          <w:color w:val="000000"/>
          <w:sz w:val="24"/>
        </w:rPr>
        <w:t>开选</w:t>
      </w:r>
      <w:r>
        <w:rPr>
          <w:rFonts w:ascii="宋体" w:hAnsi="宋体"/>
          <w:color w:val="000000"/>
          <w:sz w:val="24"/>
        </w:rPr>
        <w:t>一览表的总价为准，并修改单价；</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w:t>
      </w:r>
      <w:r>
        <w:rPr>
          <w:rFonts w:hint="eastAsia" w:ascii="宋体" w:hAnsi="宋体"/>
          <w:sz w:val="24"/>
        </w:rPr>
        <w:t>供应商</w:t>
      </w:r>
      <w:r>
        <w:rPr>
          <w:rFonts w:ascii="宋体" w:hAnsi="宋体"/>
          <w:sz w:val="24"/>
        </w:rPr>
        <w:t>书面确认后产生约束力，</w:t>
      </w:r>
      <w:r>
        <w:rPr>
          <w:rFonts w:hint="eastAsia" w:ascii="宋体" w:hAnsi="宋体"/>
          <w:sz w:val="24"/>
        </w:rPr>
        <w:t>供应商</w:t>
      </w:r>
      <w:r>
        <w:rPr>
          <w:rFonts w:ascii="宋体" w:hAnsi="宋体"/>
          <w:sz w:val="24"/>
        </w:rPr>
        <w:t>不确认的，其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w:t>
      </w:r>
      <w:r>
        <w:rPr>
          <w:rFonts w:hint="eastAsia" w:ascii="宋体" w:hAnsi="宋体"/>
          <w:sz w:val="24"/>
        </w:rPr>
        <w:t>供应商</w:t>
      </w:r>
      <w:r>
        <w:rPr>
          <w:rFonts w:ascii="宋体" w:hAnsi="宋体"/>
          <w:sz w:val="24"/>
        </w:rPr>
        <w:t>须知》5.2条规定情形的，可以享受中小企业扶持政策，用扣除后的价格参加评审；否则，评标时价格不予扣除。</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u w:val="single"/>
        </w:rPr>
        <w:t>%</w:t>
      </w:r>
      <w:r>
        <w:rPr>
          <w:rFonts w:ascii="宋体" w:hAnsi="宋体"/>
          <w:sz w:val="24"/>
        </w:rPr>
        <w:t>的扣除，用扣除后的价格参加评审。</w:t>
      </w:r>
    </w:p>
    <w:p>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4</w:t>
      </w:r>
      <w:r>
        <w:rPr>
          <w:sz w:val="24"/>
          <w:u w:val="single"/>
        </w:rPr>
        <w:t>%</w:t>
      </w:r>
      <w:r>
        <w:rPr>
          <w:sz w:val="24"/>
        </w:rPr>
        <w:t>的扣除，用扣除后的价格参加评审。</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w:t>
      </w:r>
      <w:r>
        <w:rPr>
          <w:rFonts w:hint="eastAsia" w:ascii="宋体" w:hAnsi="宋体"/>
          <w:color w:val="000000"/>
          <w:sz w:val="24"/>
        </w:rPr>
        <w:t>比选文件</w:t>
      </w:r>
      <w:r>
        <w:rPr>
          <w:rFonts w:ascii="宋体" w:hAnsi="宋体"/>
          <w:color w:val="000000"/>
          <w:sz w:val="24"/>
        </w:rPr>
        <w:t>给定的格式出具《中小企业声明函》，否则不得享受相关中小企业扶持政策。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hint="eastAsia" w:ascii="宋体" w:hAnsi="宋体"/>
          <w:sz w:val="24"/>
        </w:rPr>
        <w:t>比选文件</w:t>
      </w:r>
      <w:r>
        <w:rPr>
          <w:rFonts w:ascii="宋体" w:hAnsi="宋体"/>
          <w:sz w:val="24"/>
        </w:rPr>
        <w:t>要求提供了《残疾人福利性单位声明函》（见附件）的，视同小微企业。</w:t>
      </w:r>
    </w:p>
    <w:p>
      <w:pPr>
        <w:numPr>
          <w:ilvl w:val="2"/>
          <w:numId w:val="10"/>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w:t>
      </w:r>
      <w:r>
        <w:rPr>
          <w:rFonts w:hint="eastAsia" w:ascii="宋体" w:hAnsi="宋体"/>
          <w:sz w:val="24"/>
        </w:rPr>
        <w:t>供应商</w:t>
      </w:r>
      <w:r>
        <w:rPr>
          <w:rFonts w:ascii="宋体" w:hAnsi="宋体"/>
          <w:sz w:val="24"/>
        </w:rPr>
        <w:t>同时属于小型或微型企业、监狱企业、残疾人福利性单位中的两种及以上，将不重复享受小微企业价格扣减的优惠政策。</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的比较和评价</w:t>
      </w:r>
      <w:bookmarkEnd w:id="616"/>
      <w:bookmarkEnd w:id="617"/>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hint="eastAsia" w:ascii="宋体" w:hAnsi="宋体"/>
          <w:sz w:val="24"/>
        </w:rPr>
        <w:t>比选文件</w:t>
      </w:r>
      <w:r>
        <w:rPr>
          <w:rFonts w:ascii="宋体" w:hAnsi="宋体"/>
          <w:sz w:val="24"/>
        </w:rPr>
        <w:t>中规定的评标方法和标准，对符合性审查合格的</w:t>
      </w:r>
      <w:r>
        <w:rPr>
          <w:rFonts w:hint="eastAsia" w:ascii="宋体" w:hAnsi="宋体"/>
          <w:sz w:val="24"/>
        </w:rPr>
        <w:t>响应文件</w:t>
      </w:r>
      <w:r>
        <w:rPr>
          <w:rFonts w:ascii="宋体" w:hAnsi="宋体"/>
          <w:sz w:val="24"/>
        </w:rPr>
        <w:t>进行商务和技术评估，综合比较与评价；未通过符合性审查的</w:t>
      </w:r>
      <w:r>
        <w:rPr>
          <w:rFonts w:hint="eastAsia" w:ascii="宋体" w:hAnsi="宋体"/>
          <w:sz w:val="24"/>
        </w:rPr>
        <w:t>响应文件</w:t>
      </w:r>
      <w:r>
        <w:rPr>
          <w:rFonts w:ascii="宋体" w:hAnsi="宋体"/>
          <w:sz w:val="24"/>
        </w:rPr>
        <w:t>不得进入比较与评价。</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w:t>
      </w:r>
      <w:r>
        <w:rPr>
          <w:rFonts w:ascii="宋体" w:hAnsi="宋体"/>
          <w:sz w:val="24"/>
        </w:rPr>
        <w:t>综合评分法，指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候选人的评标方法，见《评标标准》</w:t>
      </w:r>
      <w:r>
        <w:rPr>
          <w:rFonts w:hint="eastAsia" w:ascii="宋体" w:hAnsi="宋体"/>
          <w:sz w:val="24"/>
        </w:rPr>
        <w:t>，比选文件中没有规定的评标标准不得作为评审的依据。</w:t>
      </w:r>
    </w:p>
    <w:p>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hint="eastAsia" w:ascii="宋体" w:hAnsi="宋体"/>
          <w:sz w:val="24"/>
        </w:rPr>
        <w:t>供应商</w:t>
      </w:r>
      <w:r>
        <w:rPr>
          <w:rFonts w:ascii="宋体" w:hAnsi="宋体"/>
          <w:sz w:val="24"/>
        </w:rPr>
        <w:t>，其他</w:t>
      </w:r>
      <w:r>
        <w:rPr>
          <w:rFonts w:hint="eastAsia" w:ascii="宋体" w:hAnsi="宋体"/>
          <w:b/>
          <w:sz w:val="24"/>
        </w:rPr>
        <w:t>响应</w:t>
      </w:r>
      <w:r>
        <w:rPr>
          <w:rFonts w:ascii="宋体" w:hAnsi="宋体"/>
          <w:b/>
          <w:sz w:val="24"/>
        </w:rPr>
        <w:t>无效</w:t>
      </w:r>
      <w:r>
        <w:rPr>
          <w:rFonts w:ascii="宋体" w:hAnsi="宋体"/>
          <w:sz w:val="24"/>
        </w:rPr>
        <w:t>。</w:t>
      </w:r>
    </w:p>
    <w:p>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w:t>
      </w:r>
      <w:r>
        <w:rPr>
          <w:rFonts w:ascii="宋体" w:hAnsi="宋体"/>
          <w:sz w:val="24"/>
        </w:rPr>
        <w:t>随机抽取</w:t>
      </w:r>
    </w:p>
    <w:p>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w:t>
      </w:r>
      <w:r>
        <w:rPr>
          <w:rFonts w:hint="eastAsia"/>
          <w:sz w:val="24"/>
          <w:u w:val="single"/>
        </w:rPr>
        <w:t xml:space="preserve">/ </w:t>
      </w:r>
      <w:r>
        <w:rPr>
          <w:rFonts w:ascii="宋体" w:hAnsi="宋体"/>
          <w:sz w:val="24"/>
        </w:rPr>
        <w:t>___。</w:t>
      </w:r>
    </w:p>
    <w:p>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2" w:name="_Toc265228384"/>
      <w:bookmarkStart w:id="633" w:name="_Toc164229387"/>
      <w:bookmarkStart w:id="634" w:name="_Toc164351640"/>
      <w:bookmarkStart w:id="635" w:name="_Toc151193788"/>
      <w:bookmarkStart w:id="636" w:name="_Toc305158888"/>
      <w:bookmarkStart w:id="637" w:name="_Toc149720839"/>
      <w:bookmarkStart w:id="638" w:name="_Toc150480784"/>
      <w:bookmarkStart w:id="639" w:name="_Toc305158814"/>
      <w:bookmarkStart w:id="640" w:name="_Toc150774751"/>
      <w:bookmarkStart w:id="641" w:name="_Toc127151747"/>
      <w:bookmarkStart w:id="642" w:name="_Toc164608815"/>
      <w:bookmarkStart w:id="643" w:name="_Toc151193860"/>
      <w:bookmarkStart w:id="644" w:name="_Toc150509297"/>
      <w:bookmarkStart w:id="645" w:name="_Toc150774646"/>
      <w:bookmarkStart w:id="646" w:name="_Toc127151546"/>
      <w:bookmarkStart w:id="647" w:name="_Toc226337242"/>
      <w:bookmarkStart w:id="648" w:name="_Toc127161460"/>
      <w:bookmarkStart w:id="649" w:name="_Toc195842911"/>
      <w:bookmarkStart w:id="650" w:name="_Toc264969236"/>
      <w:bookmarkStart w:id="651" w:name="_Toc142311048"/>
      <w:bookmarkStart w:id="652" w:name="_Toc151193934"/>
      <w:bookmarkStart w:id="653" w:name="_Toc520356170"/>
      <w:bookmarkStart w:id="654" w:name="_Toc226965819"/>
      <w:bookmarkStart w:id="655" w:name="_Toc151193644"/>
      <w:bookmarkStart w:id="656" w:name="_Toc164608660"/>
      <w:bookmarkStart w:id="657" w:name="_Toc151193716"/>
      <w:bookmarkStart w:id="658" w:name="_Ref467307010"/>
      <w:bookmarkStart w:id="659" w:name="_Toc226309790"/>
      <w:bookmarkStart w:id="660" w:name="_Toc151190173"/>
      <w:bookmarkStart w:id="661" w:name="_Toc226965736"/>
      <w:bookmarkStart w:id="662" w:name="_Toc164229241"/>
      <w:r>
        <w:rPr>
          <w:rFonts w:hint="eastAsia" w:ascii="宋体" w:hAnsi="宋体"/>
          <w:sz w:val="24"/>
        </w:rPr>
        <w:t>成交</w:t>
      </w:r>
      <w:r>
        <w:rPr>
          <w:rFonts w:ascii="宋体" w:hAnsi="宋体"/>
          <w:sz w:val="24"/>
        </w:rPr>
        <w:t>候选人名单</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的，按一家</w:t>
      </w:r>
      <w:r>
        <w:rPr>
          <w:rFonts w:hint="eastAsia" w:ascii="宋体" w:hAnsi="宋体"/>
          <w:sz w:val="24"/>
        </w:rPr>
        <w:t>供应商</w:t>
      </w:r>
      <w:r>
        <w:rPr>
          <w:rFonts w:ascii="宋体" w:hAnsi="宋体"/>
          <w:sz w:val="24"/>
        </w:rPr>
        <w:t>计算，评审后得分最高的同品牌</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推荐资格；评审得分相同的，评标委员会按照下述规定确定一个</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推荐资格，其他同品牌</w:t>
      </w:r>
      <w:r>
        <w:rPr>
          <w:rFonts w:hint="eastAsia" w:ascii="宋体" w:hAnsi="宋体"/>
          <w:sz w:val="24"/>
        </w:rPr>
        <w:t>供应商</w:t>
      </w:r>
      <w:r>
        <w:rPr>
          <w:rFonts w:ascii="宋体" w:hAnsi="宋体"/>
          <w:sz w:val="24"/>
        </w:rPr>
        <w:t>不作为</w:t>
      </w:r>
      <w:r>
        <w:rPr>
          <w:rFonts w:hint="eastAsia" w:ascii="宋体" w:hAnsi="宋体"/>
          <w:sz w:val="24"/>
        </w:rPr>
        <w:t>成交</w:t>
      </w:r>
      <w:r>
        <w:rPr>
          <w:rFonts w:ascii="宋体" w:hAnsi="宋体"/>
          <w:sz w:val="24"/>
        </w:rPr>
        <w:t>候选人。</w:t>
      </w:r>
    </w:p>
    <w:p>
      <w:pPr>
        <w:pStyle w:val="23"/>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pPr>
        <w:pStyle w:val="23"/>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rPr>
        <w:t>■</w:t>
      </w:r>
      <w:r>
        <w:rPr>
          <w:rFonts w:hint="default" w:hAnsi="宋体"/>
          <w:sz w:val="24"/>
          <w:szCs w:val="24"/>
        </w:rPr>
        <w:t>其他方式，具体要求：</w:t>
      </w:r>
      <w:r>
        <w:rPr>
          <w:rFonts w:hAnsi="宋体"/>
          <w:sz w:val="24"/>
          <w:szCs w:val="24"/>
          <w:u w:val="single"/>
        </w:rPr>
        <w:t>以价格部分得分最高的供应商获得成交人推荐资格</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hint="eastAsia" w:ascii="宋体" w:hAnsi="宋体"/>
          <w:sz w:val="24"/>
        </w:rPr>
        <w:t>响应</w:t>
      </w:r>
      <w:r>
        <w:rPr>
          <w:rFonts w:ascii="宋体" w:hAnsi="宋体"/>
          <w:sz w:val="24"/>
        </w:rPr>
        <w:t>报价由低到高顺序排列。得分且</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候选人。评分分值计算保留小数点后两位，第三位四舍五入。</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w:t>
      </w:r>
      <w:r>
        <w:rPr>
          <w:rFonts w:hint="eastAsia" w:ascii="宋体" w:hAnsi="宋体"/>
          <w:sz w:val="24"/>
        </w:rPr>
        <w:t>响应</w:t>
      </w:r>
      <w:r>
        <w:rPr>
          <w:rFonts w:ascii="宋体" w:hAnsi="宋体"/>
          <w:sz w:val="24"/>
        </w:rPr>
        <w:t>报价由低到高顺序排列。</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hint="eastAsia" w:ascii="宋体" w:hAnsi="宋体"/>
          <w:sz w:val="24"/>
        </w:rPr>
        <w:t>响应</w:t>
      </w:r>
      <w:r>
        <w:rPr>
          <w:rFonts w:ascii="宋体" w:hAnsi="宋体"/>
          <w:sz w:val="24"/>
        </w:rPr>
        <w:t>或</w:t>
      </w:r>
      <w:r>
        <w:rPr>
          <w:rFonts w:hint="eastAsia" w:ascii="宋体" w:hAnsi="宋体"/>
          <w:sz w:val="24"/>
        </w:rPr>
        <w:t>响应文件</w:t>
      </w:r>
      <w:r>
        <w:rPr>
          <w:rFonts w:ascii="宋体" w:hAnsi="宋体"/>
          <w:sz w:val="24"/>
        </w:rPr>
        <w:t>被认定为无效的情形进行重点复核。</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hint="eastAsia" w:ascii="宋体" w:hAnsi="宋体"/>
          <w:sz w:val="24"/>
        </w:rPr>
        <w:t>供应商</w:t>
      </w:r>
      <w:r>
        <w:rPr>
          <w:rFonts w:ascii="宋体" w:hAnsi="宋体"/>
          <w:sz w:val="24"/>
        </w:rPr>
        <w:t>的评标排序，依次推荐本项目（</w:t>
      </w:r>
      <w:r>
        <w:rPr>
          <w:rFonts w:hint="eastAsia" w:ascii="宋体" w:hAnsi="宋体"/>
          <w:sz w:val="24"/>
        </w:rPr>
        <w:t>各</w:t>
      </w:r>
      <w:r>
        <w:rPr>
          <w:rFonts w:ascii="宋体" w:hAnsi="宋体"/>
          <w:sz w:val="24"/>
        </w:rPr>
        <w:t>采购包）的</w:t>
      </w:r>
      <w:r>
        <w:rPr>
          <w:rFonts w:hint="eastAsia" w:ascii="宋体" w:hAnsi="宋体"/>
          <w:sz w:val="24"/>
        </w:rPr>
        <w:t>成交</w:t>
      </w:r>
      <w:r>
        <w:rPr>
          <w:rFonts w:ascii="宋体" w:hAnsi="宋体"/>
          <w:sz w:val="24"/>
        </w:rPr>
        <w:t>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3 </w:t>
      </w:r>
      <w:r>
        <w:rPr>
          <w:rFonts w:ascii="宋体" w:hAnsi="宋体"/>
          <w:sz w:val="24"/>
        </w:rPr>
        <w:t>名</w:t>
      </w:r>
      <w:r>
        <w:rPr>
          <w:rFonts w:hint="eastAsia" w:ascii="宋体" w:hAnsi="宋体"/>
          <w:sz w:val="24"/>
        </w:rPr>
        <w:t>成交</w:t>
      </w:r>
      <w:r>
        <w:rPr>
          <w:rFonts w:ascii="宋体" w:hAnsi="宋体"/>
          <w:sz w:val="24"/>
        </w:rPr>
        <w:t>候选人。</w:t>
      </w:r>
    </w:p>
    <w:p>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hint="eastAsia" w:ascii="宋体" w:hAnsi="宋体"/>
          <w:sz w:val="24"/>
        </w:rPr>
        <w:t>供应商</w:t>
      </w:r>
      <w:r>
        <w:rPr>
          <w:rFonts w:ascii="宋体" w:hAnsi="宋体"/>
          <w:sz w:val="24"/>
        </w:rPr>
        <w:t>有行贿、提供虚假材料或者串通等违法行为时，有向采购人、采购代理机构或者有关部门报告的职责。</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评标报告</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修改评标结果</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pPr>
        <w:numPr>
          <w:ilvl w:val="1"/>
          <w:numId w:val="10"/>
        </w:numPr>
        <w:tabs>
          <w:tab w:val="left" w:pos="900"/>
          <w:tab w:val="left" w:pos="1080"/>
        </w:tabs>
        <w:snapToGrid w:val="0"/>
        <w:spacing w:line="360" w:lineRule="auto"/>
        <w:ind w:left="900" w:hanging="720"/>
        <w:outlineLvl w:val="1"/>
        <w:rPr>
          <w:rFonts w:ascii="宋体" w:hAnsi="宋体"/>
          <w:sz w:val="24"/>
        </w:rPr>
      </w:pPr>
      <w:r>
        <w:rPr>
          <w:rFonts w:hint="eastAsia" w:hAnsi="宋体" w:cs="Arial"/>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停止评标及招标终止</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发现比选文件存在歧义、重大缺陷导致评标工作无法进行，或者比选文件内容违反国家有关强制性规定的，应当停止评标工作，与采购人或者采购代理机构沟通并作书面记录。采购人或者采购代理机构确认后，应当修改比选文件，重新组织采购活动。</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供应商，并将项目实施情况和采购任务取消原因报告本级财政部门。</w:t>
      </w:r>
    </w:p>
    <w:p>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pPr>
        <w:tabs>
          <w:tab w:val="left" w:pos="360"/>
          <w:tab w:val="left" w:pos="900"/>
        </w:tabs>
        <w:snapToGrid w:val="0"/>
        <w:spacing w:line="360" w:lineRule="auto"/>
        <w:jc w:val="center"/>
        <w:outlineLvl w:val="1"/>
        <w:rPr>
          <w:rFonts w:ascii="宋体" w:hAnsi="宋体"/>
          <w:b/>
          <w:sz w:val="24"/>
        </w:rPr>
      </w:pPr>
      <w:r>
        <w:rPr>
          <w:rFonts w:ascii="宋体" w:hAnsi="宋体"/>
          <w:b/>
          <w:sz w:val="24"/>
        </w:rPr>
        <w:t>二、评标标准</w:t>
      </w:r>
    </w:p>
    <w:tbl>
      <w:tblPr>
        <w:tblStyle w:val="40"/>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59"/>
        <w:gridCol w:w="567"/>
        <w:gridCol w:w="6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765" w:type="dxa"/>
            <w:vAlign w:val="center"/>
          </w:tcPr>
          <w:p>
            <w:pPr>
              <w:snapToGrid w:val="0"/>
              <w:spacing w:line="0" w:lineRule="atLeas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w:t>
            </w:r>
          </w:p>
        </w:tc>
        <w:tc>
          <w:tcPr>
            <w:tcW w:w="1559" w:type="dxa"/>
            <w:vAlign w:val="center"/>
          </w:tcPr>
          <w:p>
            <w:pPr>
              <w:snapToGrid w:val="0"/>
              <w:spacing w:line="0" w:lineRule="atLeas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评审因素</w:t>
            </w:r>
          </w:p>
        </w:tc>
        <w:tc>
          <w:tcPr>
            <w:tcW w:w="567" w:type="dxa"/>
            <w:vAlign w:val="center"/>
          </w:tcPr>
          <w:p>
            <w:pPr>
              <w:snapToGrid w:val="0"/>
              <w:spacing w:line="0" w:lineRule="atLeas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分值</w:t>
            </w:r>
          </w:p>
        </w:tc>
        <w:tc>
          <w:tcPr>
            <w:tcW w:w="6682" w:type="dxa"/>
            <w:vAlign w:val="center"/>
          </w:tcPr>
          <w:p>
            <w:pPr>
              <w:snapToGrid w:val="0"/>
              <w:spacing w:line="0" w:lineRule="atLeas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765" w:type="dxa"/>
            <w:vMerge w:val="restart"/>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商务部分（27分）</w:t>
            </w:r>
          </w:p>
        </w:tc>
        <w:tc>
          <w:tcPr>
            <w:tcW w:w="1559"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1．专业认证</w:t>
            </w:r>
          </w:p>
        </w:tc>
        <w:tc>
          <w:tcPr>
            <w:tcW w:w="567"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6682"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提供IS09001系列或GB</w:t>
            </w:r>
            <w:r>
              <w:rPr>
                <w:rFonts w:ascii="宋体" w:hAnsi="宋体" w:cs="宋体"/>
                <w:color w:val="000000" w:themeColor="text1"/>
                <w:sz w:val="24"/>
                <w14:textFill>
                  <w14:solidFill>
                    <w14:schemeClr w14:val="tx1"/>
                  </w14:solidFill>
                </w14:textFill>
              </w:rPr>
              <w:t>/T19001</w:t>
            </w:r>
            <w:r>
              <w:rPr>
                <w:rFonts w:hint="eastAsia" w:ascii="宋体" w:hAnsi="宋体" w:cs="宋体"/>
                <w:color w:val="000000" w:themeColor="text1"/>
                <w:sz w:val="24"/>
                <w14:textFill>
                  <w14:solidFill>
                    <w14:schemeClr w14:val="tx1"/>
                  </w14:solidFill>
                </w14:textFill>
              </w:rPr>
              <w:t>系列质量管理体系认证证书、GB/T24001系列或IS014001系列环境管理体系认证证书、GB/T45001系列或ISO45001系列职业健康安全管理体系认证证书</w:t>
            </w:r>
            <w:r>
              <w:rPr>
                <w:rFonts w:hint="eastAsia"/>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安全生产标准化认证证书。一个证书得2分，本项最高得8分，缺一项不得分。（须提供证书复印件加盖公章，且认证证书必须在有效期内，否则不得分）。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765" w:type="dxa"/>
            <w:vMerge w:val="continue"/>
            <w:vAlign w:val="center"/>
          </w:tcPr>
          <w:p>
            <w:pPr>
              <w:rPr>
                <w:rFonts w:ascii="宋体" w:hAnsi="宋体"/>
                <w:color w:val="000000" w:themeColor="text1"/>
                <w:sz w:val="24"/>
                <w14:textFill>
                  <w14:solidFill>
                    <w14:schemeClr w14:val="tx1"/>
                  </w14:solidFill>
                </w14:textFill>
              </w:rPr>
            </w:pPr>
          </w:p>
        </w:tc>
        <w:tc>
          <w:tcPr>
            <w:tcW w:w="1559"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2．企业荣誉</w:t>
            </w:r>
          </w:p>
        </w:tc>
        <w:tc>
          <w:tcPr>
            <w:tcW w:w="567"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6682"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报价人所管物业项目获得过本项目所在地行政部门颁发的物业管理示范项目称号（非住宅类），得2分。（需同时提供获奖证书复印件和与获奖证书时间对应时期的合同复印件，加盖报价人公章，否则不得分。）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2" w:hRule="atLeast"/>
          <w:jc w:val="center"/>
        </w:trPr>
        <w:tc>
          <w:tcPr>
            <w:tcW w:w="765" w:type="dxa"/>
            <w:vMerge w:val="continue"/>
            <w:vAlign w:val="center"/>
          </w:tcPr>
          <w:p>
            <w:pPr>
              <w:snapToGrid w:val="0"/>
              <w:spacing w:line="0" w:lineRule="atLeast"/>
              <w:jc w:val="center"/>
              <w:rPr>
                <w:rFonts w:ascii="宋体" w:hAnsi="宋体"/>
                <w:color w:val="000000" w:themeColor="text1"/>
                <w:sz w:val="24"/>
                <w14:textFill>
                  <w14:solidFill>
                    <w14:schemeClr w14:val="tx1"/>
                  </w14:solidFill>
                </w14:textFill>
              </w:rPr>
            </w:pPr>
          </w:p>
        </w:tc>
        <w:tc>
          <w:tcPr>
            <w:tcW w:w="1559"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3．物业管理项目业绩</w:t>
            </w:r>
          </w:p>
        </w:tc>
        <w:tc>
          <w:tcPr>
            <w:tcW w:w="567"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6682"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(1)项目数量：同类物业管理项目案例，每个案例2分，此项最高6分。</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(2)项目连续性：同类物业管理项目案例合同的连续性，每个案例每续签一次得2分，单个项目重复续签不累计，此项最高4分。</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响应文件须提供业绩合同复印件（合同复印件至少包括合同首页、金额页、双方签字盖章页）并加盖公章缺一不可，否则不得分。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65" w:type="dxa"/>
            <w:vMerge w:val="continue"/>
            <w:vAlign w:val="center"/>
          </w:tcPr>
          <w:p>
            <w:pPr>
              <w:snapToGrid w:val="0"/>
              <w:spacing w:line="0" w:lineRule="atLeast"/>
              <w:jc w:val="center"/>
              <w:rPr>
                <w:rFonts w:ascii="宋体" w:hAnsi="宋体"/>
                <w:color w:val="000000" w:themeColor="text1"/>
                <w:sz w:val="24"/>
                <w14:textFill>
                  <w14:solidFill>
                    <w14:schemeClr w14:val="tx1"/>
                  </w14:solidFill>
                </w14:textFill>
              </w:rPr>
            </w:pPr>
          </w:p>
        </w:tc>
        <w:tc>
          <w:tcPr>
            <w:tcW w:w="1559"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客户满意度</w:t>
            </w:r>
          </w:p>
        </w:tc>
        <w:tc>
          <w:tcPr>
            <w:tcW w:w="567"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6682"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报价人2018年1月1日至响应文件递交截止，每提供1份物业管理服务客户（非住宅类）满意评价资料的得1分，满意评价资料总数不超过3份，其中连续3年获得同一物业管理服务客户满意评价资料的额外加1分，此项得分最高为4分（评审依据为服务合同及加盖有客户公章的整体物业服务表扬信的复印件或扫描件加盖报价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65" w:type="dxa"/>
            <w:vMerge w:val="continue"/>
            <w:vAlign w:val="center"/>
          </w:tcPr>
          <w:p>
            <w:pPr>
              <w:snapToGrid w:val="0"/>
              <w:spacing w:line="0" w:lineRule="atLeast"/>
              <w:jc w:val="center"/>
              <w:rPr>
                <w:rFonts w:ascii="宋体" w:hAnsi="宋体"/>
                <w:color w:val="000000" w:themeColor="text1"/>
                <w:sz w:val="24"/>
                <w14:textFill>
                  <w14:solidFill>
                    <w14:schemeClr w14:val="tx1"/>
                  </w14:solidFill>
                </w14:textFill>
              </w:rPr>
            </w:pPr>
          </w:p>
        </w:tc>
        <w:tc>
          <w:tcPr>
            <w:tcW w:w="1559"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5.保密业绩</w:t>
            </w:r>
          </w:p>
        </w:tc>
        <w:tc>
          <w:tcPr>
            <w:tcW w:w="567"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6682" w:type="dxa"/>
            <w:vAlign w:val="center"/>
          </w:tcPr>
          <w:p>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提供业绩中具备涉密</w:t>
            </w:r>
            <w:r>
              <w:rPr>
                <w:rFonts w:hint="eastAsia" w:ascii="宋体" w:hAnsi="宋体" w:cs="宋体"/>
                <w:color w:val="000000" w:themeColor="text1"/>
                <w:sz w:val="24"/>
                <w14:textFill>
                  <w14:solidFill>
                    <w14:schemeClr w14:val="tx1"/>
                  </w14:solidFill>
                </w14:textFill>
              </w:rPr>
              <w:t>管理</w:t>
            </w:r>
            <w:r>
              <w:rPr>
                <w:rFonts w:ascii="宋体" w:hAnsi="宋体" w:cs="宋体"/>
                <w:color w:val="000000" w:themeColor="text1"/>
                <w:sz w:val="24"/>
                <w14:textFill>
                  <w14:solidFill>
                    <w14:schemeClr w14:val="tx1"/>
                  </w14:solidFill>
                </w14:textFill>
              </w:rPr>
              <w:t>的项目业绩，为具有国家一级保密资格的客户服务的</w:t>
            </w:r>
            <w:r>
              <w:rPr>
                <w:rFonts w:hint="eastAsia" w:ascii="宋体" w:hAnsi="宋体" w:cs="宋体"/>
                <w:color w:val="000000" w:themeColor="text1"/>
                <w:sz w:val="24"/>
                <w14:textFill>
                  <w14:solidFill>
                    <w14:schemeClr w14:val="tx1"/>
                  </w14:solidFill>
                </w14:textFill>
              </w:rPr>
              <w:t>，得3分，</w:t>
            </w:r>
            <w:r>
              <w:rPr>
                <w:rFonts w:ascii="宋体" w:hAnsi="宋体" w:cs="宋体"/>
                <w:color w:val="000000" w:themeColor="text1"/>
                <w:sz w:val="24"/>
                <w14:textFill>
                  <w14:solidFill>
                    <w14:schemeClr w14:val="tx1"/>
                  </w14:solidFill>
                </w14:textFill>
              </w:rPr>
              <w:t>为具有国家</w:t>
            </w:r>
            <w:r>
              <w:rPr>
                <w:rFonts w:hint="eastAsia" w:ascii="宋体" w:hAnsi="宋体" w:cs="宋体"/>
                <w:color w:val="000000" w:themeColor="text1"/>
                <w:sz w:val="24"/>
                <w14:textFill>
                  <w14:solidFill>
                    <w14:schemeClr w14:val="tx1"/>
                  </w14:solidFill>
                </w14:textFill>
              </w:rPr>
              <w:t>二</w:t>
            </w:r>
            <w:r>
              <w:rPr>
                <w:rFonts w:ascii="宋体" w:hAnsi="宋体" w:cs="宋体"/>
                <w:color w:val="000000" w:themeColor="text1"/>
                <w:sz w:val="24"/>
                <w14:textFill>
                  <w14:solidFill>
                    <w14:schemeClr w14:val="tx1"/>
                  </w14:solidFill>
                </w14:textFill>
              </w:rPr>
              <w:t>级保密资格</w:t>
            </w:r>
            <w:r>
              <w:rPr>
                <w:rFonts w:hint="eastAsia" w:ascii="宋体" w:hAnsi="宋体" w:cs="宋体"/>
                <w:color w:val="000000" w:themeColor="text1"/>
                <w:sz w:val="24"/>
                <w14:textFill>
                  <w14:solidFill>
                    <w14:schemeClr w14:val="tx1"/>
                  </w14:solidFill>
                </w14:textFill>
              </w:rPr>
              <w:t>的客户服务的，得2分，</w:t>
            </w:r>
            <w:r>
              <w:rPr>
                <w:rFonts w:ascii="宋体" w:hAnsi="宋体" w:cs="宋体"/>
                <w:color w:val="000000" w:themeColor="text1"/>
                <w:sz w:val="24"/>
                <w14:textFill>
                  <w14:solidFill>
                    <w14:schemeClr w14:val="tx1"/>
                  </w14:solidFill>
                </w14:textFill>
              </w:rPr>
              <w:t>为具有国家</w:t>
            </w:r>
            <w:r>
              <w:rPr>
                <w:rFonts w:hint="eastAsia" w:ascii="宋体" w:hAnsi="宋体" w:cs="宋体"/>
                <w:color w:val="000000" w:themeColor="text1"/>
                <w:sz w:val="24"/>
                <w14:textFill>
                  <w14:solidFill>
                    <w14:schemeClr w14:val="tx1"/>
                  </w14:solidFill>
                </w14:textFill>
              </w:rPr>
              <w:t>三</w:t>
            </w:r>
            <w:r>
              <w:rPr>
                <w:rFonts w:ascii="宋体" w:hAnsi="宋体" w:cs="宋体"/>
                <w:color w:val="000000" w:themeColor="text1"/>
                <w:sz w:val="24"/>
                <w14:textFill>
                  <w14:solidFill>
                    <w14:schemeClr w14:val="tx1"/>
                  </w14:solidFill>
                </w14:textFill>
              </w:rPr>
              <w:t>级保密资格</w:t>
            </w:r>
            <w:r>
              <w:rPr>
                <w:rFonts w:hint="eastAsia" w:ascii="宋体" w:hAnsi="宋体" w:cs="宋体"/>
                <w:color w:val="000000" w:themeColor="text1"/>
                <w:sz w:val="24"/>
                <w14:textFill>
                  <w14:solidFill>
                    <w14:schemeClr w14:val="tx1"/>
                  </w14:solidFill>
                </w14:textFill>
              </w:rPr>
              <w:t>的客户服务的，得1分</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本项</w:t>
            </w:r>
            <w:r>
              <w:rPr>
                <w:rFonts w:ascii="宋体" w:hAnsi="宋体" w:cs="宋体"/>
                <w:color w:val="000000" w:themeColor="text1"/>
                <w:sz w:val="24"/>
                <w14:textFill>
                  <w14:solidFill>
                    <w14:schemeClr w14:val="tx1"/>
                  </w14:solidFill>
                </w14:textFill>
              </w:rPr>
              <w:t>最高得</w:t>
            </w: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（评审依据为客户国家保密资格证书、服务合同及加盖有采购人公章的保密工作业绩证明的复印件或扫描件）。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4" w:hRule="atLeast"/>
          <w:jc w:val="center"/>
        </w:trPr>
        <w:tc>
          <w:tcPr>
            <w:tcW w:w="765" w:type="dxa"/>
            <w:vMerge w:val="restart"/>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技术部分</w:t>
            </w:r>
          </w:p>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（63分）</w:t>
            </w:r>
          </w:p>
        </w:tc>
        <w:tc>
          <w:tcPr>
            <w:tcW w:w="1559"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1.人员配备</w:t>
            </w:r>
          </w:p>
        </w:tc>
        <w:tc>
          <w:tcPr>
            <w:tcW w:w="567"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w:t>
            </w:r>
          </w:p>
        </w:tc>
        <w:tc>
          <w:tcPr>
            <w:tcW w:w="6682"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拟派项目经理：年龄45周岁（含）以下得1分；中共党员得1分；具有本科及以上学历得1分；学历证书专业为物业管理得2分；具有5年以上（含）高校物业项目经理工作经验得2分；获得注册物业管理师证书得2分；具备中级及以上职称得2分。注：依据学历证书、执业资格证书复印件或扫描件及个人履历证明、所在服务单位工作履历证明打分。</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2、拟派岗位主管：</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客服主管：年龄在35周岁（含）以下且具有大专及以上学历得1分；具有5年以上（含）高校物业项目主管经验得2分；具有消防行业职业技能鉴定指导中心颁发建（构）筑物消防员（即消防设施操作员）证书得1分。注：依据学历证书、执业资格证书复印件或扫描件及个人履历证明、所在服务单位工作履历证明打分。</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安保主管：年龄45周岁（含）以下且具有大专及以上学历得1分；具有5年以上（含）办公楼宇消防安全管理工作经验得1分；具有消防行业职业技能鉴定指导中心颁发建（构）筑物消防员（即消防设施操作员）证书得1分，复转军人或有从事军警工作经验得1分，中共党员得1分。注：依据学历证书、执业资格证书复印件或扫描件及个人履历证明、所在服务单位工作履历证明打分。</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房屋及设备维护主管：年龄40周岁（含）以下、具有大专及以上学历及5年以上（含）办公楼宇工程主管经验得1分；中共党员得1分。持高压电工作业（运行）证得1分，特种设备（电梯）作业证书得1分；具有消防行业职业技能鉴定指导中心颁发建（构）筑物消防员证书且具有安防监控系统和消防报警系统维护管理经验得1分；持住房和城乡建设委员会颁发的房屋建筑设施设备安全管理员证书得1分。注：依据学历证书、执业资格证书复印件或扫描件及个人履历证明、所在服务单位工作履历证明打分。</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其他岗位人员配备：须提供物业服务人员的详细资料，包括但不限于年龄（是否满足技术需求中要求的岗位年龄）、身体状况（健康）、学历、工作年限等。配备人员科学合理、针对性强得3分；配备人员较科学合理、针对性较强得2分；配备人员合理性弱、针对性不强得1分。未提供相关证明材料得0分。</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（为确保项目主要管理人员稳定性，以上1-2项要求提供报价人为本项目拟派的项目经理和专业主管缴纳开标前六个月内连续3个月社保的证明材料，否则不得分）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4" w:hRule="atLeast"/>
          <w:jc w:val="center"/>
        </w:trPr>
        <w:tc>
          <w:tcPr>
            <w:tcW w:w="765" w:type="dxa"/>
            <w:vMerge w:val="continue"/>
            <w:vAlign w:val="center"/>
          </w:tcPr>
          <w:p>
            <w:pPr>
              <w:snapToGrid w:val="0"/>
              <w:spacing w:line="0" w:lineRule="atLeast"/>
              <w:jc w:val="center"/>
              <w:rPr>
                <w:rFonts w:ascii="宋体" w:hAnsi="宋体"/>
                <w:color w:val="000000" w:themeColor="text1"/>
                <w:sz w:val="24"/>
                <w14:textFill>
                  <w14:solidFill>
                    <w14:schemeClr w14:val="tx1"/>
                  </w14:solidFill>
                </w14:textFill>
              </w:rPr>
            </w:pPr>
          </w:p>
        </w:tc>
        <w:tc>
          <w:tcPr>
            <w:tcW w:w="1559"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2.日常服务方案</w:t>
            </w:r>
          </w:p>
        </w:tc>
        <w:tc>
          <w:tcPr>
            <w:tcW w:w="567"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w:t>
            </w:r>
          </w:p>
        </w:tc>
        <w:tc>
          <w:tcPr>
            <w:tcW w:w="6682"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各报价人针对本项目所提供的服务方案进行综合评审，服务方案内容包含但不限于以下内容：公共楼宇管理、维修服务、前台接待服务、安全管理、环境保洁、客房服务、节能降耗、物业接管与交接、人员培训管理等方案。</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(1)合理性：科学合理6分，较科学合理4分，科学合理性一般得3分，科学合理性较差得1分，未提供方案得0分；</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(2)针对性：针对性强，符合项目需要5分，针对性较强4分，针对性一般3分，针对性较差得2分，未提供方案得0分；</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(3)全面性：全面细化5分，内容较全面细化4分，全面度一般2分，内容不细化1分，未提供相方案得0分；</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(4)可实施性：可实施性强，匹配现场情况5分，可实施度一般3分，可实施度差1分，未提供方案0分。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3" w:hRule="atLeast"/>
          <w:jc w:val="center"/>
        </w:trPr>
        <w:tc>
          <w:tcPr>
            <w:tcW w:w="765" w:type="dxa"/>
            <w:vMerge w:val="continue"/>
            <w:vAlign w:val="center"/>
          </w:tcPr>
          <w:p>
            <w:pPr>
              <w:snapToGrid w:val="0"/>
              <w:spacing w:line="0" w:lineRule="atLeast"/>
              <w:jc w:val="center"/>
              <w:rPr>
                <w:rFonts w:ascii="宋体" w:hAnsi="宋体"/>
                <w:color w:val="000000" w:themeColor="text1"/>
                <w:sz w:val="24"/>
                <w14:textFill>
                  <w14:solidFill>
                    <w14:schemeClr w14:val="tx1"/>
                  </w14:solidFill>
                </w14:textFill>
              </w:rPr>
            </w:pPr>
          </w:p>
        </w:tc>
        <w:tc>
          <w:tcPr>
            <w:tcW w:w="1559"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3.针对本项目日常运行、法定假日、寒暑假、突发公共事件应急预案</w:t>
            </w:r>
          </w:p>
        </w:tc>
        <w:tc>
          <w:tcPr>
            <w:tcW w:w="567"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6682"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1、报价人提供的应急预案科学全面，可操作性强，适合采购人的特点，得5-6分；</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2、报价人提供的应急预案较为全面，有一定可操作性，部分适合采购人的需求，得3-4分；</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3、报价人提供的应急预案过于简单，得1-2分。</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65" w:type="dxa"/>
            <w:vMerge w:val="continue"/>
            <w:vAlign w:val="center"/>
          </w:tcPr>
          <w:p>
            <w:pPr>
              <w:snapToGrid w:val="0"/>
              <w:spacing w:line="0" w:lineRule="atLeast"/>
              <w:jc w:val="center"/>
              <w:rPr>
                <w:rFonts w:ascii="宋体" w:hAnsi="宋体"/>
                <w:color w:val="000000" w:themeColor="text1"/>
                <w:sz w:val="24"/>
                <w14:textFill>
                  <w14:solidFill>
                    <w14:schemeClr w14:val="tx1"/>
                  </w14:solidFill>
                </w14:textFill>
              </w:rPr>
            </w:pPr>
          </w:p>
        </w:tc>
        <w:tc>
          <w:tcPr>
            <w:tcW w:w="1559"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4.保密方案</w:t>
            </w:r>
          </w:p>
        </w:tc>
        <w:tc>
          <w:tcPr>
            <w:tcW w:w="567"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6682"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针对本项目特点制定的保密制度及培训计划科学合理得2分；保密制度及培训计划较科学合理得1分，无保密方案及培训计划的不得分。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65" w:type="dxa"/>
            <w:vMerge w:val="continue"/>
            <w:vAlign w:val="center"/>
          </w:tcPr>
          <w:p>
            <w:pPr>
              <w:snapToGrid w:val="0"/>
              <w:spacing w:line="0" w:lineRule="atLeast"/>
              <w:jc w:val="center"/>
              <w:rPr>
                <w:rFonts w:ascii="宋体" w:hAnsi="宋体"/>
                <w:color w:val="000000" w:themeColor="text1"/>
                <w:sz w:val="24"/>
                <w14:textFill>
                  <w14:solidFill>
                    <w14:schemeClr w14:val="tx1"/>
                  </w14:solidFill>
                </w14:textFill>
              </w:rPr>
            </w:pPr>
          </w:p>
        </w:tc>
        <w:tc>
          <w:tcPr>
            <w:tcW w:w="1559"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 健康观察点服务方案</w:t>
            </w:r>
          </w:p>
        </w:tc>
        <w:tc>
          <w:tcPr>
            <w:tcW w:w="567"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6682" w:type="dxa"/>
            <w:vAlign w:val="center"/>
          </w:tcPr>
          <w:p>
            <w:pPr>
              <w:numPr>
                <w:ilvl w:val="255"/>
                <w:numId w:val="0"/>
              </w:num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1.因疫情防控需要，要求供应商具备同类（高校）集中居住健康观察点服务经验。（评审依据为加盖有采购人公章的高校集中居住观察点服务评价资料，提供资料得</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分，没有不得分。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高校集中居住健康观察点服务方案，各管理服务工作有详细科学标准的作业流程，质量保证措施详实，得3分；服务流程较符合要求，质量保证措施比较完整，得2分；服务流程基本符合要求，质量保证措施不够详实，得1分；无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65" w:type="dxa"/>
            <w:vAlign w:val="center"/>
          </w:tcPr>
          <w:p>
            <w:pPr>
              <w:snapToGrid w:val="0"/>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报价部分（10）</w:t>
            </w:r>
          </w:p>
        </w:tc>
        <w:tc>
          <w:tcPr>
            <w:tcW w:w="8808" w:type="dxa"/>
            <w:gridSpan w:val="3"/>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满足比选文件要求且响应价格最低的报价为评标基准价，其价格分为满分。其他报价人的价格分统一按照下列公式计算：</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报价得分=（评标基准价/响应报价）×10%×100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9573" w:type="dxa"/>
            <w:gridSpan w:val="4"/>
            <w:vAlign w:val="center"/>
          </w:tcPr>
          <w:p>
            <w:pPr>
              <w:snapToGrid w:val="0"/>
              <w:spacing w:line="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注：漏报技术条款视为该项不满足比选文件要求。</w:t>
            </w:r>
          </w:p>
        </w:tc>
      </w:tr>
    </w:tbl>
    <w:p>
      <w:pPr>
        <w:spacing w:line="360" w:lineRule="auto"/>
        <w:rPr>
          <w:rFonts w:ascii="宋体" w:hAnsi="宋体"/>
          <w:b/>
          <w:bCs/>
          <w:sz w:val="24"/>
        </w:rPr>
      </w:pPr>
    </w:p>
    <w:p>
      <w:pPr>
        <w:pStyle w:val="6"/>
        <w:ind w:firstLine="0"/>
        <w:rPr>
          <w:rFonts w:hAnsi="宋体"/>
          <w:b/>
          <w:bCs/>
        </w:rPr>
      </w:pPr>
    </w:p>
    <w:p>
      <w:pPr>
        <w:pStyle w:val="6"/>
        <w:ind w:firstLine="0"/>
        <w:rPr>
          <w:rFonts w:hAnsi="宋体"/>
          <w:b/>
          <w:bCs/>
        </w:rPr>
      </w:pPr>
    </w:p>
    <w:p>
      <w:pPr>
        <w:spacing w:line="360" w:lineRule="auto"/>
        <w:jc w:val="center"/>
        <w:outlineLvl w:val="0"/>
        <w:rPr>
          <w:rFonts w:ascii="宋体" w:hAnsi="宋体"/>
          <w:b/>
          <w:sz w:val="36"/>
          <w:szCs w:val="36"/>
        </w:rPr>
      </w:pPr>
      <w:r>
        <w:rPr>
          <w:rFonts w:ascii="宋体" w:hAnsi="宋体"/>
          <w:b/>
          <w:sz w:val="36"/>
          <w:szCs w:val="36"/>
        </w:rPr>
        <w:br w:type="page"/>
      </w:r>
      <w:bookmarkStart w:id="663" w:name="_Toc7625"/>
      <w:bookmarkStart w:id="664" w:name="_Toc26102"/>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63"/>
      <w:bookmarkEnd w:id="664"/>
    </w:p>
    <w:p>
      <w:pPr>
        <w:pStyle w:val="5"/>
        <w:rPr>
          <w:rFonts w:ascii="宋体" w:hAnsi="宋体" w:eastAsia="宋体"/>
          <w:sz w:val="28"/>
        </w:rPr>
      </w:pPr>
      <w:r>
        <w:rPr>
          <w:rFonts w:hint="eastAsia" w:ascii="宋体" w:hAnsi="宋体" w:eastAsia="宋体"/>
          <w:sz w:val="28"/>
        </w:rPr>
        <w:t>第一部分：项目一览表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41"/>
        <w:gridCol w:w="2781"/>
        <w:gridCol w:w="2225"/>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02" w:type="pct"/>
            <w:vAlign w:val="center"/>
          </w:tcPr>
          <w:p>
            <w:pPr>
              <w:spacing w:line="360" w:lineRule="auto"/>
              <w:jc w:val="center"/>
              <w:rPr>
                <w:rFonts w:ascii="宋体" w:hAnsi="宋体"/>
                <w:b/>
                <w:bCs/>
                <w:sz w:val="18"/>
                <w:szCs w:val="18"/>
              </w:rPr>
            </w:pPr>
            <w:r>
              <w:rPr>
                <w:rFonts w:hint="eastAsia" w:ascii="宋体" w:hAnsi="宋体"/>
                <w:b/>
                <w:bCs/>
                <w:sz w:val="18"/>
                <w:szCs w:val="18"/>
              </w:rPr>
              <w:t>包号</w:t>
            </w:r>
          </w:p>
        </w:tc>
        <w:tc>
          <w:tcPr>
            <w:tcW w:w="668" w:type="pct"/>
            <w:vAlign w:val="center"/>
          </w:tcPr>
          <w:p>
            <w:pPr>
              <w:spacing w:line="360" w:lineRule="auto"/>
              <w:jc w:val="center"/>
              <w:rPr>
                <w:rFonts w:ascii="宋体" w:hAnsi="宋体"/>
                <w:b/>
                <w:bCs/>
                <w:sz w:val="18"/>
                <w:szCs w:val="18"/>
              </w:rPr>
            </w:pPr>
            <w:r>
              <w:rPr>
                <w:rFonts w:hint="eastAsia" w:ascii="宋体" w:hAnsi="宋体"/>
                <w:b/>
                <w:bCs/>
                <w:sz w:val="18"/>
                <w:szCs w:val="18"/>
              </w:rPr>
              <w:t>采购内容</w:t>
            </w:r>
          </w:p>
        </w:tc>
        <w:tc>
          <w:tcPr>
            <w:tcW w:w="1497" w:type="pct"/>
            <w:vAlign w:val="center"/>
          </w:tcPr>
          <w:p>
            <w:pPr>
              <w:spacing w:line="360" w:lineRule="auto"/>
              <w:jc w:val="center"/>
              <w:rPr>
                <w:rFonts w:ascii="宋体" w:hAnsi="宋体"/>
                <w:b/>
                <w:bCs/>
                <w:sz w:val="18"/>
                <w:szCs w:val="18"/>
              </w:rPr>
            </w:pPr>
            <w:r>
              <w:rPr>
                <w:rFonts w:hint="eastAsia" w:ascii="宋体" w:hAnsi="宋体"/>
                <w:b/>
                <w:bCs/>
                <w:sz w:val="18"/>
                <w:szCs w:val="18"/>
              </w:rPr>
              <w:t>数量</w:t>
            </w:r>
          </w:p>
        </w:tc>
        <w:tc>
          <w:tcPr>
            <w:tcW w:w="1198" w:type="pct"/>
            <w:vAlign w:val="center"/>
          </w:tcPr>
          <w:p>
            <w:pPr>
              <w:spacing w:line="360" w:lineRule="auto"/>
              <w:jc w:val="center"/>
              <w:rPr>
                <w:rFonts w:ascii="宋体" w:hAnsi="宋体"/>
                <w:b/>
                <w:bCs/>
                <w:sz w:val="18"/>
                <w:szCs w:val="18"/>
              </w:rPr>
            </w:pPr>
            <w:r>
              <w:rPr>
                <w:rFonts w:hint="eastAsia" w:ascii="宋体" w:hAnsi="宋体"/>
                <w:b/>
                <w:bCs/>
                <w:sz w:val="18"/>
                <w:szCs w:val="18"/>
              </w:rPr>
              <w:t>预算（万元）</w:t>
            </w:r>
          </w:p>
        </w:tc>
        <w:tc>
          <w:tcPr>
            <w:tcW w:w="1235" w:type="pct"/>
            <w:vAlign w:val="center"/>
          </w:tcPr>
          <w:p>
            <w:pPr>
              <w:spacing w:line="360" w:lineRule="auto"/>
              <w:jc w:val="center"/>
              <w:rPr>
                <w:rFonts w:ascii="宋体" w:hAnsi="宋体"/>
                <w:b/>
                <w:bCs/>
                <w:sz w:val="18"/>
                <w:szCs w:val="18"/>
              </w:rPr>
            </w:pPr>
            <w:r>
              <w:rPr>
                <w:rFonts w:hint="eastAsia" w:ascii="宋体" w:hAnsi="宋体"/>
                <w:b/>
                <w:bCs/>
                <w:sz w:val="18"/>
                <w:szCs w:val="1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02" w:type="pct"/>
            <w:shd w:val="clear" w:color="000000" w:fill="FFFFFF"/>
            <w:vAlign w:val="center"/>
          </w:tcPr>
          <w:p>
            <w:pPr>
              <w:spacing w:line="360" w:lineRule="auto"/>
              <w:jc w:val="center"/>
              <w:rPr>
                <w:rFonts w:ascii="宋体" w:hAnsi="宋体"/>
                <w:sz w:val="18"/>
                <w:szCs w:val="18"/>
              </w:rPr>
            </w:pPr>
            <w:r>
              <w:rPr>
                <w:rFonts w:hint="eastAsia" w:ascii="宋体" w:hAnsi="宋体"/>
                <w:sz w:val="18"/>
                <w:szCs w:val="18"/>
              </w:rPr>
              <w:t>1</w:t>
            </w:r>
          </w:p>
        </w:tc>
        <w:tc>
          <w:tcPr>
            <w:tcW w:w="668" w:type="pct"/>
            <w:shd w:val="clear" w:color="000000" w:fill="FFFFFF"/>
            <w:vAlign w:val="center"/>
          </w:tcPr>
          <w:p>
            <w:pPr>
              <w:spacing w:line="360" w:lineRule="auto"/>
              <w:jc w:val="center"/>
              <w:rPr>
                <w:rFonts w:ascii="宋体" w:hAnsi="宋体"/>
                <w:sz w:val="18"/>
                <w:szCs w:val="18"/>
              </w:rPr>
            </w:pPr>
            <w:r>
              <w:rPr>
                <w:rFonts w:hint="eastAsia" w:ascii="宋体" w:hAnsi="宋体"/>
                <w:sz w:val="18"/>
                <w:szCs w:val="18"/>
              </w:rPr>
              <w:t>物业服务</w:t>
            </w:r>
          </w:p>
        </w:tc>
        <w:tc>
          <w:tcPr>
            <w:tcW w:w="1497" w:type="pct"/>
            <w:shd w:val="clear" w:color="000000" w:fill="FFFFFF"/>
            <w:vAlign w:val="center"/>
          </w:tcPr>
          <w:p>
            <w:pPr>
              <w:spacing w:line="360" w:lineRule="auto"/>
              <w:jc w:val="center"/>
              <w:rPr>
                <w:rFonts w:ascii="宋体" w:hAnsi="宋体"/>
                <w:sz w:val="18"/>
                <w:szCs w:val="18"/>
              </w:rPr>
            </w:pPr>
            <w:r>
              <w:rPr>
                <w:rFonts w:hint="eastAsia" w:ascii="宋体" w:hAnsi="宋体"/>
                <w:color w:val="000000" w:themeColor="text1"/>
                <w:sz w:val="18"/>
                <w:szCs w:val="18"/>
                <w14:textFill>
                  <w14:solidFill>
                    <w14:schemeClr w14:val="tx1"/>
                  </w14:solidFill>
                </w14:textFill>
              </w:rPr>
              <w:t>总建筑面积约25760㎡</w:t>
            </w:r>
          </w:p>
        </w:tc>
        <w:tc>
          <w:tcPr>
            <w:tcW w:w="1198" w:type="pct"/>
            <w:shd w:val="clear" w:color="000000" w:fill="FFFFFF"/>
            <w:vAlign w:val="center"/>
          </w:tcPr>
          <w:p>
            <w:pPr>
              <w:spacing w:line="300" w:lineRule="auto"/>
              <w:jc w:val="center"/>
              <w:rPr>
                <w:rFonts w:ascii="宋体" w:hAnsi="宋体"/>
                <w:sz w:val="18"/>
                <w:szCs w:val="18"/>
              </w:rPr>
            </w:pPr>
            <w:r>
              <w:rPr>
                <w:rFonts w:hint="eastAsia" w:ascii="宋体" w:hAnsi="宋体"/>
                <w:sz w:val="18"/>
                <w:szCs w:val="18"/>
              </w:rPr>
              <w:t>399</w:t>
            </w:r>
          </w:p>
        </w:tc>
        <w:tc>
          <w:tcPr>
            <w:tcW w:w="1235" w:type="pct"/>
            <w:shd w:val="clear" w:color="000000" w:fill="FFFFFF"/>
            <w:vAlign w:val="center"/>
          </w:tcPr>
          <w:p>
            <w:pPr>
              <w:spacing w:line="300" w:lineRule="auto"/>
              <w:jc w:val="center"/>
              <w:rPr>
                <w:rFonts w:ascii="宋体" w:hAnsi="宋体"/>
                <w:sz w:val="18"/>
                <w:szCs w:val="18"/>
              </w:rPr>
            </w:pPr>
            <w:r>
              <w:rPr>
                <w:rFonts w:hint="eastAsia" w:ascii="宋体" w:hAnsi="宋体"/>
                <w:sz w:val="18"/>
                <w:szCs w:val="18"/>
              </w:rPr>
              <w:t>1年</w:t>
            </w:r>
          </w:p>
        </w:tc>
      </w:tr>
    </w:tbl>
    <w:p/>
    <w:p>
      <w:pPr>
        <w:spacing w:line="360" w:lineRule="auto"/>
        <w:jc w:val="left"/>
        <w:rPr>
          <w:rFonts w:ascii="宋体" w:hAnsi="宋体"/>
          <w:b/>
          <w:szCs w:val="21"/>
        </w:rPr>
      </w:pPr>
      <w:r>
        <w:rPr>
          <w:rFonts w:hint="eastAsia" w:ascii="宋体" w:hAnsi="宋体"/>
          <w:b/>
          <w:szCs w:val="21"/>
        </w:rPr>
        <w:t>注：1、“</w:t>
      </w:r>
      <w:r>
        <w:rPr>
          <w:rFonts w:hint="eastAsia" w:ascii="宋体" w:hAnsi="宋体" w:cs="等线"/>
          <w:b/>
          <w:bCs/>
          <w:kern w:val="0"/>
          <w:szCs w:val="21"/>
        </w:rPr>
        <w:t>★</w:t>
      </w:r>
      <w:r>
        <w:rPr>
          <w:rFonts w:hint="eastAsia" w:ascii="宋体" w:hAnsi="宋体"/>
          <w:b/>
          <w:szCs w:val="21"/>
        </w:rPr>
        <w:t>”为实质性条款，不满足的将被视为无效响应予以拒绝。</w:t>
      </w:r>
    </w:p>
    <w:p>
      <w:pPr>
        <w:spacing w:line="360" w:lineRule="auto"/>
        <w:jc w:val="left"/>
        <w:rPr>
          <w:rFonts w:ascii="宋体" w:hAnsi="宋体"/>
          <w:b/>
          <w:szCs w:val="21"/>
        </w:rPr>
      </w:pPr>
      <w:r>
        <w:rPr>
          <w:rFonts w:hint="eastAsia" w:ascii="宋体" w:hAnsi="宋体"/>
          <w:b/>
          <w:szCs w:val="21"/>
        </w:rPr>
        <w:t>2、技术参数中所涉品牌、型号、专用技术等为描述所需，不具备强制性，要求所投产品至少满足该配置档次要求，并须确保整体系统兼容性。</w:t>
      </w:r>
    </w:p>
    <w:p>
      <w:pPr>
        <w:spacing w:line="360" w:lineRule="auto"/>
        <w:contextualSpacing/>
        <w:rPr>
          <w:sz w:val="24"/>
        </w:rPr>
      </w:pPr>
    </w:p>
    <w:p>
      <w:pPr>
        <w:spacing w:line="440" w:lineRule="exact"/>
        <w:rPr>
          <w:b/>
        </w:rPr>
      </w:pPr>
    </w:p>
    <w:p>
      <w:pPr>
        <w:autoSpaceDE w:val="0"/>
        <w:autoSpaceDN w:val="0"/>
        <w:rPr>
          <w:bCs/>
        </w:rPr>
      </w:pPr>
    </w:p>
    <w:p>
      <w:pPr>
        <w:rPr>
          <w:rFonts w:ascii="宋体" w:hAnsi="宋体"/>
        </w:rPr>
      </w:pPr>
      <w:r>
        <w:rPr>
          <w:rFonts w:hint="eastAsia" w:ascii="宋体" w:hAnsi="宋体"/>
        </w:rPr>
        <w:br w:type="page"/>
      </w:r>
    </w:p>
    <w:p>
      <w:pPr>
        <w:pStyle w:val="5"/>
        <w:rPr>
          <w:rFonts w:ascii="宋体" w:hAnsi="宋体" w:eastAsia="宋体"/>
        </w:rPr>
      </w:pPr>
      <w:r>
        <w:rPr>
          <w:rFonts w:hint="eastAsia" w:ascii="宋体" w:hAnsi="宋体" w:eastAsia="宋体"/>
        </w:rPr>
        <w:t>第二部分：服务需求</w:t>
      </w:r>
    </w:p>
    <w:p>
      <w:pPr>
        <w:numPr>
          <w:ilvl w:val="0"/>
          <w:numId w:val="11"/>
        </w:numPr>
        <w:adjustRightInd w:val="0"/>
        <w:spacing w:line="360" w:lineRule="atLeast"/>
        <w:textAlignment w:val="baseline"/>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项目背景或简况</w:t>
      </w:r>
    </w:p>
    <w:p>
      <w:pPr>
        <w:numPr>
          <w:ilvl w:val="0"/>
          <w:numId w:val="12"/>
        </w:numPr>
        <w:adjustRightInd w:val="0"/>
        <w:spacing w:line="360" w:lineRule="auto"/>
        <w:ind w:hanging="13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物业项目情况简介：</w:t>
      </w:r>
    </w:p>
    <w:p>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首都师范大学留学生公寓楼坐落于海淀区西三环北路83号，首都师范大学北一校区内，隶属国际文化学院。楼宇功能明确，布局合理，集住宿、餐饮、康乐于一体，是留学生生活、娱乐的综合体建筑。</w:t>
      </w:r>
    </w:p>
    <w:p>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首都师范大学留学生公寓楼总建筑面积2.5万平方米，配套设施完善，配备中央空调、电梯、消防、安全监控等功能设施，集通办公自动化、安全自动化、楼宇机电设备管理自动化于一体。首都师范大学留学生公寓楼内设有单人间、标准间、四人间、行政套房等各类客房517间。在入住接待、户籍管理、客房服务、居住环境等方面采用星级酒店服务流程及标准，为广大外籍师生提供专属化24小时酒店服务。同时，楼内康乐设施齐全，设有商务中心、商品部、咖啡厅、特色中餐、日本料理等，为外籍师生生活提供一流的配套服务。在新冠疫情期间，留学生学生公寓为首都师范大学健康观察点，为首都师范大学需要进行健康观察的师生提供服务保障工作。</w:t>
      </w:r>
    </w:p>
    <w:p>
      <w:pPr>
        <w:numPr>
          <w:ilvl w:val="0"/>
          <w:numId w:val="12"/>
        </w:numPr>
        <w:adjustRightInd w:val="0"/>
        <w:spacing w:line="360" w:lineRule="auto"/>
        <w:ind w:hanging="13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物业资质要求：</w:t>
      </w:r>
    </w:p>
    <w:p>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物业管理应创建具有高校特色的企业文化，以服务留学生、服务教学为本，打造高校文化特色物业服务；建章立制，完善管理制度建立质量体系，提高服务水平；开展活动，培育团队精神。</w:t>
      </w:r>
    </w:p>
    <w:p>
      <w:pPr>
        <w:numPr>
          <w:ilvl w:val="0"/>
          <w:numId w:val="12"/>
        </w:numPr>
        <w:adjustRightInd w:val="0"/>
        <w:spacing w:line="360" w:lineRule="auto"/>
        <w:ind w:hanging="13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物业项目地址：北京市海淀区西三环北路83号首都师范大学北一区。</w:t>
      </w:r>
    </w:p>
    <w:p>
      <w:pPr>
        <w:numPr>
          <w:ilvl w:val="0"/>
          <w:numId w:val="12"/>
        </w:numPr>
        <w:adjustRightInd w:val="0"/>
        <w:spacing w:line="360" w:lineRule="auto"/>
        <w:ind w:hanging="13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全部区域：总建筑面积约25760㎡。</w:t>
      </w:r>
    </w:p>
    <w:p>
      <w:pPr>
        <w:numPr>
          <w:ilvl w:val="0"/>
          <w:numId w:val="12"/>
        </w:numPr>
        <w:adjustRightInd w:val="0"/>
        <w:spacing w:line="360" w:lineRule="auto"/>
        <w:ind w:hanging="13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物业管理服务内容包括：</w:t>
      </w:r>
    </w:p>
    <w:p>
      <w:pPr>
        <w:adjustRightIn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首都师范大学留学生公寓楼（地下一层、地上14层）范围内供暖锅炉、电梯、中央空调、配电室、生活水泵房、消防水泵房、高位水箱、电开水器等设备设施的运行管理；酒店前台对客服务、新生入住、团队接待、防疫管控、户籍管理、客房服务、公共区域保洁、垃圾清运、水电土建维修、秩序维护、消防安全管理等日常运行维护；配合学校做好安全稳定、能源回收、垃圾分类、节能减排、防汛减灾、活动保障、智慧校园、高校健康观察点服务等工作。</w:t>
      </w:r>
    </w:p>
    <w:p>
      <w:pPr>
        <w:numPr>
          <w:ilvl w:val="0"/>
          <w:numId w:val="12"/>
        </w:numPr>
        <w:adjustRightInd w:val="0"/>
        <w:spacing w:line="360" w:lineRule="auto"/>
        <w:ind w:hanging="13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工作内容涉及到的各种能源、办公、耗材、专项维护费用等由采购人提供。</w:t>
      </w:r>
    </w:p>
    <w:p>
      <w:pPr>
        <w:numPr>
          <w:ilvl w:val="0"/>
          <w:numId w:val="12"/>
        </w:numPr>
        <w:adjustRightInd w:val="0"/>
        <w:spacing w:line="360" w:lineRule="auto"/>
        <w:ind w:hanging="13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能够提供物业人员办公场所。</w:t>
      </w:r>
    </w:p>
    <w:p>
      <w:pPr>
        <w:numPr>
          <w:ilvl w:val="0"/>
          <w:numId w:val="12"/>
        </w:numPr>
        <w:adjustRightInd w:val="0"/>
        <w:spacing w:line="360" w:lineRule="auto"/>
        <w:ind w:hanging="13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中标人员工可在学校食堂就餐，餐费自理。</w:t>
      </w:r>
    </w:p>
    <w:p>
      <w:pPr>
        <w:numPr>
          <w:ilvl w:val="0"/>
          <w:numId w:val="12"/>
        </w:numPr>
        <w:adjustRightInd w:val="0"/>
        <w:spacing w:line="360" w:lineRule="auto"/>
        <w:ind w:hanging="13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★本项目人员配备不得低于60人，需承诺提供服务团队人员数量不少于60   人，报价人服务团队数量少于低限要求将导致投标无效。除日常工作外,临时性工作安排和节日或突发事件时的加班费用均包含在物业费用中,采购人不再支付其他额外费用。</w:t>
      </w:r>
    </w:p>
    <w:p>
      <w:pPr>
        <w:numPr>
          <w:ilvl w:val="0"/>
          <w:numId w:val="11"/>
        </w:numPr>
        <w:adjustRightInd w:val="0"/>
        <w:spacing w:line="360" w:lineRule="atLeast"/>
        <w:textAlignment w:val="baseline"/>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技术参数要求、服务要求</w:t>
      </w:r>
    </w:p>
    <w:p>
      <w:pPr>
        <w:numPr>
          <w:ilvl w:val="0"/>
          <w:numId w:val="13"/>
        </w:numPr>
        <w:spacing w:line="360" w:lineRule="auto"/>
        <w:ind w:hanging="55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服务岗位</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管理岗、前台服务岗、客服中心岗、户籍管理岗、日审、夜审、秩序维护员、客房服务员、工程运行工。</w:t>
      </w:r>
    </w:p>
    <w:p>
      <w:pPr>
        <w:numPr>
          <w:ilvl w:val="0"/>
          <w:numId w:val="14"/>
        </w:numPr>
        <w:spacing w:line="360" w:lineRule="auto"/>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各岗位任职要求：</w:t>
      </w:r>
    </w:p>
    <w:p>
      <w:pPr>
        <w:numPr>
          <w:ilvl w:val="0"/>
          <w:numId w:val="15"/>
        </w:numPr>
        <w:spacing w:line="360" w:lineRule="auto"/>
        <w:ind w:hanging="55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项目经理：有较强的组织领导能力和协调能力，年龄45岁以下。</w:t>
      </w:r>
    </w:p>
    <w:p>
      <w:pPr>
        <w:numPr>
          <w:ilvl w:val="0"/>
          <w:numId w:val="15"/>
        </w:numPr>
        <w:spacing w:line="360" w:lineRule="auto"/>
        <w:ind w:hanging="55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部门主管：有3年以上同等职务的履历。</w:t>
      </w:r>
    </w:p>
    <w:p>
      <w:pPr>
        <w:numPr>
          <w:ilvl w:val="0"/>
          <w:numId w:val="15"/>
        </w:numPr>
        <w:spacing w:line="360" w:lineRule="auto"/>
        <w:ind w:hanging="55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普通工作人员符合以下条件：</w:t>
      </w:r>
    </w:p>
    <w:p>
      <w:pPr>
        <w:numPr>
          <w:ilvl w:val="0"/>
          <w:numId w:val="16"/>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前台、客服中心接待员：须身体健康，具备相关的礼仪知识，服务得体大方。前台人员持旅店业上岗资格证，年龄25岁以下、身高不低于1.68M。</w:t>
      </w:r>
    </w:p>
    <w:p>
      <w:pPr>
        <w:numPr>
          <w:ilvl w:val="0"/>
          <w:numId w:val="16"/>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秩序维护员：须身体健康，责任心强，五官端正，接受过安全保卫或相关训练，掌握基本安全保卫技能，熟悉有关法律法规，思想品德好，无不良记录，持有户籍地或居住地公安机关开具的无违法犯罪证明，持保安证，年龄40岁以下。</w:t>
      </w:r>
    </w:p>
    <w:p>
      <w:pPr>
        <w:numPr>
          <w:ilvl w:val="0"/>
          <w:numId w:val="16"/>
        </w:numPr>
        <w:spacing w:line="360" w:lineRule="auto"/>
        <w:rPr>
          <w:rFonts w:ascii="宋体" w:hAnsi="宋体"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客房服务员：须身体健康，责任心强，五官端正，接受过客房服务相关训练，掌握基本客房服务的技能，熟悉有关法律法规，思想品德好，无不良记录，持有户籍地或居住地公安机关开具的无违法犯罪证明，持有健康证明，年龄45岁以下。</w:t>
      </w:r>
    </w:p>
    <w:p>
      <w:pPr>
        <w:numPr>
          <w:ilvl w:val="0"/>
          <w:numId w:val="16"/>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工程专业技术人员：须身体健康，必须持有相关行业颁发的资格证书并具有相关设备的管理经验，年龄45岁以下。</w:t>
      </w:r>
    </w:p>
    <w:p>
      <w:pPr>
        <w:numPr>
          <w:ilvl w:val="0"/>
          <w:numId w:val="13"/>
        </w:numPr>
        <w:spacing w:line="360" w:lineRule="auto"/>
        <w:ind w:hanging="55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秩序维护服务</w:t>
      </w:r>
    </w:p>
    <w:p>
      <w:pPr>
        <w:numPr>
          <w:ilvl w:val="0"/>
          <w:numId w:val="17"/>
        </w:numPr>
        <w:spacing w:line="360" w:lineRule="auto"/>
        <w:ind w:firstLine="28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服务内容</w:t>
      </w:r>
    </w:p>
    <w:p>
      <w:pPr>
        <w:numPr>
          <w:ilvl w:val="0"/>
          <w:numId w:val="18"/>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公共秩序维护。负责留学生公寓楼正常生活秩序维护。具体包括：包括门卫管理、公共秩序管理、消防管理，突发事件应急处置。配合学院做好防火、防盗、防自然灾害、防校园暴力等工作。</w:t>
      </w:r>
    </w:p>
    <w:p>
      <w:pPr>
        <w:numPr>
          <w:ilvl w:val="0"/>
          <w:numId w:val="18"/>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紧急事故处理。制定各类安全事故发生时的紧急处理预案，负责各种突发事件的预防与处理。</w:t>
      </w:r>
    </w:p>
    <w:p>
      <w:pPr>
        <w:numPr>
          <w:ilvl w:val="0"/>
          <w:numId w:val="18"/>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安全法制教育。加强自身工作人员的安全教育与法制教育，提高其安全防范工作能力及法制意识，确保不因自身工作人员原因发生安全事故，并配合学院开展各类安全教育。</w:t>
      </w:r>
    </w:p>
    <w:p>
      <w:pPr>
        <w:numPr>
          <w:ilvl w:val="0"/>
          <w:numId w:val="18"/>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安全隐患排查。定期排查各类安全隐患，每周定期排查一次安全隐患，如发现安全隐患，必须立即上报学院安全主管部门，并采取必要安全隐患防范措施。每周定期向学院后勤部门书面报告上周安全隐患排查的情况。</w:t>
      </w:r>
    </w:p>
    <w:p>
      <w:pPr>
        <w:numPr>
          <w:ilvl w:val="0"/>
          <w:numId w:val="18"/>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安全设施管理。建立安全管理与巡查制度，定期检查各类安全设施设备，包括秩序安全防范设施、财产安全防范设施、安全监控系统设备、消防安全设施等。发现上述系统出现故障或故障隐患，及时向学院物业监管机构通报，并组织进行维修。</w:t>
      </w:r>
    </w:p>
    <w:p>
      <w:pPr>
        <w:numPr>
          <w:ilvl w:val="0"/>
          <w:numId w:val="17"/>
        </w:numPr>
        <w:spacing w:line="360" w:lineRule="auto"/>
        <w:ind w:firstLine="28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服务标准</w:t>
      </w:r>
    </w:p>
    <w:p>
      <w:pPr>
        <w:numPr>
          <w:ilvl w:val="0"/>
          <w:numId w:val="19"/>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根据要求对出入人员进行健康监测、登记管理、出入物品进行验证，杜绝闲杂人员进入大厦。</w:t>
      </w:r>
    </w:p>
    <w:p>
      <w:pPr>
        <w:numPr>
          <w:ilvl w:val="0"/>
          <w:numId w:val="19"/>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各种消防设施和器材配套合理、更换及时、使用有效。</w:t>
      </w:r>
    </w:p>
    <w:p>
      <w:pPr>
        <w:numPr>
          <w:ilvl w:val="0"/>
          <w:numId w:val="19"/>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能及时发现和处理各种安全和事故隐患，并能迅速有效处置突发事件。</w:t>
      </w:r>
    </w:p>
    <w:p>
      <w:pPr>
        <w:numPr>
          <w:ilvl w:val="0"/>
          <w:numId w:val="19"/>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定期开展消防安全演练，提高消防安全防范技能和意识。</w:t>
      </w:r>
    </w:p>
    <w:p>
      <w:pPr>
        <w:numPr>
          <w:ilvl w:val="0"/>
          <w:numId w:val="13"/>
        </w:numPr>
        <w:spacing w:line="360" w:lineRule="auto"/>
        <w:ind w:hanging="55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环境维护、客房服务</w:t>
      </w:r>
    </w:p>
    <w:p>
      <w:pPr>
        <w:numPr>
          <w:ilvl w:val="0"/>
          <w:numId w:val="20"/>
        </w:numPr>
        <w:spacing w:line="360" w:lineRule="auto"/>
        <w:ind w:firstLine="28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环境卫生服务内容</w:t>
      </w:r>
    </w:p>
    <w:p>
      <w:pPr>
        <w:numPr>
          <w:ilvl w:val="0"/>
          <w:numId w:val="21"/>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负责留学生公寓楼内大堂、楼道、楼梯、卫生间、外围、地下空间内公共设施的卫生保洁。</w:t>
      </w:r>
    </w:p>
    <w:p>
      <w:pPr>
        <w:numPr>
          <w:ilvl w:val="0"/>
          <w:numId w:val="21"/>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负责校园文化设施保洁与维护。包括各类灯饰、宣传栏、警示牌、标志牌、雕塑、壁画以及各类校园文化装饰物。</w:t>
      </w:r>
    </w:p>
    <w:p>
      <w:pPr>
        <w:numPr>
          <w:ilvl w:val="0"/>
          <w:numId w:val="21"/>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负责虫害消杀、石材护理、地毯清洁、外墙清洗等定期专项清洁及监管工作。</w:t>
      </w:r>
    </w:p>
    <w:p>
      <w:pPr>
        <w:numPr>
          <w:ilvl w:val="0"/>
          <w:numId w:val="21"/>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做好日常垃圾分类及清运工作，每天清运到指定地点,确保垃圾分类工作符合北京市要求。</w:t>
      </w:r>
    </w:p>
    <w:p>
      <w:pPr>
        <w:numPr>
          <w:ilvl w:val="0"/>
          <w:numId w:val="21"/>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负责楼宇外围三包区域的卫生保洁、铲雪除冰等工作。</w:t>
      </w:r>
    </w:p>
    <w:p>
      <w:pPr>
        <w:numPr>
          <w:ilvl w:val="0"/>
          <w:numId w:val="21"/>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在流行性传染病高发期或爆发期要严格执行学校有关部门防疫要求。</w:t>
      </w:r>
    </w:p>
    <w:p>
      <w:pPr>
        <w:numPr>
          <w:ilvl w:val="0"/>
          <w:numId w:val="20"/>
        </w:numPr>
        <w:spacing w:line="360" w:lineRule="auto"/>
        <w:ind w:firstLine="28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客房服务内容：</w:t>
      </w:r>
    </w:p>
    <w:p>
      <w:pPr>
        <w:numPr>
          <w:ilvl w:val="0"/>
          <w:numId w:val="22"/>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留学生公寓楼内楼道、楼梯、卫生间、公共厨房、洗衣房等公共设施的卫生清洁、消毒。</w:t>
      </w:r>
    </w:p>
    <w:p>
      <w:pPr>
        <w:numPr>
          <w:ilvl w:val="0"/>
          <w:numId w:val="22"/>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负责客房卫生清洁、客用品补充、布草更换、垃圾分类工作。</w:t>
      </w:r>
    </w:p>
    <w:p>
      <w:pPr>
        <w:numPr>
          <w:ilvl w:val="0"/>
          <w:numId w:val="22"/>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每日留学生公寓内留宿、外宿、违规用品的安全检查以及公寓各项管理规定的落实情况。</w:t>
      </w:r>
    </w:p>
    <w:p>
      <w:pPr>
        <w:numPr>
          <w:ilvl w:val="0"/>
          <w:numId w:val="22"/>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检查客房内设施、配备物品是否完好齐全，发现损坏、遗失及时上报。</w:t>
      </w:r>
    </w:p>
    <w:p>
      <w:pPr>
        <w:numPr>
          <w:ilvl w:val="0"/>
          <w:numId w:val="22"/>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为居住学生日常生活提供物品配备、生活咨询等各项帮助。</w:t>
      </w:r>
    </w:p>
    <w:p>
      <w:pPr>
        <w:numPr>
          <w:ilvl w:val="0"/>
          <w:numId w:val="22"/>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熟悉公安机关对涉外旅店管理相关规定。</w:t>
      </w:r>
    </w:p>
    <w:p>
      <w:pPr>
        <w:numPr>
          <w:ilvl w:val="0"/>
          <w:numId w:val="20"/>
        </w:numPr>
        <w:spacing w:line="360" w:lineRule="auto"/>
        <w:ind w:firstLine="28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服务标准：</w:t>
      </w: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3694"/>
        <w:gridCol w:w="2468"/>
        <w:gridCol w:w="427"/>
        <w:gridCol w:w="427"/>
        <w:gridCol w:w="427"/>
        <w:gridCol w:w="427"/>
        <w:gridCol w:w="427"/>
        <w:gridCol w:w="8"/>
        <w:gridCol w:w="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tcPr>
          <w:p>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区</w:t>
            </w:r>
          </w:p>
          <w:p>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域</w:t>
            </w:r>
          </w:p>
        </w:tc>
        <w:tc>
          <w:tcPr>
            <w:tcW w:w="2042" w:type="pct"/>
            <w:vAlign w:val="center"/>
          </w:tcPr>
          <w:p>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保洁项目及作业内容</w:t>
            </w:r>
          </w:p>
        </w:tc>
        <w:tc>
          <w:tcPr>
            <w:tcW w:w="1382" w:type="pct"/>
            <w:vAlign w:val="center"/>
          </w:tcPr>
          <w:p>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清洁标准</w:t>
            </w:r>
          </w:p>
        </w:tc>
        <w:tc>
          <w:tcPr>
            <w:tcW w:w="207" w:type="pct"/>
            <w:vAlign w:val="center"/>
          </w:tcPr>
          <w:p>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每</w:t>
            </w:r>
          </w:p>
          <w:p>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日</w:t>
            </w:r>
          </w:p>
        </w:tc>
        <w:tc>
          <w:tcPr>
            <w:tcW w:w="197" w:type="pct"/>
            <w:vAlign w:val="center"/>
          </w:tcPr>
          <w:p>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每</w:t>
            </w:r>
          </w:p>
          <w:p>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周</w:t>
            </w:r>
          </w:p>
        </w:tc>
        <w:tc>
          <w:tcPr>
            <w:tcW w:w="179" w:type="pct"/>
            <w:vAlign w:val="center"/>
          </w:tcPr>
          <w:p>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每</w:t>
            </w:r>
          </w:p>
          <w:p>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月</w:t>
            </w:r>
          </w:p>
        </w:tc>
        <w:tc>
          <w:tcPr>
            <w:tcW w:w="209" w:type="pct"/>
            <w:vAlign w:val="center"/>
          </w:tcPr>
          <w:p>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每</w:t>
            </w:r>
          </w:p>
          <w:p>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季</w:t>
            </w:r>
          </w:p>
        </w:tc>
        <w:tc>
          <w:tcPr>
            <w:tcW w:w="215" w:type="pct"/>
            <w:vAlign w:val="center"/>
          </w:tcPr>
          <w:p>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半</w:t>
            </w:r>
          </w:p>
          <w:p>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年</w:t>
            </w:r>
          </w:p>
        </w:tc>
        <w:tc>
          <w:tcPr>
            <w:tcW w:w="207" w:type="pct"/>
            <w:gridSpan w:val="2"/>
            <w:vAlign w:val="center"/>
          </w:tcPr>
          <w:p>
            <w:pPr>
              <w:spacing w:line="360" w:lineRule="auto"/>
              <w:jc w:val="center"/>
              <w:rPr>
                <w:rFonts w:ascii="宋体" w:hAnsi="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restar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堂</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入</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口</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w:t>
            </w: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pacing w:val="-6"/>
                <w:szCs w:val="21"/>
                <w14:textFill>
                  <w14:solidFill>
                    <w14:schemeClr w14:val="tx1"/>
                  </w14:solidFill>
                </w14:textFill>
              </w:rPr>
              <w:t>入口处地面的清扫、擦洗。</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无污物，地面光洁</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2、石材地面的牵尘、擦洗。</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无污物，地面光洁</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3、大堂、电梯厅、电梯轿厢内石材结晶、抛光</w:t>
            </w:r>
          </w:p>
        </w:tc>
        <w:tc>
          <w:tcPr>
            <w:tcW w:w="1382" w:type="pct"/>
          </w:tcPr>
          <w:p>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无污物，地面光洁</w:t>
            </w:r>
          </w:p>
        </w:tc>
        <w:tc>
          <w:tcPr>
            <w:tcW w:w="207" w:type="pct"/>
          </w:tcPr>
          <w:p>
            <w:pPr>
              <w:spacing w:line="360" w:lineRule="auto"/>
              <w:jc w:val="center"/>
              <w:rPr>
                <w:rFonts w:ascii="宋体" w:hAnsi="宋体" w:cs="宋体"/>
                <w:bCs/>
                <w:color w:val="000000" w:themeColor="text1"/>
                <w:szCs w:val="21"/>
                <w14:textFill>
                  <w14:solidFill>
                    <w14:schemeClr w14:val="tx1"/>
                  </w14:solidFill>
                </w14:textFill>
              </w:rPr>
            </w:pPr>
          </w:p>
        </w:tc>
        <w:tc>
          <w:tcPr>
            <w:tcW w:w="197" w:type="pct"/>
          </w:tcPr>
          <w:p>
            <w:pPr>
              <w:spacing w:line="360" w:lineRule="auto"/>
              <w:jc w:val="center"/>
              <w:rPr>
                <w:rFonts w:ascii="宋体" w:hAnsi="宋体" w:cs="宋体"/>
                <w:bCs/>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bCs/>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hint="eastAsia" w:ascii="宋体" w:hAnsi="宋体" w:cs="宋体"/>
                <w:color w:val="000000" w:themeColor="text1"/>
                <w:spacing w:val="-6"/>
                <w:szCs w:val="21"/>
                <w14:textFill>
                  <w14:solidFill>
                    <w14:schemeClr w14:val="tx1"/>
                  </w14:solidFill>
                </w14:textFill>
              </w:rPr>
              <w:t>门窗框、拉手、玻璃、墙壁饰物的擦拭。</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光洁，无污迹、浮土</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hint="eastAsia" w:ascii="宋体" w:hAnsi="宋体" w:cs="宋体"/>
                <w:color w:val="000000" w:themeColor="text1"/>
                <w:spacing w:val="-6"/>
                <w:szCs w:val="21"/>
                <w14:textFill>
                  <w14:solidFill>
                    <w14:schemeClr w14:val="tx1"/>
                  </w14:solidFill>
                </w14:textFill>
              </w:rPr>
              <w:t>标牌、开关盒、柱子、金属饰物的擦拭。</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无污迹、无浮土</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6、进口雨棚的刷洗。</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干净明亮</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7、墙面的除尘。</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无污迹、无浮土</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8、墙面污迹的清除。</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无污迹、无浮土</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9、天花板饰物、灯、灯筒的擦拭。</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无污迹、无浮土</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10、空调进出风口的擦拭。</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干净无污迹</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11、消防器材的擦拭。</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无污迹、无浮土</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12、踢脚线的擦拭。</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无印迹</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13、垃圾桶的清洗擦拭及倾倒。</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无杂物、无污迹</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restar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走</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廊</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楼</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梯</w:t>
            </w: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1、地面的牵尘、擦拭。</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光洁，无污迹及杂物</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vAlign w:val="center"/>
          </w:tcPr>
          <w:p>
            <w:pPr>
              <w:spacing w:line="360" w:lineRule="auto"/>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2、地面的清洗。</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光洁，无污迹及杂物</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3、擦拭墙壁上的饰物、开关盒。</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无污迹、无浮土</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4、擦拭花木、标牌。</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无污迹、无浮土</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5、墙面的除尘。</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无污迹、无浮土</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6、墙面污迹的清除。</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无污迹、无浮土</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7、空调进出风口的擦拭。</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干净无污迹</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8、擦拭楼梯扶手、档板、栏杆。</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无尘土、无污迹</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9、扶手、栏杆的抛光。</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无尘土、无污迹</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tabs>
                <w:tab w:val="left" w:pos="4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10、踢脚线的擦拭。</w:t>
            </w:r>
          </w:p>
        </w:tc>
        <w:tc>
          <w:tcPr>
            <w:tcW w:w="1382" w:type="pct"/>
          </w:tcPr>
          <w:p>
            <w:pPr>
              <w:tabs>
                <w:tab w:val="left" w:pos="4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无印迹</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11、垃圾桶的清洗擦拭及倾倒。</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无杂物、无污迹</w:t>
            </w:r>
          </w:p>
        </w:tc>
        <w:tc>
          <w:tcPr>
            <w:tcW w:w="207"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域</w:t>
            </w: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保洁项目及作业内容</w:t>
            </w:r>
          </w:p>
        </w:tc>
        <w:tc>
          <w:tcPr>
            <w:tcW w:w="1382"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清洁标准</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每日</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2日</w:t>
            </w: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周</w:t>
            </w: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月</w:t>
            </w: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季</w:t>
            </w: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半</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restar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留学生客房</w:t>
            </w: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1、地面的清洗。</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光洁、无污迹及杂物</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2、家具的擦拭。</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无污迹、无浮土</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3、门及窗台的擦拭。</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无尘土、无污迹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4、窗框、玻璃及灯具的擦拭。</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无尘土、无污迹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5、空调进出风口的擦拭。</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干净、无污迹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6、卫生间清洁。</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干净、无异味</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7、布草更换。</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干净、无污迹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8、垃圾的倾倒。</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干净、无遗留</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9、违规电器使用、外宿、留宿</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随时检查、及时上报</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域</w:t>
            </w: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保洁项目及作业内容</w:t>
            </w:r>
          </w:p>
        </w:tc>
        <w:tc>
          <w:tcPr>
            <w:tcW w:w="1382"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清洁标准</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每日</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3日</w:t>
            </w: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周</w:t>
            </w: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月</w:t>
            </w: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季</w:t>
            </w: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半</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restart"/>
          </w:tcPr>
          <w:p>
            <w:pPr>
              <w:spacing w:line="360" w:lineRule="auto"/>
              <w:jc w:val="center"/>
              <w:rPr>
                <w:rFonts w:ascii="宋体" w:hAnsi="宋体" w:cs="宋体"/>
                <w:color w:val="000000" w:themeColor="text1"/>
                <w:szCs w:val="21"/>
                <w14:textFill>
                  <w14:solidFill>
                    <w14:schemeClr w14:val="tx1"/>
                  </w14:solidFill>
                </w14:textFill>
              </w:rPr>
            </w:pPr>
          </w:p>
          <w:p>
            <w:pPr>
              <w:spacing w:line="360" w:lineRule="auto"/>
              <w:jc w:val="center"/>
              <w:rPr>
                <w:rFonts w:ascii="宋体" w:hAnsi="宋体" w:cs="宋体"/>
                <w:color w:val="000000" w:themeColor="text1"/>
                <w:szCs w:val="21"/>
                <w14:textFill>
                  <w14:solidFill>
                    <w14:schemeClr w14:val="tx1"/>
                  </w14:solidFill>
                </w14:textFill>
              </w:rPr>
            </w:pP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散</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客房</w:t>
            </w: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1、地面的清洗。</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光洁、无污迹及杂物</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2、家具的擦拭。</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无污迹、无浮土</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3、门及窗台的擦拭。</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无尘土、无污迹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4、窗框、玻璃及灯具的擦拭。</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无尘土、无污迹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5、空调进出风口的擦拭。</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干净、无污迹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6、卫生间清洁。</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干净、无异味</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7、布草更换</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干净、无污迹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8、客用品</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及时更换</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域</w:t>
            </w:r>
          </w:p>
        </w:tc>
        <w:tc>
          <w:tcPr>
            <w:tcW w:w="2042"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保洁项目及作业内容</w:t>
            </w:r>
          </w:p>
        </w:tc>
        <w:tc>
          <w:tcPr>
            <w:tcW w:w="1382"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清洁标准</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每日</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周</w:t>
            </w: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月</w:t>
            </w: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季</w:t>
            </w: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半</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w:t>
            </w: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restart"/>
          </w:tcPr>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专家房</w:t>
            </w: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1、地面的清洗。</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光洁、无污迹及杂物</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2、家具的擦拭。</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无污迹、无浮土</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3、门及窗台的擦拭。</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无尘土、无污迹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4、窗框、玻璃及灯具的擦拭。</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无尘土、无污迹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5、空调进出风口的擦拭。</w:t>
            </w:r>
          </w:p>
        </w:tc>
        <w:tc>
          <w:tcPr>
            <w:tcW w:w="1382" w:type="pct"/>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干净、无污迹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6、卫生间清洁。</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干净、无异味</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7、布草更换</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干净、无污迹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8、客用品</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及时更换</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restar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梯</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厅</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梯</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轿</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箱</w:t>
            </w: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1、电梯厅地面的牵尘、擦洗。</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光洁、无污迹及杂物</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2、电梯厅地面的清洗。</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光洁、无污迹及杂物</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3、电梯厅墙壁、开关、饰物及厅内陈设的擦拭。</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干净整洁</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4、开关、运行显示器的擦拭。</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干净明亮</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5、电梯门的擦拭。</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6、门下部沟槽的清扫。</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无尘土、无杂物</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7、电梯箱内四壁的擦拭、开关擦拭。</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干净明亮</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8、电梯箱内顶部的擦拭。</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无杂物、无污迹浮土</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Merge w:val="restart"/>
            <w:vAlign w:val="center"/>
          </w:tcPr>
          <w:p>
            <w:pPr>
              <w:tabs>
                <w:tab w:val="left" w:pos="662"/>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9、星期毯的清洗</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Merge w:val="continue"/>
            <w:vAlign w:val="center"/>
          </w:tcPr>
          <w:p>
            <w:pPr>
              <w:tabs>
                <w:tab w:val="left" w:pos="662"/>
              </w:tabs>
              <w:spacing w:line="360" w:lineRule="auto"/>
              <w:rPr>
                <w:rFonts w:ascii="宋体" w:hAnsi="宋体" w:cs="宋体"/>
                <w:color w:val="000000" w:themeColor="text1"/>
                <w:szCs w:val="21"/>
                <w14:textFill>
                  <w14:solidFill>
                    <w14:schemeClr w14:val="tx1"/>
                  </w14:solidFill>
                </w14:textFill>
              </w:rPr>
            </w:pPr>
          </w:p>
        </w:tc>
        <w:tc>
          <w:tcPr>
            <w:tcW w:w="1382" w:type="pct"/>
            <w:vAlign w:val="center"/>
          </w:tcPr>
          <w:p>
            <w:pPr>
              <w:tabs>
                <w:tab w:val="left" w:pos="662"/>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无杂物、无污迹浮土</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restar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垃圾桶</w:t>
            </w:r>
          </w:p>
        </w:tc>
        <w:tc>
          <w:tcPr>
            <w:tcW w:w="2042" w:type="pct"/>
            <w:vAlign w:val="center"/>
          </w:tcPr>
          <w:p>
            <w:pPr>
              <w:tabs>
                <w:tab w:val="left" w:pos="662"/>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1、地面的擦拭、除尘。</w:t>
            </w:r>
          </w:p>
        </w:tc>
        <w:tc>
          <w:tcPr>
            <w:tcW w:w="1382" w:type="pct"/>
            <w:vAlign w:val="center"/>
          </w:tcPr>
          <w:p>
            <w:pPr>
              <w:tabs>
                <w:tab w:val="left" w:pos="662"/>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无污迹及杂物</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tabs>
                <w:tab w:val="left" w:pos="662"/>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2、地面的墩洗。</w:t>
            </w:r>
          </w:p>
        </w:tc>
        <w:tc>
          <w:tcPr>
            <w:tcW w:w="1382" w:type="pct"/>
            <w:vAlign w:val="center"/>
          </w:tcPr>
          <w:p>
            <w:pPr>
              <w:tabs>
                <w:tab w:val="left" w:pos="662"/>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干净、整洁</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tabs>
                <w:tab w:val="left" w:pos="662"/>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3、木门的擦拭。</w:t>
            </w:r>
          </w:p>
        </w:tc>
        <w:tc>
          <w:tcPr>
            <w:tcW w:w="1382" w:type="pct"/>
            <w:vAlign w:val="center"/>
          </w:tcPr>
          <w:p>
            <w:pPr>
              <w:tabs>
                <w:tab w:val="left" w:pos="662"/>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无污迹、无印迹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tabs>
                <w:tab w:val="left" w:pos="662"/>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4、垃圾桶的分类倾倒及擦拭。</w:t>
            </w:r>
          </w:p>
        </w:tc>
        <w:tc>
          <w:tcPr>
            <w:tcW w:w="1382" w:type="pct"/>
            <w:vAlign w:val="center"/>
          </w:tcPr>
          <w:p>
            <w:pPr>
              <w:tabs>
                <w:tab w:val="left" w:pos="662"/>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及时、干净</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tabs>
                <w:tab w:val="left" w:pos="662"/>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5、垃圾桶的清洁。</w:t>
            </w:r>
          </w:p>
        </w:tc>
        <w:tc>
          <w:tcPr>
            <w:tcW w:w="1382" w:type="pct"/>
            <w:vAlign w:val="center"/>
          </w:tcPr>
          <w:p>
            <w:pPr>
              <w:tabs>
                <w:tab w:val="left" w:pos="662"/>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干净、无异味</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5"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355" w:type="pct"/>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域</w:t>
            </w: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保洁项目及作业内容</w:t>
            </w:r>
          </w:p>
        </w:tc>
        <w:tc>
          <w:tcPr>
            <w:tcW w:w="1382"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清洁标准</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周</w:t>
            </w: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月</w:t>
            </w: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季</w:t>
            </w: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半</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355" w:type="pct"/>
            <w:vMerge w:val="restar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卫</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间</w:t>
            </w: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1、地面的清扫、擦洗。</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光洁，无污迹及杂物</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2、地面的清洗。</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光洁，无污迹及杂物</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3、擦拭云台、洗手池。</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光洁，无污迹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4、擦拭镜面、皂液盒、烘干器。</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5、擦拭座便器、小便池。</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清洁无污物、无污迹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6、擦拭门窗、隔板、窗台。</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干净明亮</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7、墙面的擦拭。</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无尘土、无印迹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8、灯具的擦拭。</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光洁明亮</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9、冲洗恭桶。</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及时冲洗</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10、纸篓的倾倒。</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随时清理</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r>
              <w:rPr>
                <w:rFonts w:hint="eastAsia" w:ascii="宋体" w:hAnsi="宋体" w:cs="宋体"/>
                <w:color w:val="000000" w:themeColor="text1"/>
                <w:spacing w:val="-12"/>
                <w:szCs w:val="21"/>
                <w14:textFill>
                  <w14:solidFill>
                    <w14:schemeClr w14:val="tx1"/>
                  </w14:solidFill>
                </w14:textFill>
              </w:rPr>
              <w:t>补充卫生纸、洗手露、香球</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随时补充</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随时</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12、开窗换气、喷撒清香剂。</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适时换气、喷撒</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13、空调口的擦拭。</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无污迹</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14、内窗玻璃的擦拭。</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光洁明亮</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355" w:type="pct"/>
            <w:vMerge w:val="restar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外围重点区域</w:t>
            </w: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1、平台及大台阶的清洗</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清洁干净无返碱、油渍</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2、楼顶平台清扫</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清洁无杂物、碎石</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3、地沟清理</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清洁无烟头、杂物</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355" w:type="pct"/>
            <w:vMerge w:val="continue"/>
          </w:tcPr>
          <w:p>
            <w:pPr>
              <w:spacing w:line="360" w:lineRule="auto"/>
              <w:jc w:val="center"/>
              <w:rPr>
                <w:rFonts w:ascii="宋体" w:hAnsi="宋体" w:cs="宋体"/>
                <w:color w:val="000000" w:themeColor="text1"/>
                <w:szCs w:val="21"/>
                <w14:textFill>
                  <w14:solidFill>
                    <w14:schemeClr w14:val="tx1"/>
                  </w14:solidFill>
                </w14:textFill>
              </w:rPr>
            </w:pPr>
          </w:p>
        </w:tc>
        <w:tc>
          <w:tcPr>
            <w:tcW w:w="204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4、楼大堂、报告厅落地玻璃擦拭清洁</w:t>
            </w:r>
          </w:p>
        </w:tc>
        <w:tc>
          <w:tcPr>
            <w:tcW w:w="1382"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光洁明亮</w:t>
            </w: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197" w:type="pct"/>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9" w:type="pct"/>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19" w:type="pct"/>
            <w:gridSpan w:val="2"/>
            <w:vAlign w:val="center"/>
          </w:tcPr>
          <w:p>
            <w:pPr>
              <w:spacing w:line="360" w:lineRule="auto"/>
              <w:jc w:val="center"/>
              <w:rPr>
                <w:rFonts w:ascii="宋体" w:hAnsi="宋体" w:cs="宋体"/>
                <w:color w:val="000000" w:themeColor="text1"/>
                <w:szCs w:val="21"/>
                <w14:textFill>
                  <w14:solidFill>
                    <w14:schemeClr w14:val="tx1"/>
                  </w14:solidFill>
                </w14:textFill>
              </w:rPr>
            </w:pPr>
          </w:p>
        </w:tc>
        <w:tc>
          <w:tcPr>
            <w:tcW w:w="207" w:type="pct"/>
            <w:vAlign w:val="center"/>
          </w:tcPr>
          <w:p>
            <w:pPr>
              <w:spacing w:line="360" w:lineRule="auto"/>
              <w:jc w:val="center"/>
              <w:rPr>
                <w:rFonts w:ascii="宋体" w:hAnsi="宋体" w:cs="宋体"/>
                <w:color w:val="000000" w:themeColor="text1"/>
                <w:szCs w:val="21"/>
                <w14:textFill>
                  <w14:solidFill>
                    <w14:schemeClr w14:val="tx1"/>
                  </w14:solidFill>
                </w14:textFill>
              </w:rPr>
            </w:pPr>
          </w:p>
        </w:tc>
      </w:tr>
    </w:tbl>
    <w:p>
      <w:pPr>
        <w:numPr>
          <w:ilvl w:val="0"/>
          <w:numId w:val="13"/>
        </w:numPr>
        <w:spacing w:line="360" w:lineRule="auto"/>
        <w:ind w:hanging="55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前台接待服务</w:t>
      </w:r>
    </w:p>
    <w:p>
      <w:pPr>
        <w:numPr>
          <w:ilvl w:val="0"/>
          <w:numId w:val="23"/>
        </w:numPr>
        <w:spacing w:line="360" w:lineRule="auto"/>
        <w:ind w:firstLine="147"/>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服务内容</w:t>
      </w:r>
    </w:p>
    <w:p>
      <w:pPr>
        <w:numPr>
          <w:ilvl w:val="0"/>
          <w:numId w:val="24"/>
        </w:numPr>
        <w:spacing w:line="360" w:lineRule="auto"/>
        <w:ind w:hanging="49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全面负责大厦宾客的入住接待，服务咨询、投诉处理、行李寄存、结账服务等工作。</w:t>
      </w:r>
    </w:p>
    <w:p>
      <w:pPr>
        <w:numPr>
          <w:ilvl w:val="0"/>
          <w:numId w:val="24"/>
        </w:numPr>
        <w:spacing w:line="360" w:lineRule="auto"/>
        <w:ind w:hanging="49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依据公安机关涉外酒店管理相关规定办理入住服务流程，登记宾客信息的登记，做好安全检查，房费收取等工作。</w:t>
      </w:r>
    </w:p>
    <w:p>
      <w:pPr>
        <w:numPr>
          <w:ilvl w:val="0"/>
          <w:numId w:val="24"/>
        </w:numPr>
        <w:spacing w:line="360" w:lineRule="auto"/>
        <w:ind w:hanging="49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按公安机关要求完成入住宾客户籍信息录入上传工作。</w:t>
      </w:r>
    </w:p>
    <w:p>
      <w:pPr>
        <w:numPr>
          <w:ilvl w:val="0"/>
          <w:numId w:val="24"/>
        </w:numPr>
        <w:spacing w:line="360" w:lineRule="auto"/>
        <w:ind w:hanging="49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配合做好毕业生离校退房、新生入校房间分配，团队接待、外籍人员签证管理等工作。</w:t>
      </w:r>
    </w:p>
    <w:p>
      <w:pPr>
        <w:numPr>
          <w:ilvl w:val="0"/>
          <w:numId w:val="24"/>
        </w:numPr>
        <w:spacing w:line="360" w:lineRule="auto"/>
        <w:ind w:hanging="49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及时掌握国家移民局、出入境要求，熟悉特殊签证的管理，配合完成学生签证管理，做好签证预警。</w:t>
      </w:r>
    </w:p>
    <w:p>
      <w:pPr>
        <w:numPr>
          <w:ilvl w:val="0"/>
          <w:numId w:val="23"/>
        </w:numPr>
        <w:spacing w:line="360" w:lineRule="auto"/>
        <w:ind w:firstLine="147"/>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服务标准</w:t>
      </w:r>
    </w:p>
    <w:p>
      <w:pPr>
        <w:numPr>
          <w:ilvl w:val="0"/>
          <w:numId w:val="25"/>
        </w:numPr>
        <w:spacing w:line="360" w:lineRule="auto"/>
        <w:ind w:hanging="49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提前20分钟到岗，班前自查仪容仪表，做到仪表规范，精神饱满。</w:t>
      </w:r>
    </w:p>
    <w:p>
      <w:pPr>
        <w:numPr>
          <w:ilvl w:val="0"/>
          <w:numId w:val="25"/>
        </w:numPr>
        <w:spacing w:line="360" w:lineRule="auto"/>
        <w:ind w:hanging="49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查阅各类预订单、报表、根据房态显示掌握入住人员信息。</w:t>
      </w:r>
    </w:p>
    <w:p>
      <w:pPr>
        <w:numPr>
          <w:ilvl w:val="0"/>
          <w:numId w:val="25"/>
        </w:numPr>
        <w:spacing w:line="360" w:lineRule="auto"/>
        <w:ind w:hanging="49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清点核对备用金，移交重要钥匙，借用物品，宾客各类转寄转存转交的物品，寄存行李，各类现金及有价卷证，贵重物品保管和登记，移交的票据和卡证等。</w:t>
      </w:r>
    </w:p>
    <w:p>
      <w:pPr>
        <w:numPr>
          <w:ilvl w:val="0"/>
          <w:numId w:val="25"/>
        </w:numPr>
        <w:spacing w:line="360" w:lineRule="auto"/>
        <w:ind w:hanging="49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仔细阅读交接班记录，跟进处理上一班次重要事项和未解决事项。</w:t>
      </w:r>
    </w:p>
    <w:p>
      <w:pPr>
        <w:numPr>
          <w:ilvl w:val="0"/>
          <w:numId w:val="25"/>
        </w:numPr>
        <w:spacing w:line="360" w:lineRule="auto"/>
        <w:ind w:hanging="49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根据宾客抵达时间，提前做好入住接待准备。</w:t>
      </w:r>
    </w:p>
    <w:p>
      <w:pPr>
        <w:numPr>
          <w:ilvl w:val="0"/>
          <w:numId w:val="13"/>
        </w:numPr>
        <w:spacing w:line="360" w:lineRule="auto"/>
        <w:ind w:hanging="55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公用设施设备的维护、管理</w:t>
      </w:r>
    </w:p>
    <w:p>
      <w:pPr>
        <w:numPr>
          <w:ilvl w:val="0"/>
          <w:numId w:val="26"/>
        </w:numPr>
        <w:spacing w:line="360" w:lineRule="auto"/>
        <w:ind w:firstLine="147"/>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服务内容</w:t>
      </w:r>
    </w:p>
    <w:p>
      <w:pPr>
        <w:numPr>
          <w:ilvl w:val="0"/>
          <w:numId w:val="27"/>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负责房屋非建筑本体、公共设施设备的维护与管理。包括室内墙面、地面，照明、给排水、供暖、供电、制冷、消防、电梯、强弱电等系统的日常运行维护与管理，保障其正常运行或处于良好的备用状态。</w:t>
      </w:r>
    </w:p>
    <w:p>
      <w:pPr>
        <w:numPr>
          <w:ilvl w:val="0"/>
          <w:numId w:val="27"/>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定期与专业维保及维修厂家接洽，负责对维保质量、施工质量、售后服务进行监督管理。</w:t>
      </w:r>
    </w:p>
    <w:p>
      <w:pPr>
        <w:numPr>
          <w:ilvl w:val="0"/>
          <w:numId w:val="27"/>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为留学生公寓提供24小时入室维修服务。</w:t>
      </w:r>
    </w:p>
    <w:p>
      <w:pPr>
        <w:numPr>
          <w:ilvl w:val="0"/>
          <w:numId w:val="27"/>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制定详细的公共设施日常维修计划及实施方案。</w:t>
      </w:r>
    </w:p>
    <w:p>
      <w:pPr>
        <w:numPr>
          <w:ilvl w:val="0"/>
          <w:numId w:val="27"/>
        </w:numPr>
        <w:spacing w:line="360" w:lineRule="auto"/>
        <w:ind w:firstLine="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制定详尽的各类突发事故应急方案，并能迅速有效进行处置。</w:t>
      </w:r>
    </w:p>
    <w:p>
      <w:pPr>
        <w:numPr>
          <w:ilvl w:val="0"/>
          <w:numId w:val="26"/>
        </w:numPr>
        <w:spacing w:line="360" w:lineRule="auto"/>
        <w:ind w:firstLine="147"/>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管理标准</w:t>
      </w:r>
    </w:p>
    <w:p>
      <w:pPr>
        <w:numPr>
          <w:ilvl w:val="0"/>
          <w:numId w:val="28"/>
        </w:numPr>
        <w:spacing w:line="360" w:lineRule="auto"/>
        <w:ind w:hanging="234"/>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公共设备维修养护服务标准</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建立完善的质量保证体系，提供切实可行的运行管理、维护保养、维修的实施方案和各种措施。</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制定设备安全运行管理、岗位责任制、定期巡视检查、操作规程及监督检查制度，建立岗位责任制，并严格执行。做到科学管理、正确使用，精心维护，备齐备件，及时维修。</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建立安全检查制度，所服务区域设备设施进行日常安全巡检和定期安全检查，并记录备查。实行24小时值班制度，保证设备良好，运行正常，无重大管理责任事故。</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设备及机房环境整洁，无杂物、灰尘，无鼠、虫害发生。</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所需各种专业技术人员配备齐全、维修和操作人员持证上岗。有解决各类故障和事件的能力。 </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建立设备台帐和档案，项目齐全，目录清晰，设备图纸档案、技术资料齐全，管理完善，可随时查阅。</w:t>
      </w:r>
    </w:p>
    <w:p>
      <w:pPr>
        <w:numPr>
          <w:ilvl w:val="0"/>
          <w:numId w:val="28"/>
        </w:numPr>
        <w:spacing w:line="360" w:lineRule="auto"/>
        <w:ind w:hanging="234"/>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给排水设备运行维护标准</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加强值班，坚守岗位，加强日常检查巡视，保证给排水系统正常运行使用。</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楼宇室内外给排水系统的设备设施，如水泵、水箱、气压给水装置、水处理设备、消火栓、管道、管件、阀门、水嘴、卫生洁具、排水管、透气管、水封设备、室外排水管及其附属构筑物等正常运行使用进行日常养护。</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定期对排水管道进行清理疏通、养护、清除污垢。加强巡视检查，防止跑、冒、滴、漏，保证设备、设施完好。</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加强巡视检查，对消防用输水设备出现故障时立即进行抢修，同时禁止使用消防水喉做其他用途。</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对楼宇外公共水道出现的故障进行抢修。</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保持室内外排水系统通畅。</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设备出现故障时，维修人员应在10分钟内到达现场，维修合格率达100%，一般性故障排除不过夜。</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做好节约用水工作。</w:t>
      </w:r>
    </w:p>
    <w:p>
      <w:pPr>
        <w:numPr>
          <w:ilvl w:val="0"/>
          <w:numId w:val="28"/>
        </w:numPr>
        <w:spacing w:line="360" w:lineRule="auto"/>
        <w:ind w:hanging="234"/>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供电系统运行管理标准</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统筹规划，做到合理、节约用电。</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供电运行和维修人员必须持证上岗。</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配电室24小时值班，并每班值班人员不少于2人。</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加强日常维护检修，公共使用的照明、指示灯具线路和开关要保证完好。</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设备出现故障时，维修人员应在10分钟内到达现场，设备零维修合格率达到100%，一般性维修不过夜。</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严格执行用电安全规范，确保用电安全。</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保证避雷设施完好，有效、安全。</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保证夜景照明、节日灯系统正常运行，要按时关启。</w:t>
      </w:r>
    </w:p>
    <w:p>
      <w:pPr>
        <w:numPr>
          <w:ilvl w:val="0"/>
          <w:numId w:val="28"/>
        </w:numPr>
        <w:spacing w:line="360" w:lineRule="auto"/>
        <w:ind w:hanging="234"/>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空调系统运行维护标准</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建立空调运行管理制度和安全操作规程。</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保证空调系统安全运行和正常使用。</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运行中无滴漏水现象。</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定期添加软化剂、除垢剂、除藻剂，水质化验达标。</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期检修养护空调设备，保证空调设备、设施处于良好状态。</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空调系统出现运行故障后，维修人员应及时到达现场维修，并做好记录，零维修合格率100%。</w:t>
      </w:r>
    </w:p>
    <w:p>
      <w:pPr>
        <w:numPr>
          <w:ilvl w:val="0"/>
          <w:numId w:val="28"/>
        </w:numPr>
        <w:spacing w:line="360" w:lineRule="auto"/>
        <w:ind w:hanging="234"/>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消防系统管理标准</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定期开展消防安全演练，提高消防安全防范技能和意识。</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保证消防自动报警系统、门禁系统、自控制系统统运行正常，各系统工作稳定。</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保证各系统设备灵敏可靠。</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一般性故障立即排除，零维修合格率100%。暂时不能处理的通知有关部门采取应急措施，应急措施得当有效。</w:t>
      </w:r>
    </w:p>
    <w:p>
      <w:pPr>
        <w:numPr>
          <w:ilvl w:val="0"/>
          <w:numId w:val="16"/>
        </w:num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设备机房整洁，确保机房安全。</w:t>
      </w:r>
    </w:p>
    <w:p>
      <w:pPr>
        <w:numPr>
          <w:ilvl w:val="0"/>
          <w:numId w:val="13"/>
        </w:numPr>
        <w:spacing w:line="360" w:lineRule="auto"/>
        <w:ind w:hanging="556"/>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保密工作要求</w:t>
      </w:r>
    </w:p>
    <w:p>
      <w:pPr>
        <w:numPr>
          <w:ilvl w:val="0"/>
          <w:numId w:val="29"/>
        </w:numPr>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中标人应遵守采购人保密规定及相应违约责任，本项目物业服务人员应按照采购人有关部门要求签订保密协议，对知悉、获取的采购人任何信息、资料等均有保密义务，不得转告、传送和持有。同时应承担违反保密规定的法律责任与经济赔偿责任。</w:t>
      </w:r>
    </w:p>
    <w:p>
      <w:pPr>
        <w:numPr>
          <w:ilvl w:val="0"/>
          <w:numId w:val="29"/>
        </w:numPr>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对物业工作中可能涉及的保密工作提出总体性要求：企业及员工不得将大厦内所涉相关人员、数据、内容情况以及其他不应或不适合向外透露的内容透露给第三方。</w:t>
      </w:r>
    </w:p>
    <w:p>
      <w:pPr>
        <w:pStyle w:val="31"/>
        <w:numPr>
          <w:ilvl w:val="0"/>
          <w:numId w:val="13"/>
        </w:numPr>
        <w:spacing w:line="360" w:lineRule="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健康观察点工作要求</w:t>
      </w:r>
    </w:p>
    <w:p>
      <w:pPr>
        <w:spacing w:line="360" w:lineRule="auto"/>
        <w:ind w:left="84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中标人应具有新冠疫情健康观察点工作经验，对疫情防控有关工作知悉熟悉，在校医院的指导下独立完成健康观察人员的入住、消毒消杀、核酸检测、餐饮配送等服务工作。</w:t>
      </w:r>
    </w:p>
    <w:p>
      <w:pPr>
        <w:numPr>
          <w:ilvl w:val="0"/>
          <w:numId w:val="11"/>
        </w:numPr>
        <w:adjustRightInd w:val="0"/>
        <w:spacing w:line="360" w:lineRule="atLeast"/>
        <w:textAlignment w:val="baseline"/>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售后服务及培训要求</w:t>
      </w:r>
    </w:p>
    <w:p>
      <w:pPr>
        <w:numPr>
          <w:ilvl w:val="0"/>
          <w:numId w:val="30"/>
        </w:numPr>
        <w:adjustRightInd w:val="0"/>
        <w:spacing w:line="360" w:lineRule="auto"/>
        <w:ind w:firstLine="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中标人管理人员、专业操作人员按照国家有关规定取得物业管理职业资格证书或者上岗证书，定期培训。</w:t>
      </w:r>
    </w:p>
    <w:p>
      <w:pPr>
        <w:numPr>
          <w:ilvl w:val="0"/>
          <w:numId w:val="30"/>
        </w:numPr>
        <w:adjustRightInd w:val="0"/>
        <w:spacing w:line="360" w:lineRule="auto"/>
        <w:ind w:firstLine="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须把好物业管理工作人员的政审聘用关，经采购人同意后方可录用，签订正式劳动合同，加强思想和职业道德教育，培训相关业务和处理问题的应变能力与保密意识，并保证所有上岗人员均配有行业通用的相应岗位操作资格证书。持证上岗，员工统一着装（如需变更服装式样应事先征求采购人意见），佩戴明显标志，工作规范，作风严谨。</w:t>
      </w:r>
    </w:p>
    <w:p>
      <w:pPr>
        <w:numPr>
          <w:ilvl w:val="0"/>
          <w:numId w:val="30"/>
        </w:numPr>
        <w:adjustRightInd w:val="0"/>
        <w:spacing w:line="360" w:lineRule="auto"/>
        <w:ind w:firstLine="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服务人数应为工作日服务人数不得低于52人（不含正常轮休），服务质量应符合本合同技术参数要求的标准，采购人每日对中标人服务人员数量和质量进行核查和验收。如中标人出现服务人员不足时，采购人有权对中标人进行处罚。</w:t>
      </w:r>
    </w:p>
    <w:p>
      <w:pPr>
        <w:numPr>
          <w:ilvl w:val="0"/>
          <w:numId w:val="30"/>
        </w:numPr>
        <w:adjustRightInd w:val="0"/>
        <w:spacing w:line="360" w:lineRule="auto"/>
        <w:ind w:firstLine="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中标人应有岗前培训机制，服务人员100%经过岗前培训合格上岗。同时必须提交岗前培训记录。</w:t>
      </w:r>
    </w:p>
    <w:p>
      <w:pPr>
        <w:numPr>
          <w:ilvl w:val="0"/>
          <w:numId w:val="30"/>
        </w:numPr>
        <w:adjustRightInd w:val="0"/>
        <w:spacing w:line="360" w:lineRule="auto"/>
        <w:ind w:firstLine="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应设立服务电话，接受采购人对管理服务报修、求助、建议、问询、质疑、投诉等各类信息的收集和反馈，并及时处理，有回访制度和记录。定期与采购人沟通，并发放物业管理服务工作征求意见单，对合理的建议及时整改。</w:t>
      </w:r>
    </w:p>
    <w:p>
      <w:pPr>
        <w:numPr>
          <w:ilvl w:val="0"/>
          <w:numId w:val="30"/>
        </w:numPr>
        <w:adjustRightInd w:val="0"/>
        <w:spacing w:line="360" w:lineRule="auto"/>
        <w:ind w:firstLine="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不定期对本物业项目的相关工作进行考核，根据中标人承诺的物业服务标准及作业频次开展检查。考核实行经济惩罚制度，对没有达到服务标准的不合格项采购人有权扣减1000元/项。若考核出现三次及以上服务标准不合格或对采购人产生不良影响，采购人有权无条件中止合同。</w:t>
      </w:r>
    </w:p>
    <w:p>
      <w:pPr>
        <w:numPr>
          <w:ilvl w:val="0"/>
          <w:numId w:val="30"/>
        </w:numPr>
        <w:adjustRightInd w:val="0"/>
        <w:spacing w:line="360" w:lineRule="auto"/>
        <w:ind w:firstLine="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中标人未按约定依法按时足额发放员工工资、加班费等费用，或未按约定及时结算经采购人同意的第三方分包费用与报酬，或未提供相关凭证证明上述情况的，采购人除有权扣减相应服务费外，中标人还应向采购人支付合同总金额10%的违约金。若情节严重或对采购人产生不良影响，采购人有权无条件中止合同。</w:t>
      </w:r>
    </w:p>
    <w:p>
      <w:pPr>
        <w:numPr>
          <w:ilvl w:val="0"/>
          <w:numId w:val="11"/>
        </w:numPr>
        <w:adjustRightInd w:val="0"/>
        <w:spacing w:line="360" w:lineRule="auto"/>
        <w:textAlignment w:val="baseline"/>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交货时间及地点：</w:t>
      </w:r>
    </w:p>
    <w:p>
      <w:pPr>
        <w:numPr>
          <w:ilvl w:val="0"/>
          <w:numId w:val="31"/>
        </w:numPr>
        <w:adjustRightInd w:val="0"/>
        <w:spacing w:line="360" w:lineRule="auto"/>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服务期限1年，具体起始日期由首都师范大学（采购人）确定</w:t>
      </w:r>
    </w:p>
    <w:p>
      <w:pPr>
        <w:numPr>
          <w:ilvl w:val="0"/>
          <w:numId w:val="31"/>
        </w:numPr>
        <w:adjustRightInd w:val="0"/>
        <w:spacing w:line="360" w:lineRule="auto"/>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服务地点：北京市海淀区西三环北路83号首都师范大学留学生公寓楼</w:t>
      </w:r>
    </w:p>
    <w:p>
      <w:pPr>
        <w:numPr>
          <w:ilvl w:val="0"/>
          <w:numId w:val="11"/>
        </w:numPr>
        <w:adjustRightInd w:val="0"/>
        <w:spacing w:line="360" w:lineRule="auto"/>
        <w:textAlignment w:val="baseline"/>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验收服务要求</w:t>
      </w:r>
    </w:p>
    <w:p>
      <w:pPr>
        <w:numPr>
          <w:ilvl w:val="0"/>
          <w:numId w:val="32"/>
        </w:numPr>
        <w:adjustRightInd w:val="0"/>
        <w:spacing w:line="360" w:lineRule="auto"/>
        <w:ind w:firstLine="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物业管理服务质量标准：本合同约定的服务质量标准及物业管理的行业一般标准。两种标准有冲突时，以合同约定为准。</w:t>
      </w:r>
    </w:p>
    <w:p>
      <w:pPr>
        <w:numPr>
          <w:ilvl w:val="0"/>
          <w:numId w:val="32"/>
        </w:numPr>
        <w:adjustRightInd w:val="0"/>
        <w:spacing w:line="360" w:lineRule="auto"/>
        <w:ind w:firstLine="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采购人有权要求中标人按投标响应文件提供及时服务,对服务的各阶段及工作成果进行评估和确认，提出修改意见。</w:t>
      </w:r>
    </w:p>
    <w:p>
      <w:pPr>
        <w:numPr>
          <w:ilvl w:val="0"/>
          <w:numId w:val="32"/>
        </w:numPr>
        <w:adjustRightInd w:val="0"/>
        <w:spacing w:line="360" w:lineRule="auto"/>
        <w:ind w:firstLine="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果中标人不能按照本合同的要求履行义务，采购人以书面形式通知中标人，中标人应在7日内予以补正和改进，如果中标人在规定的期限内未能补正和改进，采购人有权中止支付，直至中标人能够按照本合同规定的内容履行义务。</w:t>
      </w:r>
    </w:p>
    <w:p>
      <w:pPr>
        <w:numPr>
          <w:ilvl w:val="0"/>
          <w:numId w:val="32"/>
        </w:numPr>
        <w:adjustRightInd w:val="0"/>
        <w:spacing w:line="360" w:lineRule="auto"/>
        <w:ind w:firstLine="6"/>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采购人有权检查监督中标人管理工作的实施情况,并有权随时对中标人的管理和服务提出意见、建议。</w:t>
      </w:r>
    </w:p>
    <w:p>
      <w:pPr>
        <w:numPr>
          <w:ilvl w:val="0"/>
          <w:numId w:val="11"/>
        </w:numPr>
        <w:adjustRightInd w:val="0"/>
        <w:spacing w:line="360" w:lineRule="auto"/>
        <w:textAlignment w:val="baseline"/>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付款方式：在合同签订后，采购人按月度支付服务费。</w:t>
      </w:r>
    </w:p>
    <w:p>
      <w:pPr>
        <w:numPr>
          <w:ilvl w:val="0"/>
          <w:numId w:val="11"/>
        </w:numPr>
        <w:adjustRightInd w:val="0"/>
        <w:spacing w:line="360" w:lineRule="auto"/>
        <w:textAlignment w:val="baseline"/>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其他相关要求</w:t>
      </w:r>
    </w:p>
    <w:p>
      <w:pPr>
        <w:numPr>
          <w:ilvl w:val="0"/>
          <w:numId w:val="33"/>
        </w:numPr>
        <w:spacing w:line="408" w:lineRule="auto"/>
        <w:ind w:firstLine="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w:t>
      </w:r>
    </w:p>
    <w:p>
      <w:pPr>
        <w:numPr>
          <w:ilvl w:val="0"/>
          <w:numId w:val="34"/>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采购人无偿为中标人提供采购项目运行所需能源、材料、机械、服装等物资配备，中标人配合采购人定期对各种物料配备和日常使用情况进行检查。</w:t>
      </w:r>
    </w:p>
    <w:p>
      <w:pPr>
        <w:numPr>
          <w:ilvl w:val="0"/>
          <w:numId w:val="34"/>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采购人为中标人提供日常所用的办公用房、库房、值班室满足中标人日常办公需要。</w:t>
      </w:r>
    </w:p>
    <w:p>
      <w:pPr>
        <w:numPr>
          <w:ilvl w:val="0"/>
          <w:numId w:val="34"/>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采购人负责派人监督承包范围内的物业服务质量，发现问题及时通知中标人，以便处理。</w:t>
      </w:r>
    </w:p>
    <w:p>
      <w:pPr>
        <w:numPr>
          <w:ilvl w:val="0"/>
          <w:numId w:val="34"/>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采购人积极采纳中标人在物业服务中的合理化建议，协助处理有关投诉。</w:t>
      </w:r>
    </w:p>
    <w:p>
      <w:pPr>
        <w:numPr>
          <w:ilvl w:val="0"/>
          <w:numId w:val="34"/>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采购人如遇特殊工作需求时，提前通知中标人安排人员。</w:t>
      </w:r>
    </w:p>
    <w:p>
      <w:pPr>
        <w:numPr>
          <w:ilvl w:val="0"/>
          <w:numId w:val="34"/>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采购人有权制定相应的管理措施，以保证中标人按照合同及其它双方议定的标准执行。</w:t>
      </w:r>
    </w:p>
    <w:p>
      <w:pPr>
        <w:numPr>
          <w:ilvl w:val="0"/>
          <w:numId w:val="34"/>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当月业务结束后，采购人对中标人业务完成质量进行确认，经双方确认后方可给付前一个月服务费，如有罚款可在当月服务费中扣除。 </w:t>
      </w:r>
    </w:p>
    <w:p>
      <w:pPr>
        <w:numPr>
          <w:ilvl w:val="0"/>
          <w:numId w:val="35"/>
        </w:numPr>
        <w:spacing w:line="408"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w:t>
      </w:r>
    </w:p>
    <w:p>
      <w:pPr>
        <w:numPr>
          <w:ilvl w:val="0"/>
          <w:numId w:val="36"/>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需按项目要求制定实施细则、工作细则、奖罚措施和人员编制情况及有关管理制度，针对留学生公寓服务管理工作措施，保障质量措施等，以及突发事件的应急处置流程。必须指定常驻现场负责人具体安排及全面督导日常服务工作，巡检（分自检和参与采购人联检）现场物业服务质量，及时处理采购人投诉，并保持与采购人相关负责人的日常联系，配合、协调各项工作。</w:t>
      </w:r>
    </w:p>
    <w:p>
      <w:pPr>
        <w:numPr>
          <w:ilvl w:val="0"/>
          <w:numId w:val="36"/>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中标人全体人员的就餐、劳保福利、医疗、工伤、死亡、保险等问题由中标人自行解决，与采购人无任何关系。由于中标人责任在物业服务过程中造成的物业员工及他人伤害，由中标人承担全部责任。</w:t>
      </w:r>
    </w:p>
    <w:p>
      <w:pPr>
        <w:numPr>
          <w:ilvl w:val="0"/>
          <w:numId w:val="36"/>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中标人派驻采购人的工作人员，应接受采购人主管的监督和指导，并接受采购人按双方确定的标准对其工作进行检查。</w:t>
      </w:r>
    </w:p>
    <w:p>
      <w:pPr>
        <w:numPr>
          <w:ilvl w:val="0"/>
          <w:numId w:val="36"/>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须向采购人提交所有驻本项目人员的身份证复印件,需填写人员在岗登记表，每月上交采购人以备检。员工着装整齐，在工作时间内须统一穿着工作服、佩带工牌，在工作时间内不得擅自离开工作岗位。中标人更换人员须经采购人同意，并重新提供新更换人员的身份证复印件，擅自更改或不到位均属违约行为。</w:t>
      </w:r>
    </w:p>
    <w:p>
      <w:pPr>
        <w:numPr>
          <w:ilvl w:val="0"/>
          <w:numId w:val="36"/>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服从采购人日常临时工作安排，必须保障节假日、上级检查参观或者大厦内部临时性大型活动的场地布置与服务保障工作。</w:t>
      </w:r>
    </w:p>
    <w:p>
      <w:pPr>
        <w:numPr>
          <w:ilvl w:val="0"/>
          <w:numId w:val="36"/>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积极听取采购人对本项目物业服务工作的意见，认真配合并完成其他特殊服务保障事项。如遇台风、水浸等意外情况，有义务在采购人的统一指挥下参加抢险工作。</w:t>
      </w:r>
    </w:p>
    <w:p>
      <w:pPr>
        <w:numPr>
          <w:ilvl w:val="0"/>
          <w:numId w:val="36"/>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遵守采购人的各项规章制度，爱护采购人的财物，维护采购人良好的形象。损坏采购人物品须照价赔偿，对有违法乱纪或违反采购人各项规定的员工，中标人应予以严肃处理。</w:t>
      </w:r>
    </w:p>
    <w:p>
      <w:pPr>
        <w:numPr>
          <w:ilvl w:val="0"/>
          <w:numId w:val="36"/>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中标人现场工作人员有责任向采购人反映公共设施、设备的完好状况，在采购人管辖范围内发现安全隐患及可疑人员时，应及时做好安全防范工作。</w:t>
      </w:r>
    </w:p>
    <w:p>
      <w:pPr>
        <w:numPr>
          <w:ilvl w:val="0"/>
          <w:numId w:val="36"/>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若因中标人承包范围内的物业服务质量达不到标准而受到有关部门的批评或处罚，由中标人承担罚金等全部责任。</w:t>
      </w:r>
    </w:p>
    <w:p>
      <w:pPr>
        <w:numPr>
          <w:ilvl w:val="0"/>
          <w:numId w:val="36"/>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如遇突发状况，中标人需增派人员紧急支援，增派人员应服从采购人统一安排无条件的支持。</w:t>
      </w:r>
    </w:p>
    <w:p>
      <w:pPr>
        <w:numPr>
          <w:ilvl w:val="0"/>
          <w:numId w:val="36"/>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制定全年工作计划，并分解到各月，每年度组织一次满意度调查，如遇工作调整须及时通知采购人。</w:t>
      </w:r>
    </w:p>
    <w:p>
      <w:pPr>
        <w:numPr>
          <w:ilvl w:val="0"/>
          <w:numId w:val="36"/>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做到：每月28日前以书面形式向采购人提交下月作业计划，每月10日以前以书面形式向采购人提交上月月度工作总结及整改措施，并接受采购人关于计划的合理建议和要求。已制定的月度作业计划如需修正或调整须及时通知采购人。</w:t>
      </w:r>
    </w:p>
    <w:p>
      <w:pPr>
        <w:numPr>
          <w:ilvl w:val="0"/>
          <w:numId w:val="35"/>
        </w:numPr>
        <w:spacing w:line="408"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其它</w:t>
      </w:r>
    </w:p>
    <w:p>
      <w:pPr>
        <w:numPr>
          <w:ilvl w:val="0"/>
          <w:numId w:val="37"/>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如有临时任务，中标者须按照采购人要求的工作开始时间派遣服务人员到位，并正常开展工作。</w:t>
      </w:r>
    </w:p>
    <w:p>
      <w:pPr>
        <w:numPr>
          <w:ilvl w:val="0"/>
          <w:numId w:val="37"/>
        </w:numPr>
        <w:spacing w:line="480" w:lineRule="exact"/>
        <w:ind w:firstLine="14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采购人的比选文件、中标人的响应文件及其承诺书均为签定合同的依据及合同组成文件。</w:t>
      </w:r>
    </w:p>
    <w:p>
      <w:pPr>
        <w:rPr>
          <w:rFonts w:ascii="宋体" w:hAnsi="宋体"/>
          <w:b/>
          <w:sz w:val="36"/>
          <w:szCs w:val="36"/>
        </w:rPr>
      </w:pPr>
    </w:p>
    <w:p>
      <w:pPr>
        <w:rPr>
          <w:rFonts w:ascii="宋体" w:hAnsi="宋体"/>
          <w:b/>
          <w:sz w:val="36"/>
          <w:szCs w:val="36"/>
        </w:rPr>
      </w:pPr>
      <w:bookmarkStart w:id="665" w:name="_Toc10792"/>
      <w:bookmarkStart w:id="666" w:name="_Toc29306"/>
      <w:r>
        <w:rPr>
          <w:rFonts w:ascii="宋体" w:hAnsi="宋体"/>
          <w:b/>
          <w:sz w:val="36"/>
          <w:szCs w:val="36"/>
        </w:rPr>
        <w:br w:type="page"/>
      </w:r>
    </w:p>
    <w:p>
      <w:pPr>
        <w:spacing w:line="360" w:lineRule="auto"/>
        <w:jc w:val="center"/>
        <w:outlineLvl w:val="0"/>
        <w:rPr>
          <w:rFonts w:ascii="宋体" w:hAnsi="宋体"/>
          <w:b/>
          <w:sz w:val="36"/>
          <w:szCs w:val="36"/>
        </w:rPr>
      </w:pPr>
      <w:r>
        <w:rPr>
          <w:rFonts w:ascii="宋体" w:hAnsi="宋体"/>
          <w:b/>
          <w:sz w:val="36"/>
          <w:szCs w:val="36"/>
        </w:rPr>
        <w:t>第</w:t>
      </w:r>
      <w:r>
        <w:rPr>
          <w:rFonts w:hint="eastAsia" w:ascii="宋体" w:hAnsi="宋体"/>
          <w:b/>
          <w:sz w:val="36"/>
          <w:szCs w:val="36"/>
        </w:rPr>
        <w:t>五</w:t>
      </w:r>
      <w:r>
        <w:rPr>
          <w:rFonts w:ascii="宋体" w:hAnsi="宋体"/>
          <w:b/>
          <w:sz w:val="36"/>
          <w:szCs w:val="36"/>
        </w:rPr>
        <w:t>章  拟签订的合同文本</w:t>
      </w:r>
      <w:bookmarkEnd w:id="665"/>
      <w:bookmarkEnd w:id="666"/>
    </w:p>
    <w:p>
      <w:pPr>
        <w:jc w:val="center"/>
        <w:rPr>
          <w:rFonts w:ascii="宋体" w:hAnsi="宋体"/>
        </w:rPr>
      </w:pPr>
      <w:r>
        <w:rPr>
          <w:rFonts w:hint="eastAsia" w:ascii="宋体" w:hAnsi="宋体"/>
        </w:rPr>
        <w:t>（以实际签订为准）</w:t>
      </w:r>
    </w:p>
    <w:p>
      <w:pPr>
        <w:widowControl/>
        <w:jc w:val="left"/>
        <w:rPr>
          <w:rFonts w:ascii="宋体" w:hAnsi="宋体"/>
          <w:b/>
          <w:sz w:val="36"/>
          <w:szCs w:val="36"/>
        </w:rPr>
      </w:pPr>
    </w:p>
    <w:p>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首都师范大学留学生公寓楼物业委托管理合同</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p>
    <w:p>
      <w:pPr>
        <w:spacing w:line="360" w:lineRule="auto"/>
        <w:rPr>
          <w:rFonts w:ascii="宋体" w:hAnsi="宋体" w:cs="宋体"/>
          <w:color w:val="000000" w:themeColor="text1"/>
          <w:sz w:val="24"/>
          <w14:textFill>
            <w14:solidFill>
              <w14:schemeClr w14:val="tx1"/>
            </w14:solidFill>
          </w14:textFill>
        </w:rPr>
      </w:pPr>
    </w:p>
    <w:p>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有关法律规定，甲方将“首都师范大学留学生公寓楼”物业进行委托管理。该楼宇集住宿、餐饮、康乐为一体，总建筑面积25760平方米；鉴于乙方具有发展、经营和管理大厦物业所必需的知识经验，以及对星级酒店的营运能力，甲方愿意按照本合同条款内容，委托乙方协助甲方对首都师范大学留学生公寓楼进行物业管理工作。乙方愿意接受委托，依法开展物业管理活动，通过严格科学的管理，热情优质的服务为学院创造整洁、优美、舒适、安全的环境，并为大厦的物业管理做出贡献，并承担受托事项的法律责任。为此双方达成如下协议：</w:t>
      </w:r>
    </w:p>
    <w:p>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第一条  </w:t>
      </w:r>
      <w:r>
        <w:rPr>
          <w:rFonts w:hint="eastAsia" w:ascii="宋体" w:hAnsi="宋体" w:cs="宋体"/>
          <w:color w:val="000000" w:themeColor="text1"/>
          <w:sz w:val="24"/>
          <w14:textFill>
            <w14:solidFill>
              <w14:schemeClr w14:val="tx1"/>
            </w14:solidFill>
          </w14:textFill>
        </w:rPr>
        <w:t xml:space="preserve"> 委托期限：自   年   月  日起至   年  月  日止，期限  年。</w:t>
      </w:r>
    </w:p>
    <w:p>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第二条  </w:t>
      </w:r>
      <w:r>
        <w:rPr>
          <w:rFonts w:hint="eastAsia" w:ascii="宋体" w:hAnsi="宋体" w:cs="宋体"/>
          <w:color w:val="000000" w:themeColor="text1"/>
          <w:sz w:val="24"/>
          <w14:textFill>
            <w14:solidFill>
              <w14:schemeClr w14:val="tx1"/>
            </w14:solidFill>
          </w14:textFill>
        </w:rPr>
        <w:t xml:space="preserve"> 物业委托管理内容</w:t>
      </w:r>
    </w:p>
    <w:p>
      <w:pPr>
        <w:numPr>
          <w:ilvl w:val="0"/>
          <w:numId w:val="38"/>
        </w:numPr>
        <w:spacing w:line="360" w:lineRule="auto"/>
        <w:ind w:left="851" w:hanging="29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留学生公寓楼建筑物本体公用设施设备及其配套设施的日常维护、养护管理和运行服务，设施设备的管理及维护养护；</w:t>
      </w:r>
    </w:p>
    <w:p>
      <w:pPr>
        <w:numPr>
          <w:ilvl w:val="0"/>
          <w:numId w:val="38"/>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物业管理区域内公共秩序和环境卫生的维护；</w:t>
      </w:r>
    </w:p>
    <w:p>
      <w:pPr>
        <w:numPr>
          <w:ilvl w:val="0"/>
          <w:numId w:val="38"/>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供水、供电、供气、通讯等留学生公寓楼内专业设备设施的管理及维护养护；</w:t>
      </w:r>
    </w:p>
    <w:p>
      <w:pPr>
        <w:numPr>
          <w:ilvl w:val="0"/>
          <w:numId w:val="38"/>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物业管理区域内的日常安全及相关工作；</w:t>
      </w:r>
    </w:p>
    <w:p>
      <w:pPr>
        <w:numPr>
          <w:ilvl w:val="0"/>
          <w:numId w:val="38"/>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物业管理区域内的住宿管理及服务；</w:t>
      </w:r>
    </w:p>
    <w:p>
      <w:pPr>
        <w:numPr>
          <w:ilvl w:val="0"/>
          <w:numId w:val="38"/>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物业档案资料的保管及物业相关账务的管理；</w:t>
      </w:r>
    </w:p>
    <w:p>
      <w:pPr>
        <w:numPr>
          <w:ilvl w:val="0"/>
          <w:numId w:val="38"/>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其他法规和政策规定由物业管理的其他事项。</w:t>
      </w:r>
    </w:p>
    <w:p>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第三条 </w:t>
      </w:r>
      <w:r>
        <w:rPr>
          <w:rFonts w:hint="eastAsia" w:ascii="宋体" w:hAnsi="宋体" w:cs="宋体"/>
          <w:color w:val="000000" w:themeColor="text1"/>
          <w:sz w:val="24"/>
          <w14:textFill>
            <w14:solidFill>
              <w14:schemeClr w14:val="tx1"/>
            </w14:solidFill>
          </w14:textFill>
        </w:rPr>
        <w:t xml:space="preserve">  物业管理服务标准：乙方按照整洁、有序、安全原则提供管理服务，服务标准不得低于《住宅物业服务等级规范（一级）（试行）》中规定的相应要求。</w:t>
      </w:r>
    </w:p>
    <w:p>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第四条 </w:t>
      </w:r>
      <w:r>
        <w:rPr>
          <w:rFonts w:hint="eastAsia" w:ascii="宋体" w:hAnsi="宋体" w:cs="宋体"/>
          <w:color w:val="000000" w:themeColor="text1"/>
          <w:sz w:val="24"/>
          <w14:textFill>
            <w14:solidFill>
              <w14:schemeClr w14:val="tx1"/>
            </w14:solidFill>
          </w14:textFill>
        </w:rPr>
        <w:t xml:space="preserve">  甲方权利义务</w:t>
      </w:r>
    </w:p>
    <w:p>
      <w:pPr>
        <w:numPr>
          <w:ilvl w:val="0"/>
          <w:numId w:val="39"/>
        </w:numPr>
        <w:spacing w:line="360" w:lineRule="auto"/>
        <w:ind w:left="851" w:hanging="29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甲方应按照资金管理计划，提供能满足留学生公寓楼正常经营及管理所需资金，保证资金及时到位并承担大厦运行中的各项费用。</w:t>
      </w:r>
    </w:p>
    <w:p>
      <w:pPr>
        <w:numPr>
          <w:ilvl w:val="0"/>
          <w:numId w:val="39"/>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甲方向乙方提供留学生公寓楼相关资料，供乙方制定各项方案之参考。</w:t>
      </w:r>
    </w:p>
    <w:p>
      <w:pPr>
        <w:numPr>
          <w:ilvl w:val="0"/>
          <w:numId w:val="39"/>
        </w:numPr>
        <w:spacing w:line="360" w:lineRule="auto"/>
        <w:ind w:left="851" w:hanging="29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甲方为乙方的物业项目经理提供标准间一个及必要的办公设备、设施。甲方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为乙方的其它管理人员提供必需的办公条件。</w:t>
      </w:r>
    </w:p>
    <w:p>
      <w:pPr>
        <w:numPr>
          <w:ilvl w:val="0"/>
          <w:numId w:val="39"/>
        </w:numPr>
        <w:spacing w:line="360" w:lineRule="auto"/>
        <w:ind w:left="851" w:hanging="29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甲方审核批准物业会计年度的财务预算及资产预算报告建议书（包括收入预</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测、费用预算、资产重置计划、人力资源配置等重大经营管理事项）。</w:t>
      </w:r>
    </w:p>
    <w:p>
      <w:pPr>
        <w:numPr>
          <w:ilvl w:val="0"/>
          <w:numId w:val="39"/>
        </w:numPr>
        <w:spacing w:line="360" w:lineRule="auto"/>
        <w:ind w:left="851" w:hanging="29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大厦有关物业管理的运行费用由甲方财务直接划转至用款人帐户并实施有效</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监管。</w:t>
      </w:r>
    </w:p>
    <w:p>
      <w:pPr>
        <w:numPr>
          <w:ilvl w:val="0"/>
          <w:numId w:val="39"/>
        </w:numPr>
        <w:spacing w:line="360" w:lineRule="auto"/>
        <w:ind w:left="851" w:hanging="29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甲方有权向乙方提出物业管理要求，对物业管理工作进行监督，有权要求乙</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方按约定提供服务，如服务达不到标准，有权书面通知乙方限期整改，预期未改的，甲方有权对乙方进行处罚。</w:t>
      </w:r>
    </w:p>
    <w:p>
      <w:pPr>
        <w:numPr>
          <w:ilvl w:val="0"/>
          <w:numId w:val="39"/>
        </w:numPr>
        <w:spacing w:line="360" w:lineRule="auto"/>
        <w:ind w:left="851" w:hanging="29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对乙方指派招聘的物业管理和服务人员有下列情形之一的，甲方有权要求乙</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方无条件更换或解聘。</w:t>
      </w:r>
    </w:p>
    <w:p>
      <w:pPr>
        <w:numPr>
          <w:ilvl w:val="0"/>
          <w:numId w:val="40"/>
        </w:numPr>
        <w:spacing w:line="360" w:lineRule="auto"/>
        <w:ind w:left="851" w:hanging="1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不能胜任所在岗位的工作；</w:t>
      </w:r>
    </w:p>
    <w:p>
      <w:pPr>
        <w:numPr>
          <w:ilvl w:val="0"/>
          <w:numId w:val="40"/>
        </w:numPr>
        <w:spacing w:line="360" w:lineRule="auto"/>
        <w:ind w:left="851" w:hanging="1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推诿、抵触甲方正常监督检查工作；</w:t>
      </w:r>
    </w:p>
    <w:p>
      <w:pPr>
        <w:numPr>
          <w:ilvl w:val="0"/>
          <w:numId w:val="40"/>
        </w:numPr>
        <w:spacing w:line="360" w:lineRule="auto"/>
        <w:ind w:left="851" w:hanging="1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无视甲方提出的合理化建议；</w:t>
      </w:r>
    </w:p>
    <w:p>
      <w:pPr>
        <w:numPr>
          <w:ilvl w:val="0"/>
          <w:numId w:val="40"/>
        </w:numPr>
        <w:spacing w:line="360" w:lineRule="auto"/>
        <w:ind w:left="851" w:hanging="1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对工作严重失职或有违法行为的责任人及其主管人员。</w:t>
      </w:r>
    </w:p>
    <w:p>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第五条 </w:t>
      </w:r>
      <w:r>
        <w:rPr>
          <w:rFonts w:hint="eastAsia" w:ascii="宋体" w:hAnsi="宋体" w:cs="宋体"/>
          <w:color w:val="000000" w:themeColor="text1"/>
          <w:sz w:val="24"/>
          <w14:textFill>
            <w14:solidFill>
              <w14:schemeClr w14:val="tx1"/>
            </w14:solidFill>
          </w14:textFill>
        </w:rPr>
        <w:t xml:space="preserve">  乙方的权利义务</w:t>
      </w:r>
    </w:p>
    <w:p>
      <w:pPr>
        <w:numPr>
          <w:ilvl w:val="0"/>
          <w:numId w:val="41"/>
        </w:numPr>
        <w:spacing w:line="360" w:lineRule="auto"/>
        <w:ind w:left="851" w:hanging="29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乙方按照本合同要求提供服务技术管理，合法经营，优质高效地在合同内完</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成各项工作内容，使大厦顺利运营。合同有效期内，在乙方所管辖领域内如因乙方管理过错造成人身、财产损害，由乙方承担相应责任，甲方有权解除本合同。</w:t>
      </w:r>
    </w:p>
    <w:p>
      <w:pPr>
        <w:numPr>
          <w:ilvl w:val="0"/>
          <w:numId w:val="41"/>
        </w:numPr>
        <w:spacing w:line="360" w:lineRule="auto"/>
        <w:ind w:left="85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如乙方提供的服务不能满足甲方要求，甲方应对乙方存在的问题发出书面整</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改限期通知，乙方须积极、主动与甲方沟通，并及时整改。</w:t>
      </w:r>
    </w:p>
    <w:p>
      <w:pPr>
        <w:numPr>
          <w:ilvl w:val="0"/>
          <w:numId w:val="41"/>
        </w:numPr>
        <w:spacing w:line="360" w:lineRule="auto"/>
        <w:ind w:left="851" w:hanging="29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妥善保管甲方移交的各种资料，并在本合同解除或终止后，十五日内完备交</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还甲方。</w:t>
      </w:r>
    </w:p>
    <w:p>
      <w:pPr>
        <w:numPr>
          <w:ilvl w:val="0"/>
          <w:numId w:val="41"/>
        </w:numPr>
        <w:spacing w:line="360" w:lineRule="auto"/>
        <w:ind w:left="851" w:hanging="29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乙方按照留学生公寓楼经营管理需要委派物业管理人员，根据运营需求，在甲方不增加人力资源成本费的情况下，双方协商增减乙方派遣的工作人员。</w:t>
      </w:r>
    </w:p>
    <w:p>
      <w:pPr>
        <w:numPr>
          <w:ilvl w:val="0"/>
          <w:numId w:val="41"/>
        </w:numPr>
        <w:spacing w:line="360" w:lineRule="auto"/>
        <w:ind w:left="851" w:hanging="29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协助甲方制订留学生公寓楼年度计划建议书，于每年十一月底前协助甲方编制下一会计年度的财务预算及资产预算报告建议书（包括收入预测、费用测算、资产重置计划、人力资源配置等其他重大经营管理事项）。</w:t>
      </w:r>
    </w:p>
    <w:p>
      <w:pPr>
        <w:numPr>
          <w:ilvl w:val="0"/>
          <w:numId w:val="41"/>
        </w:numPr>
        <w:spacing w:line="360" w:lineRule="auto"/>
        <w:ind w:left="851" w:hanging="29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乙方应制定物业的人事、劳动、工资、奖惩、福利和保险等制度，报甲方备</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案。</w:t>
      </w:r>
    </w:p>
    <w:p>
      <w:pPr>
        <w:numPr>
          <w:ilvl w:val="0"/>
          <w:numId w:val="41"/>
        </w:numPr>
        <w:spacing w:line="360" w:lineRule="auto"/>
        <w:ind w:left="851" w:hanging="29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根据《中华人民共和国劳动法》在物业实行全员劳动合同制，应依法为员工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上国家规定的所有险项，并严格按照《劳动合同法》规定签订、续签或解除、终止各级、各类从业人员。</w:t>
      </w:r>
    </w:p>
    <w:p>
      <w:pPr>
        <w:numPr>
          <w:ilvl w:val="0"/>
          <w:numId w:val="41"/>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任免各部、室经理时，需甲乙双方同意并严格执行人力资源配置的有关规定。</w:t>
      </w:r>
    </w:p>
    <w:p>
      <w:pPr>
        <w:numPr>
          <w:ilvl w:val="0"/>
          <w:numId w:val="41"/>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严格管理物业的财务与财产，确保甲方资产的保值增值，注意节能。</w:t>
      </w:r>
    </w:p>
    <w:p>
      <w:pPr>
        <w:numPr>
          <w:ilvl w:val="0"/>
          <w:numId w:val="41"/>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乙方对大厦实施规范化、标准化管理保证服务质量，优化住宿生活环境。</w:t>
      </w:r>
    </w:p>
    <w:p>
      <w:pPr>
        <w:numPr>
          <w:ilvl w:val="0"/>
          <w:numId w:val="41"/>
        </w:numPr>
        <w:spacing w:line="360" w:lineRule="auto"/>
        <w:ind w:left="851" w:hanging="29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乙方必须严保甲方及大厦所有业务资料和商业机密，未经甲方事先书面许可，</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不得泄露给第三方。</w:t>
      </w:r>
    </w:p>
    <w:p>
      <w:pPr>
        <w:numPr>
          <w:ilvl w:val="0"/>
          <w:numId w:val="41"/>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遵从甲方的财务管理制度。</w:t>
      </w:r>
    </w:p>
    <w:p>
      <w:pPr>
        <w:numPr>
          <w:ilvl w:val="0"/>
          <w:numId w:val="41"/>
        </w:numPr>
        <w:spacing w:line="360" w:lineRule="auto"/>
        <w:ind w:left="851" w:hanging="29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如甲方遇假期等特殊情况不能及时支付物业所需费用时，乙方应先行垫付，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甲方一个月内支付乙方。</w:t>
      </w:r>
    </w:p>
    <w:p>
      <w:pPr>
        <w:numPr>
          <w:ilvl w:val="0"/>
          <w:numId w:val="41"/>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本合同期满，乙方应配合甲方在合同终止日之前十五日办理移交事项。</w:t>
      </w:r>
    </w:p>
    <w:p>
      <w:pPr>
        <w:numPr>
          <w:ilvl w:val="0"/>
          <w:numId w:val="42"/>
        </w:numPr>
        <w:spacing w:line="360" w:lineRule="auto"/>
        <w:ind w:left="993" w:hanging="13"/>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对留学生公寓楼物业管理服务进行财务审计；</w:t>
      </w:r>
    </w:p>
    <w:p>
      <w:pPr>
        <w:numPr>
          <w:ilvl w:val="0"/>
          <w:numId w:val="42"/>
        </w:numPr>
        <w:spacing w:line="360" w:lineRule="auto"/>
        <w:ind w:left="993" w:hanging="13"/>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共同就委托管理服务的资产进行清查和资产移交；</w:t>
      </w:r>
    </w:p>
    <w:p>
      <w:pPr>
        <w:numPr>
          <w:ilvl w:val="0"/>
          <w:numId w:val="42"/>
        </w:numPr>
        <w:spacing w:line="360" w:lineRule="auto"/>
        <w:ind w:left="993" w:hanging="13"/>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乙方应将管理服务过程中的一切文件、档案、图纸等书面资料同时移交给甲</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w:t>
      </w:r>
    </w:p>
    <w:p>
      <w:pPr>
        <w:numPr>
          <w:ilvl w:val="0"/>
          <w:numId w:val="42"/>
        </w:numPr>
        <w:spacing w:line="360" w:lineRule="auto"/>
        <w:ind w:left="993" w:hanging="13"/>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乙方须向甲方移交由甲方提供的办公及仓储用房和设施设备；</w:t>
      </w:r>
    </w:p>
    <w:p>
      <w:pPr>
        <w:numPr>
          <w:ilvl w:val="0"/>
          <w:numId w:val="42"/>
        </w:numPr>
        <w:spacing w:line="360" w:lineRule="auto"/>
        <w:ind w:left="993" w:hanging="13"/>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乙方对物业管理过程中自身应承担的债务负清偿责任。</w:t>
      </w:r>
    </w:p>
    <w:p>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第六条</w:t>
      </w:r>
      <w:r>
        <w:rPr>
          <w:rFonts w:hint="eastAsia" w:ascii="宋体" w:hAnsi="宋体" w:cs="宋体"/>
          <w:color w:val="000000" w:themeColor="text1"/>
          <w:sz w:val="24"/>
          <w14:textFill>
            <w14:solidFill>
              <w14:schemeClr w14:val="tx1"/>
            </w14:solidFill>
          </w14:textFill>
        </w:rPr>
        <w:t xml:space="preserve">  人力资源成本及支付</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根据甲乙双方约定，大厦物业管理运作所需的人力资源等成本费用全年为人民币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万元，由甲方按月据实支付给乙方，每月15日前将本月的费用划拨至乙方指定账户。</w:t>
      </w:r>
    </w:p>
    <w:p>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第七条 </w:t>
      </w:r>
      <w:r>
        <w:rPr>
          <w:rFonts w:hint="eastAsia" w:ascii="宋体" w:hAnsi="宋体" w:cs="宋体"/>
          <w:color w:val="000000" w:themeColor="text1"/>
          <w:sz w:val="24"/>
          <w14:textFill>
            <w14:solidFill>
              <w14:schemeClr w14:val="tx1"/>
            </w14:solidFill>
          </w14:textFill>
        </w:rPr>
        <w:t xml:space="preserve"> 履约保证金数额及管理使用</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在签约时缴纳人民币20万元履约保证金，用于乙方违约或侵权时的费用承担；乙方应在上述费用发生后五日内补足；每逾期一日应缴纳500元违约金；合同解除或终止之日起五日内，甲方据实与乙方结清履约保证金。</w:t>
      </w:r>
    </w:p>
    <w:p>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第八条</w:t>
      </w:r>
      <w:r>
        <w:rPr>
          <w:rFonts w:hint="eastAsia" w:ascii="宋体" w:hAnsi="宋体" w:cs="宋体"/>
          <w:color w:val="000000" w:themeColor="text1"/>
          <w:sz w:val="24"/>
          <w14:textFill>
            <w14:solidFill>
              <w14:schemeClr w14:val="tx1"/>
            </w14:solidFill>
          </w14:textFill>
        </w:rPr>
        <w:t xml:space="preserve">  违约条款</w:t>
      </w:r>
    </w:p>
    <w:p>
      <w:pPr>
        <w:numPr>
          <w:ilvl w:val="0"/>
          <w:numId w:val="43"/>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如甲方不及时足额付款，从违约日起每日承担应付款项的万分之三违约金。</w:t>
      </w:r>
    </w:p>
    <w:p>
      <w:pPr>
        <w:numPr>
          <w:ilvl w:val="0"/>
          <w:numId w:val="43"/>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如乙方非法经营或聘请无资质人员上岗，甲方有权解除合同。</w:t>
      </w:r>
    </w:p>
    <w:p>
      <w:pPr>
        <w:numPr>
          <w:ilvl w:val="0"/>
          <w:numId w:val="43"/>
        </w:numPr>
        <w:spacing w:line="360" w:lineRule="auto"/>
        <w:ind w:left="851" w:hanging="29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甲方有权随时检查乙方工作人员的出勤情况，乙方服务人数应为工作日服务</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数不得低于52人（不含正常轮休），每缺少1个，乙方应向甲方支付当月物业管理费的5%的违约金，违约金可从应支付的物业管理费中直接扣除。缺岗超过2人或在一个月内被甲方发现缺岗超过三次以上（含三次）的，甲方有权解除合同并不予支付当月的物业管理费。</w:t>
      </w:r>
    </w:p>
    <w:p>
      <w:pPr>
        <w:numPr>
          <w:ilvl w:val="0"/>
          <w:numId w:val="43"/>
        </w:numPr>
        <w:spacing w:line="360" w:lineRule="auto"/>
        <w:ind w:left="851" w:hanging="29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甲方不定期对本物业项目的相关工作进行考核，根据乙方承诺的物业服务标</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准及作业频次开展检查。考核实行经济惩罚制度，对没有达到服务标准的不合格项有权扣减1000元/项。若考核出现三次及以上服务标准不合格或对甲方产生不良影响，甲方有权无条件中止合同。</w:t>
      </w:r>
    </w:p>
    <w:p>
      <w:pPr>
        <w:numPr>
          <w:ilvl w:val="0"/>
          <w:numId w:val="43"/>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因乙方未按约定依法按时足额发放员工工资、加班费等费用，或未按约定及</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结算经乙方同意的第三方分包费用与报酬，或未提供相关凭证证明上述情况的，甲方除有权扣减相应服务费外，乙方还应向甲方支付本合同总金额10%的违约金。若情节严重或对甲方产生不良影响，甲方有权无条件中止合同。</w:t>
      </w:r>
    </w:p>
    <w:p>
      <w:pPr>
        <w:numPr>
          <w:ilvl w:val="0"/>
          <w:numId w:val="43"/>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如乙方在经营及管理中不尽安全保障义务造成人身财产损害等，由乙方承担</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全部责任。</w:t>
      </w:r>
    </w:p>
    <w:p>
      <w:pPr>
        <w:numPr>
          <w:ilvl w:val="0"/>
          <w:numId w:val="43"/>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若物业管理区域发生大件物品失窃、失火、人身伤害等给乙方带来不良影响</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的事故，属乙方员工故意或管理不当造成的，甲方有权单方面终止合同，乙方需赔偿甲方遭受的全部经济损失，情节严重的，由司法机关追究相关人员的刑事责任。</w:t>
      </w:r>
    </w:p>
    <w:p>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第九条   </w:t>
      </w:r>
      <w:r>
        <w:rPr>
          <w:rFonts w:hint="eastAsia" w:ascii="宋体" w:hAnsi="宋体" w:cs="宋体"/>
          <w:color w:val="000000" w:themeColor="text1"/>
          <w:sz w:val="24"/>
          <w14:textFill>
            <w14:solidFill>
              <w14:schemeClr w14:val="tx1"/>
            </w14:solidFill>
          </w14:textFill>
        </w:rPr>
        <w:t>争议解决</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在本合同履行中如发生争议，双方应协商解决，协商不成一方可诉请北京市海淀区人民法院依法裁决。</w:t>
      </w:r>
    </w:p>
    <w:p>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第十条 </w:t>
      </w:r>
      <w:r>
        <w:rPr>
          <w:rFonts w:hint="eastAsia" w:ascii="宋体" w:hAnsi="宋体" w:cs="宋体"/>
          <w:color w:val="000000" w:themeColor="text1"/>
          <w:sz w:val="24"/>
          <w14:textFill>
            <w14:solidFill>
              <w14:schemeClr w14:val="tx1"/>
            </w14:solidFill>
          </w14:textFill>
        </w:rPr>
        <w:t xml:space="preserve">  约束</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本合同受中华人民共和国的法律保护和约束。如本合同有未尽事宜或本合同中的任何部分，由国家（含地方政府）有关法律、法规的变化而进行相应条款的调整时，两方重新修改本合同或修订补充条款。</w:t>
      </w:r>
    </w:p>
    <w:p>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第十一条</w:t>
      </w:r>
      <w:r>
        <w:rPr>
          <w:rFonts w:hint="eastAsia" w:ascii="宋体" w:hAnsi="宋体" w:cs="宋体"/>
          <w:color w:val="000000" w:themeColor="text1"/>
          <w:sz w:val="24"/>
          <w14:textFill>
            <w14:solidFill>
              <w14:schemeClr w14:val="tx1"/>
            </w14:solidFill>
          </w14:textFill>
        </w:rPr>
        <w:t xml:space="preserve">   本合同解除或终止之日后十五日内，乙方应完成工作交接，如因乙方原因造成交接迟延，每逾期壹日乙方应支付人民币壹万元违约金。</w:t>
      </w:r>
    </w:p>
    <w:p>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第十二条</w:t>
      </w:r>
      <w:r>
        <w:rPr>
          <w:rFonts w:hint="eastAsia" w:ascii="宋体" w:hAnsi="宋体" w:cs="宋体"/>
          <w:color w:val="000000" w:themeColor="text1"/>
          <w:sz w:val="24"/>
          <w14:textFill>
            <w14:solidFill>
              <w14:schemeClr w14:val="tx1"/>
            </w14:solidFill>
          </w14:textFill>
        </w:rPr>
        <w:t xml:space="preserve">   本合同一式捌份，甲、乙双方各执肆份，具有同等法律效力。</w:t>
      </w:r>
    </w:p>
    <w:p>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第十三条  </w:t>
      </w:r>
      <w:r>
        <w:rPr>
          <w:rFonts w:hint="eastAsia" w:ascii="宋体" w:hAnsi="宋体" w:cs="宋体"/>
          <w:color w:val="000000" w:themeColor="text1"/>
          <w:sz w:val="24"/>
          <w14:textFill>
            <w14:solidFill>
              <w14:schemeClr w14:val="tx1"/>
            </w14:solidFill>
          </w14:textFill>
        </w:rPr>
        <w:t xml:space="preserve"> 本合同经甲、乙双方盖章并经双方授权代表签字后生效，修改时亦同。</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（本页无正文）</w:t>
      </w:r>
    </w:p>
    <w:p>
      <w:pPr>
        <w:spacing w:line="360" w:lineRule="auto"/>
        <w:ind w:left="1155" w:leftChars="93" w:hanging="960" w:hanging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甲方：                     乙方：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（公章）                   （公章）</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授权代表（签字）            授权代表（签字）</w:t>
      </w:r>
    </w:p>
    <w:p>
      <w:pPr>
        <w:spacing w:line="360" w:lineRule="auto"/>
        <w:ind w:left="1521" w:leftChars="267" w:hanging="960" w:hanging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                  年   月  日</w:t>
      </w:r>
    </w:p>
    <w:p>
      <w:pPr>
        <w:widowControl/>
        <w:jc w:val="left"/>
        <w:rPr>
          <w:rFonts w:ascii="仿宋" w:hAnsi="仿宋" w:eastAsia="仿宋" w:cs="Arial Unicode MS"/>
          <w:color w:val="000000"/>
          <w:kern w:val="0"/>
          <w:sz w:val="24"/>
          <w:lang w:val="zh-CN"/>
        </w:rPr>
      </w:pPr>
    </w:p>
    <w:p>
      <w:pPr>
        <w:widowControl/>
        <w:jc w:val="left"/>
        <w:rPr>
          <w:rFonts w:ascii="仿宋" w:hAnsi="仿宋" w:eastAsia="仿宋" w:cs="Arial Unicode MS"/>
          <w:color w:val="000000"/>
          <w:kern w:val="0"/>
          <w:sz w:val="24"/>
          <w:lang w:val="zh-CN"/>
        </w:rPr>
      </w:pPr>
    </w:p>
    <w:p>
      <w:pPr>
        <w:snapToGrid w:val="0"/>
        <w:spacing w:before="119" w:line="331" w:lineRule="auto"/>
        <w:rPr>
          <w:rFonts w:ascii="宋体" w:hAnsi="宋体"/>
          <w:b/>
          <w:sz w:val="28"/>
          <w:szCs w:val="28"/>
        </w:rPr>
      </w:pPr>
    </w:p>
    <w:p>
      <w:pPr>
        <w:spacing w:line="360" w:lineRule="auto"/>
        <w:jc w:val="center"/>
        <w:outlineLvl w:val="0"/>
        <w:rPr>
          <w:rFonts w:ascii="宋体" w:hAnsi="宋体"/>
          <w:b/>
          <w:sz w:val="36"/>
          <w:szCs w:val="36"/>
        </w:rPr>
      </w:pPr>
      <w:r>
        <w:rPr>
          <w:rFonts w:ascii="宋体" w:hAnsi="宋体"/>
          <w:b/>
          <w:sz w:val="36"/>
          <w:szCs w:val="36"/>
        </w:rPr>
        <w:br w:type="page"/>
      </w:r>
      <w:bookmarkStart w:id="667" w:name="_Toc27794"/>
      <w:bookmarkStart w:id="668" w:name="_Toc20502"/>
      <w:r>
        <w:rPr>
          <w:rFonts w:ascii="宋体" w:hAnsi="宋体"/>
          <w:b/>
          <w:sz w:val="36"/>
          <w:szCs w:val="36"/>
        </w:rPr>
        <w:t>第</w:t>
      </w:r>
      <w:r>
        <w:rPr>
          <w:rFonts w:hint="eastAsia" w:ascii="宋体" w:hAnsi="宋体"/>
          <w:b/>
          <w:sz w:val="36"/>
          <w:szCs w:val="36"/>
        </w:rPr>
        <w:t>六</w:t>
      </w:r>
      <w:r>
        <w:rPr>
          <w:rFonts w:ascii="宋体" w:hAnsi="宋体"/>
          <w:b/>
          <w:sz w:val="36"/>
          <w:szCs w:val="36"/>
        </w:rPr>
        <w:t xml:space="preserve">章  </w:t>
      </w:r>
      <w:r>
        <w:rPr>
          <w:rFonts w:hint="eastAsia" w:ascii="宋体" w:hAnsi="宋体"/>
          <w:b/>
          <w:sz w:val="36"/>
          <w:szCs w:val="36"/>
        </w:rPr>
        <w:t>响应文件</w:t>
      </w:r>
      <w:r>
        <w:rPr>
          <w:rFonts w:ascii="宋体" w:hAnsi="宋体"/>
          <w:b/>
          <w:sz w:val="36"/>
          <w:szCs w:val="36"/>
        </w:rPr>
        <w:t>格式</w:t>
      </w:r>
      <w:bookmarkEnd w:id="667"/>
      <w:bookmarkEnd w:id="668"/>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sz w:val="24"/>
        </w:rPr>
      </w:pPr>
      <w:r>
        <w:rPr>
          <w:rFonts w:hint="eastAsia" w:ascii="宋体" w:hAnsi="宋体"/>
          <w:b/>
          <w:sz w:val="24"/>
        </w:rPr>
        <w:t>供应商</w:t>
      </w:r>
      <w:r>
        <w:rPr>
          <w:rFonts w:ascii="宋体" w:hAnsi="宋体"/>
          <w:b/>
          <w:sz w:val="24"/>
        </w:rPr>
        <w:t>编制文件须知</w:t>
      </w:r>
    </w:p>
    <w:p>
      <w:pPr>
        <w:tabs>
          <w:tab w:val="left" w:pos="900"/>
          <w:tab w:val="left" w:pos="1980"/>
        </w:tabs>
        <w:snapToGrid w:val="0"/>
        <w:spacing w:line="360" w:lineRule="auto"/>
        <w:ind w:left="142"/>
        <w:rPr>
          <w:rFonts w:ascii="宋体" w:hAnsi="宋体"/>
          <w:sz w:val="24"/>
        </w:rPr>
      </w:pPr>
      <w:r>
        <w:rPr>
          <w:rFonts w:ascii="宋体" w:hAnsi="宋体"/>
          <w:sz w:val="24"/>
        </w:rPr>
        <w:t>1、</w:t>
      </w:r>
      <w:r>
        <w:rPr>
          <w:rFonts w:hint="eastAsia" w:ascii="宋体" w:hAnsi="宋体"/>
          <w:sz w:val="24"/>
        </w:rPr>
        <w:t>供应商</w:t>
      </w:r>
      <w:r>
        <w:rPr>
          <w:rFonts w:ascii="宋体" w:hAnsi="宋体"/>
          <w:sz w:val="24"/>
        </w:rPr>
        <w:t>按照本部分的顺序编制</w:t>
      </w:r>
      <w:r>
        <w:rPr>
          <w:rFonts w:hint="eastAsia" w:ascii="宋体" w:hAnsi="宋体"/>
          <w:sz w:val="24"/>
        </w:rPr>
        <w:t>响应文件</w:t>
      </w:r>
      <w:r>
        <w:rPr>
          <w:rFonts w:ascii="宋体" w:hAnsi="宋体"/>
          <w:sz w:val="24"/>
        </w:rPr>
        <w:t>（资格证明文件）、</w:t>
      </w:r>
      <w:r>
        <w:rPr>
          <w:rFonts w:hint="eastAsia" w:ascii="宋体" w:hAnsi="宋体"/>
          <w:sz w:val="24"/>
        </w:rPr>
        <w:t>响应文件</w:t>
      </w:r>
      <w:r>
        <w:rPr>
          <w:rFonts w:ascii="宋体" w:hAnsi="宋体"/>
          <w:sz w:val="24"/>
        </w:rPr>
        <w:t>（商务技术文件），</w:t>
      </w:r>
      <w:r>
        <w:rPr>
          <w:rFonts w:hint="eastAsia" w:ascii="宋体" w:hAnsi="宋体"/>
          <w:sz w:val="24"/>
        </w:rPr>
        <w:t>资格证明文件和商务技术文件可装订成一本；</w:t>
      </w:r>
      <w:r>
        <w:rPr>
          <w:rFonts w:ascii="宋体" w:hAnsi="宋体"/>
          <w:sz w:val="24"/>
        </w:rPr>
        <w:t>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pPr>
        <w:widowControl/>
        <w:jc w:val="left"/>
        <w:rPr>
          <w:rFonts w:ascii="宋体" w:hAnsi="宋体"/>
          <w:sz w:val="24"/>
        </w:rPr>
      </w:pPr>
      <w:r>
        <w:rPr>
          <w:rFonts w:ascii="宋体" w:hAnsi="宋体"/>
          <w:sz w:val="24"/>
        </w:rPr>
        <w:br w:type="page"/>
      </w: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t>一、资格证明文件格式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（资格证明文件）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w:t>
      </w:r>
      <w:r>
        <w:rPr>
          <w:rFonts w:ascii="宋体" w:hAnsi="宋体"/>
          <w:b/>
          <w:spacing w:val="60"/>
          <w:sz w:val="84"/>
          <w:szCs w:val="84"/>
        </w:rPr>
        <w:t xml:space="preserve"> </w:t>
      </w:r>
      <w:r>
        <w:rPr>
          <w:rFonts w:hint="eastAsia" w:ascii="宋体" w:hAnsi="宋体"/>
          <w:b/>
          <w:spacing w:val="60"/>
          <w:sz w:val="84"/>
          <w:szCs w:val="84"/>
        </w:rPr>
        <w:t>应</w:t>
      </w:r>
      <w:r>
        <w:rPr>
          <w:rFonts w:ascii="宋体" w:hAnsi="宋体"/>
          <w:b/>
          <w:spacing w:val="60"/>
          <w:sz w:val="84"/>
          <w:szCs w:val="84"/>
        </w:rPr>
        <w:t xml:space="preserve"> 文 件</w:t>
      </w:r>
    </w:p>
    <w:p>
      <w:pPr>
        <w:jc w:val="center"/>
        <w:rPr>
          <w:rFonts w:ascii="宋体" w:hAnsi="宋体"/>
          <w:b/>
          <w:spacing w:val="60"/>
          <w:sz w:val="52"/>
          <w:szCs w:val="52"/>
        </w:rPr>
      </w:pPr>
      <w:r>
        <w:rPr>
          <w:rFonts w:ascii="宋体" w:hAnsi="宋体"/>
          <w:b/>
          <w:spacing w:val="60"/>
          <w:sz w:val="52"/>
          <w:szCs w:val="52"/>
        </w:rPr>
        <w:t>（资格证明文件）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rPr>
          <w:rFonts w:ascii="宋体" w:hAnsi="宋体"/>
          <w:b/>
        </w:rPr>
      </w:pPr>
      <w:r>
        <w:rPr>
          <w:rFonts w:ascii="宋体" w:hAnsi="宋体"/>
          <w:b/>
          <w:spacing w:val="20"/>
          <w:sz w:val="32"/>
          <w:szCs w:val="32"/>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pPr>
        <w:tabs>
          <w:tab w:val="left" w:pos="1080"/>
        </w:tabs>
        <w:snapToGrid w:val="0"/>
        <w:rPr>
          <w:rFonts w:ascii="宋体" w:hAnsi="宋体"/>
          <w:sz w:val="24"/>
        </w:rPr>
      </w:pPr>
    </w:p>
    <w:p>
      <w:pPr>
        <w:widowControl/>
        <w:jc w:val="left"/>
        <w:rPr>
          <w:rFonts w:ascii="宋体" w:hAnsi="宋体"/>
          <w:color w:val="000000"/>
          <w:sz w:val="24"/>
          <w:szCs w:val="20"/>
        </w:rPr>
      </w:pPr>
      <w:r>
        <w:rPr>
          <w:rFonts w:ascii="宋体" w:hAnsi="宋体"/>
          <w:color w:val="000000"/>
          <w:sz w:val="24"/>
        </w:rPr>
        <w:br w:type="page"/>
      </w:r>
    </w:p>
    <w:p>
      <w:pPr>
        <w:pStyle w:val="7"/>
        <w:rPr>
          <w:rFonts w:hAnsi="宋体"/>
          <w:b w:val="0"/>
          <w:bCs/>
          <w:color w:val="000000"/>
          <w:u w:val="none"/>
        </w:rPr>
      </w:pPr>
      <w:r>
        <w:rPr>
          <w:rFonts w:hAnsi="宋体"/>
          <w:b w:val="0"/>
          <w:color w:val="000000"/>
          <w:u w:val="none"/>
        </w:rPr>
        <w:t xml:space="preserve">1-2 </w:t>
      </w:r>
      <w:r>
        <w:rPr>
          <w:rFonts w:hint="eastAsia" w:hAnsi="宋体"/>
          <w:b w:val="0"/>
          <w:color w:val="000000"/>
          <w:u w:val="none"/>
        </w:rPr>
        <w:t>供应商</w:t>
      </w:r>
      <w:r>
        <w:rPr>
          <w:rFonts w:hAnsi="宋体"/>
          <w:b w:val="0"/>
          <w:color w:val="000000"/>
          <w:u w:val="none"/>
        </w:rPr>
        <w:t>资格声明书（实质性格式）</w:t>
      </w:r>
    </w:p>
    <w:p>
      <w:pPr>
        <w:jc w:val="center"/>
        <w:rPr>
          <w:rFonts w:ascii="宋体" w:hAnsi="宋体"/>
          <w:b/>
          <w:color w:val="000000"/>
          <w:sz w:val="36"/>
          <w:szCs w:val="36"/>
        </w:rPr>
      </w:pPr>
      <w:r>
        <w:rPr>
          <w:rFonts w:hint="eastAsia" w:ascii="宋体" w:hAnsi="宋体"/>
          <w:b/>
          <w:color w:val="000000"/>
          <w:sz w:val="36"/>
          <w:szCs w:val="36"/>
        </w:rPr>
        <w:t>供应商资格声明书</w:t>
      </w:r>
    </w:p>
    <w:p>
      <w:pPr>
        <w:tabs>
          <w:tab w:val="left" w:pos="5580"/>
        </w:tabs>
        <w:spacing w:line="360" w:lineRule="auto"/>
        <w:rPr>
          <w:rFonts w:ascii="宋体" w:hAnsi="宋体"/>
          <w:sz w:val="24"/>
        </w:rPr>
      </w:pPr>
    </w:p>
    <w:p>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pPr>
        <w:spacing w:line="360" w:lineRule="auto"/>
        <w:ind w:firstLine="480" w:firstLineChars="200"/>
        <w:rPr>
          <w:rFonts w:ascii="宋体" w:hAnsi="宋体"/>
          <w:sz w:val="24"/>
        </w:rPr>
      </w:pPr>
      <w:r>
        <w:rPr>
          <w:rFonts w:ascii="宋体" w:hAnsi="宋体"/>
          <w:sz w:val="24"/>
        </w:rPr>
        <w:t>在参与本次项目</w:t>
      </w:r>
      <w:r>
        <w:rPr>
          <w:rFonts w:hint="eastAsia" w:ascii="宋体" w:hAnsi="宋体"/>
          <w:sz w:val="24"/>
        </w:rPr>
        <w:t>比选</w:t>
      </w:r>
      <w:r>
        <w:rPr>
          <w:rFonts w:ascii="宋体" w:hAnsi="宋体"/>
          <w:sz w:val="24"/>
        </w:rPr>
        <w:t>中，我单位承诺：</w:t>
      </w:r>
    </w:p>
    <w:p>
      <w:pPr>
        <w:numPr>
          <w:ilvl w:val="0"/>
          <w:numId w:val="44"/>
        </w:numPr>
        <w:spacing w:line="360" w:lineRule="auto"/>
        <w:ind w:left="1134"/>
        <w:rPr>
          <w:rFonts w:ascii="宋体" w:hAnsi="宋体"/>
          <w:sz w:val="24"/>
          <w:szCs w:val="22"/>
        </w:rPr>
      </w:pPr>
      <w:r>
        <w:rPr>
          <w:rFonts w:ascii="宋体" w:hAnsi="宋体"/>
          <w:sz w:val="24"/>
          <w:szCs w:val="22"/>
        </w:rPr>
        <w:t>具有良好的商业信誉和健全的财务会计制度；</w:t>
      </w:r>
    </w:p>
    <w:p>
      <w:pPr>
        <w:numPr>
          <w:ilvl w:val="0"/>
          <w:numId w:val="44"/>
        </w:numPr>
        <w:spacing w:line="360" w:lineRule="auto"/>
        <w:ind w:left="1134"/>
        <w:rPr>
          <w:rFonts w:ascii="宋体" w:hAnsi="宋体"/>
          <w:sz w:val="24"/>
          <w:szCs w:val="22"/>
        </w:rPr>
      </w:pPr>
      <w:r>
        <w:rPr>
          <w:rFonts w:ascii="宋体" w:hAnsi="宋体"/>
          <w:sz w:val="24"/>
          <w:szCs w:val="22"/>
        </w:rPr>
        <w:t>具有履行合同所必需的设备和专业技术能力；</w:t>
      </w:r>
    </w:p>
    <w:p>
      <w:pPr>
        <w:numPr>
          <w:ilvl w:val="0"/>
          <w:numId w:val="44"/>
        </w:numPr>
        <w:spacing w:line="360" w:lineRule="auto"/>
        <w:ind w:left="1134"/>
        <w:rPr>
          <w:rFonts w:ascii="宋体" w:hAnsi="宋体"/>
          <w:sz w:val="24"/>
          <w:szCs w:val="22"/>
        </w:rPr>
      </w:pPr>
      <w:r>
        <w:rPr>
          <w:rFonts w:ascii="宋体" w:hAnsi="宋体"/>
          <w:sz w:val="24"/>
          <w:szCs w:val="22"/>
        </w:rPr>
        <w:t>有依法缴纳税收和社会保障资金的良好记录；</w:t>
      </w:r>
    </w:p>
    <w:p>
      <w:pPr>
        <w:numPr>
          <w:ilvl w:val="0"/>
          <w:numId w:val="44"/>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44"/>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pPr>
        <w:numPr>
          <w:ilvl w:val="0"/>
          <w:numId w:val="44"/>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pPr>
        <w:numPr>
          <w:ilvl w:val="0"/>
          <w:numId w:val="44"/>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序号</w:t>
            </w:r>
          </w:p>
        </w:tc>
        <w:tc>
          <w:tcPr>
            <w:tcW w:w="4574" w:type="dxa"/>
            <w:vAlign w:val="center"/>
          </w:tcPr>
          <w:p>
            <w:pPr>
              <w:jc w:val="center"/>
              <w:rPr>
                <w:rFonts w:ascii="宋体" w:hAnsi="宋体"/>
                <w:sz w:val="24"/>
              </w:rPr>
            </w:pPr>
            <w:r>
              <w:rPr>
                <w:rFonts w:ascii="宋体" w:hAnsi="宋体"/>
                <w:sz w:val="24"/>
              </w:rPr>
              <w:t>单位名称</w:t>
            </w:r>
          </w:p>
        </w:tc>
        <w:tc>
          <w:tcPr>
            <w:tcW w:w="2976" w:type="dxa"/>
            <w:vAlign w:val="center"/>
          </w:tcPr>
          <w:p>
            <w:pPr>
              <w:jc w:val="center"/>
              <w:rPr>
                <w:rFonts w:ascii="宋体" w:hAnsi="宋体"/>
                <w:sz w:val="24"/>
              </w:rPr>
            </w:pPr>
            <w:r>
              <w:rPr>
                <w:rFonts w:ascii="宋体" w:hAnsi="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1</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2</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bl>
    <w:p>
      <w:pPr>
        <w:ind w:firstLine="480" w:firstLineChars="200"/>
        <w:rPr>
          <w:rFonts w:ascii="宋体" w:hAnsi="宋体"/>
          <w:sz w:val="24"/>
          <w:szCs w:val="22"/>
        </w:rPr>
      </w:pPr>
      <w:r>
        <w:rPr>
          <w:rFonts w:ascii="宋体" w:hAnsi="宋体"/>
          <w:sz w:val="24"/>
        </w:rPr>
        <w:t>上述声明真实有效，否则我方负全部责任。</w:t>
      </w:r>
    </w:p>
    <w:p>
      <w:pPr>
        <w:autoSpaceDE w:val="0"/>
        <w:autoSpaceDN w:val="0"/>
        <w:adjustRightInd w:val="0"/>
        <w:snapToGrid w:val="0"/>
        <w:spacing w:before="25" w:after="25" w:line="360" w:lineRule="auto"/>
        <w:jc w:val="right"/>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pPr>
        <w:widowControl/>
        <w:jc w:val="left"/>
        <w:rPr>
          <w:rFonts w:ascii="宋体" w:hAnsi="宋体"/>
          <w:sz w:val="24"/>
        </w:rPr>
      </w:pPr>
      <w:r>
        <w:rPr>
          <w:rFonts w:ascii="宋体" w:hAnsi="宋体"/>
          <w:sz w:val="24"/>
        </w:rPr>
        <w:br w:type="page"/>
      </w:r>
    </w:p>
    <w:p>
      <w:pPr>
        <w:spacing w:line="360" w:lineRule="auto"/>
        <w:outlineLvl w:val="2"/>
        <w:rPr>
          <w:color w:val="000000"/>
          <w:sz w:val="24"/>
          <w:szCs w:val="20"/>
        </w:rPr>
      </w:pPr>
      <w:r>
        <w:rPr>
          <w:color w:val="000000"/>
          <w:sz w:val="24"/>
          <w:szCs w:val="20"/>
        </w:rPr>
        <w:t>2 落实政府采购政策需满足的资格要求（如有）</w:t>
      </w:r>
    </w:p>
    <w:p>
      <w:pPr>
        <w:spacing w:line="360" w:lineRule="auto"/>
        <w:outlineLvl w:val="2"/>
        <w:rPr>
          <w:color w:val="000000"/>
          <w:sz w:val="24"/>
          <w:szCs w:val="20"/>
        </w:rPr>
      </w:pPr>
      <w:r>
        <w:rPr>
          <w:color w:val="000000"/>
          <w:sz w:val="24"/>
          <w:szCs w:val="20"/>
        </w:rPr>
        <w:t>2-1中小企业声明函</w:t>
      </w:r>
    </w:p>
    <w:p>
      <w:pPr>
        <w:tabs>
          <w:tab w:val="left" w:pos="5580"/>
        </w:tabs>
        <w:spacing w:line="360" w:lineRule="auto"/>
        <w:rPr>
          <w:sz w:val="24"/>
        </w:rPr>
      </w:pP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p>
    <w:p>
      <w:pPr>
        <w:tabs>
          <w:tab w:val="left" w:pos="5580"/>
        </w:tabs>
        <w:spacing w:line="360" w:lineRule="auto"/>
        <w:rPr>
          <w:b/>
          <w:bCs/>
          <w:sz w:val="24"/>
        </w:rPr>
      </w:pPr>
      <w:r>
        <w:rPr>
          <w:b/>
          <w:bCs/>
          <w:sz w:val="24"/>
        </w:rPr>
        <w:t>（2）如本项目（包）专门面向中小/小微企业采购，须提供《中小企业声明函》</w:t>
      </w:r>
      <w:r>
        <w:rPr>
          <w:b/>
          <w:bCs/>
          <w:color w:val="000000"/>
          <w:sz w:val="24"/>
          <w:szCs w:val="20"/>
        </w:rPr>
        <w:t>（实质性格式）</w:t>
      </w:r>
      <w:r>
        <w:rPr>
          <w:b/>
          <w:bCs/>
          <w:sz w:val="24"/>
        </w:rPr>
        <w:t>。</w:t>
      </w:r>
    </w:p>
    <w:p>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pPr>
        <w:tabs>
          <w:tab w:val="left" w:pos="5580"/>
        </w:tabs>
        <w:spacing w:line="360" w:lineRule="auto"/>
        <w:rPr>
          <w:sz w:val="24"/>
        </w:rPr>
      </w:pPr>
      <w:r>
        <w:rPr>
          <w:rFonts w:hint="eastAsia"/>
          <w:sz w:val="24"/>
        </w:rPr>
        <w:t>（4）其他</w:t>
      </w:r>
    </w:p>
    <w:p>
      <w:pPr>
        <w:tabs>
          <w:tab w:val="left" w:pos="5580"/>
        </w:tabs>
        <w:spacing w:line="360" w:lineRule="auto"/>
        <w:rPr>
          <w:sz w:val="24"/>
        </w:rPr>
      </w:pPr>
      <w:r>
        <w:rPr>
          <w:rFonts w:hint="eastAsia"/>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sz w:val="24"/>
        </w:rPr>
      </w:pPr>
      <w:r>
        <w:rPr>
          <w:rFonts w:hint="eastAsia"/>
          <w:sz w:val="24"/>
        </w:rPr>
        <w:t>3）对于多标的的采购项目，供应商应充分、准确地了解所投产品制造企业信息。对相关情况了解不清楚的，不建议填报本声明函。</w:t>
      </w:r>
    </w:p>
    <w:p>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widowControl/>
        <w:jc w:val="left"/>
        <w:rPr>
          <w:sz w:val="24"/>
        </w:rPr>
      </w:pPr>
      <w:r>
        <w:rPr>
          <w:sz w:val="24"/>
        </w:rPr>
        <w:br w:type="page"/>
      </w:r>
    </w:p>
    <w:p>
      <w:pPr>
        <w:spacing w:before="240" w:beforeLines="100" w:after="240" w:afterLines="100" w:line="360" w:lineRule="auto"/>
        <w:jc w:val="center"/>
        <w:rPr>
          <w:b/>
          <w:bCs/>
          <w:color w:val="000000"/>
          <w:sz w:val="36"/>
          <w:szCs w:val="36"/>
        </w:rPr>
      </w:pPr>
      <w:r>
        <w:rPr>
          <w:rFonts w:hint="eastAsia"/>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2-2拟分包情况说明及分包意向协议（类型一）（实质性格式）</w:t>
      </w:r>
      <w:r>
        <w:rPr>
          <w:b/>
          <w:color w:val="000000"/>
          <w:sz w:val="24"/>
          <w:szCs w:val="20"/>
        </w:rPr>
        <w:t>（本项目不涉及）</w:t>
      </w:r>
    </w:p>
    <w:p>
      <w:pPr>
        <w:spacing w:line="360" w:lineRule="auto"/>
        <w:outlineLvl w:val="2"/>
        <w:rPr>
          <w:color w:val="000000"/>
          <w:sz w:val="24"/>
          <w:szCs w:val="20"/>
        </w:rPr>
      </w:pP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5"/>
              <w:jc w:val="center"/>
              <w:rPr>
                <w:sz w:val="24"/>
              </w:rPr>
            </w:pPr>
            <w:r>
              <w:rPr>
                <w:sz w:val="24"/>
              </w:rPr>
              <w:t>序号</w:t>
            </w:r>
          </w:p>
        </w:tc>
        <w:tc>
          <w:tcPr>
            <w:tcW w:w="1287" w:type="dxa"/>
            <w:shd w:val="clear" w:color="auto" w:fill="auto"/>
            <w:vAlign w:val="center"/>
          </w:tcPr>
          <w:p>
            <w:pPr>
              <w:pStyle w:val="255"/>
              <w:jc w:val="center"/>
              <w:rPr>
                <w:sz w:val="24"/>
              </w:rPr>
            </w:pPr>
            <w:r>
              <w:rPr>
                <w:sz w:val="24"/>
              </w:rPr>
              <w:t>分包承担</w:t>
            </w:r>
          </w:p>
          <w:p>
            <w:pPr>
              <w:pStyle w:val="255"/>
              <w:jc w:val="center"/>
              <w:rPr>
                <w:sz w:val="24"/>
              </w:rPr>
            </w:pPr>
            <w:r>
              <w:rPr>
                <w:sz w:val="24"/>
              </w:rPr>
              <w:t>主体名称</w:t>
            </w:r>
          </w:p>
        </w:tc>
        <w:tc>
          <w:tcPr>
            <w:tcW w:w="1513" w:type="dxa"/>
            <w:shd w:val="clear" w:color="auto" w:fill="auto"/>
            <w:vAlign w:val="center"/>
          </w:tcPr>
          <w:p>
            <w:pPr>
              <w:pStyle w:val="255"/>
              <w:jc w:val="center"/>
              <w:rPr>
                <w:sz w:val="24"/>
                <w:lang w:eastAsia="zh-CN"/>
              </w:rPr>
            </w:pPr>
            <w:r>
              <w:rPr>
                <w:sz w:val="24"/>
                <w:lang w:eastAsia="zh-CN"/>
              </w:rPr>
              <w:t>分包承担</w:t>
            </w:r>
          </w:p>
          <w:p>
            <w:pPr>
              <w:pStyle w:val="255"/>
              <w:jc w:val="center"/>
              <w:rPr>
                <w:sz w:val="24"/>
                <w:lang w:eastAsia="zh-CN"/>
              </w:rPr>
            </w:pPr>
            <w:r>
              <w:rPr>
                <w:sz w:val="24"/>
                <w:lang w:eastAsia="zh-CN"/>
              </w:rPr>
              <w:t>主体类型</w:t>
            </w:r>
          </w:p>
          <w:p>
            <w:pPr>
              <w:pStyle w:val="255"/>
              <w:jc w:val="center"/>
              <w:rPr>
                <w:sz w:val="24"/>
                <w:lang w:eastAsia="zh-CN"/>
              </w:rPr>
            </w:pPr>
            <w:r>
              <w:rPr>
                <w:rFonts w:hint="eastAsia"/>
                <w:sz w:val="24"/>
                <w:lang w:eastAsia="zh-CN"/>
              </w:rPr>
              <w:t>（勾选）</w:t>
            </w:r>
          </w:p>
        </w:tc>
        <w:tc>
          <w:tcPr>
            <w:tcW w:w="1125" w:type="dxa"/>
            <w:shd w:val="clear" w:color="auto" w:fill="auto"/>
            <w:vAlign w:val="center"/>
          </w:tcPr>
          <w:p>
            <w:pPr>
              <w:pStyle w:val="255"/>
              <w:jc w:val="center"/>
              <w:rPr>
                <w:sz w:val="24"/>
              </w:rPr>
            </w:pPr>
            <w:r>
              <w:rPr>
                <w:sz w:val="24"/>
              </w:rPr>
              <w:t>资质等级</w:t>
            </w:r>
          </w:p>
        </w:tc>
        <w:tc>
          <w:tcPr>
            <w:tcW w:w="1558" w:type="dxa"/>
            <w:shd w:val="clear" w:color="auto" w:fill="auto"/>
            <w:vAlign w:val="center"/>
          </w:tcPr>
          <w:p>
            <w:pPr>
              <w:pStyle w:val="255"/>
              <w:jc w:val="center"/>
              <w:rPr>
                <w:sz w:val="24"/>
              </w:rPr>
            </w:pPr>
            <w:r>
              <w:rPr>
                <w:sz w:val="24"/>
              </w:rPr>
              <w:t>拟分包</w:t>
            </w:r>
          </w:p>
          <w:p>
            <w:pPr>
              <w:pStyle w:val="255"/>
              <w:jc w:val="center"/>
              <w:rPr>
                <w:sz w:val="24"/>
              </w:rPr>
            </w:pPr>
            <w:r>
              <w:rPr>
                <w:sz w:val="24"/>
              </w:rPr>
              <w:t>合同内容</w:t>
            </w:r>
          </w:p>
        </w:tc>
        <w:tc>
          <w:tcPr>
            <w:tcW w:w="1498" w:type="dxa"/>
            <w:shd w:val="clear" w:color="auto" w:fill="auto"/>
            <w:vAlign w:val="center"/>
          </w:tcPr>
          <w:p>
            <w:pPr>
              <w:pStyle w:val="255"/>
              <w:jc w:val="center"/>
              <w:rPr>
                <w:sz w:val="24"/>
                <w:lang w:eastAsia="zh-CN"/>
              </w:rPr>
            </w:pPr>
            <w:r>
              <w:rPr>
                <w:sz w:val="24"/>
                <w:lang w:eastAsia="zh-CN"/>
              </w:rPr>
              <w:t>拟分包</w:t>
            </w:r>
          </w:p>
          <w:p>
            <w:pPr>
              <w:pStyle w:val="255"/>
              <w:jc w:val="center"/>
              <w:rPr>
                <w:sz w:val="24"/>
                <w:lang w:eastAsia="zh-CN"/>
              </w:rPr>
            </w:pPr>
            <w:r>
              <w:rPr>
                <w:sz w:val="24"/>
                <w:lang w:eastAsia="zh-CN"/>
              </w:rPr>
              <w:t>合同金额</w:t>
            </w:r>
          </w:p>
          <w:p>
            <w:pPr>
              <w:pStyle w:val="255"/>
              <w:jc w:val="center"/>
              <w:rPr>
                <w:sz w:val="24"/>
                <w:lang w:eastAsia="zh-CN"/>
              </w:rPr>
            </w:pPr>
            <w:r>
              <w:rPr>
                <w:sz w:val="24"/>
                <w:lang w:eastAsia="zh-CN"/>
              </w:rPr>
              <w:t>（人民币元）</w:t>
            </w:r>
          </w:p>
        </w:tc>
        <w:tc>
          <w:tcPr>
            <w:tcW w:w="1564" w:type="dxa"/>
            <w:shd w:val="clear" w:color="auto" w:fill="auto"/>
            <w:vAlign w:val="center"/>
          </w:tcPr>
          <w:p>
            <w:pPr>
              <w:pStyle w:val="255"/>
              <w:jc w:val="center"/>
              <w:rPr>
                <w:sz w:val="24"/>
                <w:lang w:eastAsia="zh-CN"/>
              </w:rPr>
            </w:pPr>
            <w:r>
              <w:rPr>
                <w:sz w:val="24"/>
                <w:lang w:eastAsia="zh-CN"/>
              </w:rPr>
              <w:t>占该采购包</w:t>
            </w:r>
          </w:p>
          <w:p>
            <w:pPr>
              <w:pStyle w:val="255"/>
              <w:jc w:val="center"/>
              <w:rPr>
                <w:b/>
                <w:sz w:val="24"/>
                <w:lang w:eastAsia="zh-CN"/>
              </w:rPr>
            </w:pPr>
            <w:r>
              <w:rPr>
                <w:rFonts w:hint="eastAsia"/>
                <w:b/>
                <w:sz w:val="24"/>
                <w:lang w:eastAsia="zh-CN"/>
              </w:rPr>
              <w:t>预算</w:t>
            </w:r>
            <w:r>
              <w:rPr>
                <w:b/>
                <w:sz w:val="24"/>
                <w:lang w:eastAsia="zh-CN"/>
              </w:rPr>
              <w:t>金额的</w:t>
            </w:r>
          </w:p>
          <w:p>
            <w:pPr>
              <w:pStyle w:val="255"/>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rPr>
            </w:pPr>
            <w:r>
              <w:rPr>
                <w:rFonts w:ascii="Times New Roman"/>
                <w:sz w:val="24"/>
              </w:rPr>
              <w:t>1</w:t>
            </w:r>
          </w:p>
        </w:tc>
        <w:tc>
          <w:tcPr>
            <w:tcW w:w="1287" w:type="dxa"/>
            <w:shd w:val="clear" w:color="auto" w:fill="auto"/>
            <w:vAlign w:val="center"/>
          </w:tcPr>
          <w:p>
            <w:pPr>
              <w:pStyle w:val="255"/>
              <w:jc w:val="center"/>
              <w:rPr>
                <w:rFonts w:ascii="Times New Roman" w:hAnsi="Times New Roman" w:cs="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jc w:val="center"/>
              <w:rPr>
                <w:sz w:val="24"/>
              </w:rPr>
            </w:pPr>
          </w:p>
        </w:tc>
        <w:tc>
          <w:tcPr>
            <w:tcW w:w="1125" w:type="dxa"/>
            <w:shd w:val="clear" w:color="auto" w:fill="auto"/>
            <w:vAlign w:val="center"/>
          </w:tcPr>
          <w:p>
            <w:pPr>
              <w:pStyle w:val="255"/>
              <w:jc w:val="center"/>
              <w:rPr>
                <w:rFonts w:ascii="Times New Roman"/>
                <w:sz w:val="30"/>
              </w:rPr>
            </w:pPr>
          </w:p>
        </w:tc>
        <w:tc>
          <w:tcPr>
            <w:tcW w:w="1558" w:type="dxa"/>
            <w:shd w:val="clear" w:color="auto" w:fill="auto"/>
            <w:vAlign w:val="center"/>
          </w:tcPr>
          <w:p>
            <w:pPr>
              <w:pStyle w:val="255"/>
              <w:jc w:val="center"/>
              <w:rPr>
                <w:rFonts w:ascii="Times New Roman"/>
                <w:sz w:val="30"/>
              </w:rPr>
            </w:pP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5"/>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p>
    <w:p>
      <w:pPr>
        <w:adjustRightInd w:val="0"/>
        <w:snapToGrid w:val="0"/>
        <w:spacing w:line="360" w:lineRule="auto"/>
        <w:jc w:val="left"/>
        <w:rPr>
          <w:sz w:val="24"/>
        </w:rPr>
      </w:pPr>
      <w:r>
        <w:rPr>
          <w:sz w:val="24"/>
        </w:rPr>
        <w:t>说明：</w:t>
      </w:r>
    </w:p>
    <w:p>
      <w:pPr>
        <w:adjustRightInd w:val="0"/>
        <w:snapToGrid w:val="0"/>
        <w:spacing w:line="360" w:lineRule="auto"/>
        <w:jc w:val="left"/>
        <w:rPr>
          <w:sz w:val="24"/>
        </w:rPr>
      </w:pPr>
      <w:r>
        <w:rPr>
          <w:sz w:val="24"/>
        </w:rPr>
        <w:t>（1）本表仅在</w:t>
      </w:r>
      <w:r>
        <w:rPr>
          <w:rFonts w:hint="eastAsia"/>
          <w:sz w:val="24"/>
        </w:rPr>
        <w:t>供应商</w:t>
      </w:r>
      <w:r>
        <w:rPr>
          <w:sz w:val="24"/>
        </w:rPr>
        <w:t>“为落实政府采购政策”而向中小企业分包时填写，非因“为落实政府采购政策”而进行的分包请按照《</w:t>
      </w:r>
      <w:r>
        <w:rPr>
          <w:color w:val="000000"/>
          <w:sz w:val="24"/>
          <w:szCs w:val="20"/>
        </w:rPr>
        <w:t>拟分包情况说明（类型二）</w:t>
      </w:r>
      <w:r>
        <w:rPr>
          <w:sz w:val="24"/>
        </w:rPr>
        <w:t>》要求填写。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须在本表中列明分包承担主体的资质等级，并后附资质证书电子件，否则</w:t>
      </w:r>
      <w:r>
        <w:rPr>
          <w:rFonts w:hint="eastAsia"/>
          <w:b/>
          <w:sz w:val="24"/>
        </w:rPr>
        <w:t>响应</w:t>
      </w:r>
      <w:r>
        <w:rPr>
          <w:b/>
          <w:sz w:val="24"/>
        </w:rPr>
        <w:t>无效</w:t>
      </w:r>
      <w:r>
        <w:rPr>
          <w:sz w:val="24"/>
        </w:rPr>
        <w:t>。</w:t>
      </w:r>
    </w:p>
    <w:p>
      <w:pPr>
        <w:adjustRightInd w:val="0"/>
        <w:snapToGrid w:val="0"/>
        <w:spacing w:line="360" w:lineRule="auto"/>
        <w:jc w:val="left"/>
        <w:rPr>
          <w:color w:val="000000"/>
          <w:sz w:val="30"/>
          <w:szCs w:val="30"/>
        </w:rPr>
      </w:pPr>
      <w:r>
        <w:rPr>
          <w:sz w:val="24"/>
        </w:rPr>
        <w:t>（3）</w:t>
      </w:r>
      <w:r>
        <w:rPr>
          <w:rFonts w:hint="eastAsia"/>
          <w:sz w:val="24"/>
        </w:rPr>
        <w:t>供应商</w:t>
      </w:r>
      <w:r>
        <w:rPr>
          <w:sz w:val="24"/>
        </w:rPr>
        <w:t>与上述拟分包承担主体签署的《分包意向协议》后附。</w:t>
      </w:r>
    </w:p>
    <w:p>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pPr>
        <w:adjustRightInd w:val="0"/>
        <w:snapToGrid w:val="0"/>
        <w:spacing w:line="360" w:lineRule="auto"/>
        <w:ind w:firstLine="480" w:firstLineChars="200"/>
        <w:jc w:val="left"/>
        <w:rPr>
          <w:sz w:val="24"/>
        </w:rPr>
      </w:pPr>
      <w:r>
        <w:rPr>
          <w:sz w:val="24"/>
        </w:rPr>
        <w:t>甲方（</w:t>
      </w:r>
      <w:r>
        <w:rPr>
          <w:rFonts w:hint="eastAsia"/>
          <w:sz w:val="24"/>
        </w:rPr>
        <w:t>供应商</w:t>
      </w:r>
      <w:r>
        <w:rPr>
          <w:sz w:val="24"/>
        </w:rPr>
        <w:t>）：________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2.分包金额：_____，该金额占该采购包预算总金额的比例为___%。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w:t>
      </w:r>
      <w:r>
        <w:rPr>
          <w:rFonts w:hint="eastAsia"/>
          <w:sz w:val="24"/>
        </w:rPr>
        <w:t>成交</w:t>
      </w:r>
      <w:r>
        <w:rPr>
          <w:sz w:val="24"/>
        </w:rPr>
        <w:t>，本协议自动终止。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sectPr>
          <w:headerReference r:id="rId11" w:type="first"/>
          <w:footerReference r:id="rId13" w:type="first"/>
          <w:headerReference r:id="rId9" w:type="default"/>
          <w:headerReference r:id="rId10" w:type="even"/>
          <w:footerReference r:id="rId12"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中提交全部协议原件的电子件，否则</w:t>
      </w:r>
      <w:r>
        <w:rPr>
          <w:rFonts w:hint="eastAsia"/>
          <w:b/>
          <w:color w:val="000000"/>
          <w:sz w:val="24"/>
        </w:rPr>
        <w:t>响应</w:t>
      </w:r>
      <w:r>
        <w:rPr>
          <w:b/>
          <w:color w:val="000000"/>
          <w:sz w:val="24"/>
        </w:rPr>
        <w:t>无效</w:t>
      </w:r>
      <w:r>
        <w:rPr>
          <w:color w:val="000000"/>
          <w:sz w:val="24"/>
        </w:rPr>
        <w:t>。</w:t>
      </w:r>
    </w:p>
    <w:p>
      <w:pPr>
        <w:spacing w:line="360" w:lineRule="auto"/>
        <w:outlineLvl w:val="2"/>
        <w:rPr>
          <w:color w:val="000000"/>
          <w:sz w:val="24"/>
          <w:szCs w:val="20"/>
        </w:rPr>
      </w:pPr>
      <w:r>
        <w:rPr>
          <w:color w:val="000000"/>
          <w:sz w:val="24"/>
          <w:szCs w:val="20"/>
        </w:rPr>
        <w:t xml:space="preserve">2-3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p>
    <w:p>
      <w:pPr>
        <w:rPr>
          <w:color w:val="000000"/>
          <w:sz w:val="24"/>
          <w:szCs w:val="20"/>
        </w:rPr>
      </w:pPr>
      <w:r>
        <w:rPr>
          <w:color w:val="000000"/>
          <w:sz w:val="24"/>
          <w:szCs w:val="20"/>
        </w:rPr>
        <w:br w:type="page"/>
      </w:r>
    </w:p>
    <w:p>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3-1联合协议（如有）（实质性格式）</w:t>
      </w:r>
      <w:r>
        <w:rPr>
          <w:b/>
          <w:color w:val="000000"/>
          <w:sz w:val="24"/>
          <w:szCs w:val="20"/>
        </w:rPr>
        <w:t>（本项目不涉及）</w:t>
      </w:r>
    </w:p>
    <w:p>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w:t>
      </w:r>
      <w:r>
        <w:rPr>
          <w:rFonts w:hint="eastAsia"/>
          <w:bCs/>
          <w:color w:val="000000"/>
          <w:sz w:val="24"/>
        </w:rPr>
        <w:t>响应</w:t>
      </w:r>
      <w:r>
        <w:rPr>
          <w:bCs/>
          <w:color w:val="000000"/>
          <w:sz w:val="24"/>
        </w:rPr>
        <w:t>事宜，经各方充分协商一致，达成如下协议：</w:t>
      </w:r>
    </w:p>
    <w:p>
      <w:pPr>
        <w:numPr>
          <w:ilvl w:val="0"/>
          <w:numId w:val="45"/>
        </w:numPr>
        <w:spacing w:line="360" w:lineRule="auto"/>
        <w:rPr>
          <w:bCs/>
          <w:color w:val="000000"/>
          <w:sz w:val="24"/>
        </w:rPr>
      </w:pPr>
      <w:r>
        <w:rPr>
          <w:bCs/>
          <w:color w:val="000000"/>
          <w:sz w:val="24"/>
        </w:rPr>
        <w:t>由_________牵头，_________、__________参加，组成联合体共同进行招标项目的</w:t>
      </w:r>
      <w:r>
        <w:rPr>
          <w:rFonts w:hint="eastAsia"/>
          <w:bCs/>
          <w:color w:val="000000"/>
          <w:sz w:val="24"/>
        </w:rPr>
        <w:t>响应</w:t>
      </w:r>
      <w:r>
        <w:rPr>
          <w:bCs/>
          <w:color w:val="000000"/>
          <w:sz w:val="24"/>
        </w:rPr>
        <w:t>工作。</w:t>
      </w:r>
    </w:p>
    <w:p>
      <w:pPr>
        <w:numPr>
          <w:ilvl w:val="0"/>
          <w:numId w:val="45"/>
        </w:numPr>
        <w:spacing w:line="360" w:lineRule="auto"/>
        <w:rPr>
          <w:bCs/>
          <w:color w:val="000000"/>
          <w:sz w:val="24"/>
        </w:rPr>
      </w:pPr>
      <w:r>
        <w:rPr>
          <w:bCs/>
          <w:color w:val="000000"/>
          <w:sz w:val="24"/>
        </w:rPr>
        <w:t>______为本次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pPr>
        <w:numPr>
          <w:ilvl w:val="0"/>
          <w:numId w:val="45"/>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比选文件</w:t>
      </w:r>
      <w:r>
        <w:rPr>
          <w:bCs/>
          <w:color w:val="000000"/>
          <w:sz w:val="24"/>
        </w:rPr>
        <w:t>要求出具《授权委托书》。</w:t>
      </w:r>
    </w:p>
    <w:p>
      <w:pPr>
        <w:numPr>
          <w:ilvl w:val="0"/>
          <w:numId w:val="45"/>
        </w:numPr>
        <w:spacing w:line="360" w:lineRule="auto"/>
        <w:rPr>
          <w:bCs/>
          <w:color w:val="000000"/>
          <w:sz w:val="24"/>
        </w:rPr>
      </w:pPr>
      <w:r>
        <w:rPr>
          <w:bCs/>
          <w:color w:val="000000"/>
          <w:sz w:val="24"/>
        </w:rPr>
        <w:t>牵头人为项目的总负责单位；组织各参加方进行项目实施工作。</w:t>
      </w:r>
    </w:p>
    <w:p>
      <w:pPr>
        <w:numPr>
          <w:ilvl w:val="0"/>
          <w:numId w:val="45"/>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45"/>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45"/>
        </w:numPr>
        <w:spacing w:line="360" w:lineRule="auto"/>
        <w:rPr>
          <w:bCs/>
          <w:color w:val="000000"/>
          <w:sz w:val="24"/>
        </w:rPr>
      </w:pPr>
      <w:r>
        <w:rPr>
          <w:bCs/>
          <w:color w:val="000000"/>
          <w:sz w:val="24"/>
        </w:rPr>
        <w:t>______负责_____（如有），具体工作范围、内容以</w:t>
      </w:r>
      <w:r>
        <w:rPr>
          <w:rFonts w:hint="eastAsia"/>
          <w:bCs/>
          <w:color w:val="000000"/>
          <w:sz w:val="24"/>
        </w:rPr>
        <w:t>响应文件</w:t>
      </w:r>
      <w:r>
        <w:rPr>
          <w:bCs/>
          <w:color w:val="000000"/>
          <w:sz w:val="24"/>
        </w:rPr>
        <w:t>及合同为准。</w:t>
      </w:r>
    </w:p>
    <w:p>
      <w:pPr>
        <w:numPr>
          <w:ilvl w:val="0"/>
          <w:numId w:val="45"/>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45"/>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pPr>
        <w:numPr>
          <w:ilvl w:val="0"/>
          <w:numId w:val="45"/>
        </w:numPr>
        <w:spacing w:line="360" w:lineRule="auto"/>
        <w:rPr>
          <w:bCs/>
          <w:color w:val="000000"/>
          <w:sz w:val="24"/>
        </w:rPr>
      </w:pPr>
      <w:r>
        <w:rPr>
          <w:bCs/>
          <w:color w:val="000000"/>
          <w:sz w:val="24"/>
        </w:rPr>
        <w:t>其他约定（如有）：_______</w:t>
      </w:r>
      <w:r>
        <w:rPr>
          <w:rFonts w:hint="eastAsia"/>
          <w:bCs/>
          <w:color w:val="000000"/>
          <w:sz w:val="24"/>
        </w:rPr>
        <w:t>。</w:t>
      </w:r>
    </w:p>
    <w:p>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sz w:val="24"/>
        </w:rPr>
      </w:pPr>
      <w:r>
        <w:rPr>
          <w:color w:val="000000"/>
          <w:sz w:val="24"/>
        </w:rPr>
        <w:t>注：联合体各方成员应在本协议上共同盖章，不得分别签署协议书。</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3-2其他</w:t>
      </w:r>
      <w:r>
        <w:rPr>
          <w:sz w:val="24"/>
          <w:szCs w:val="20"/>
        </w:rPr>
        <w:t>特定资格要求</w:t>
      </w:r>
    </w:p>
    <w:p>
      <w:pPr>
        <w:widowControl/>
        <w:jc w:val="left"/>
        <w:rPr>
          <w:b/>
          <w:bCs/>
          <w:sz w:val="24"/>
          <w:szCs w:val="20"/>
        </w:rPr>
      </w:pPr>
      <w:r>
        <w:rPr>
          <w:rFonts w:hint="eastAsia"/>
          <w:b/>
          <w:bCs/>
          <w:sz w:val="24"/>
          <w:szCs w:val="20"/>
        </w:rPr>
        <w:t>供应商须为“北京市政府采购电子卖场”（京华云采，（http://mkt-bjzc.zhongcy.com/mall-view/））物业管理服务的协议供应商，提供响应服务内容在“京华云采”上对应的网页链接并附含有供应商名称信息的截图，复印件加盖投标人公章。</w:t>
      </w:r>
    </w:p>
    <w:p>
      <w:pPr>
        <w:rPr>
          <w:sz w:val="24"/>
          <w:szCs w:val="20"/>
        </w:rPr>
      </w:pPr>
      <w:r>
        <w:rPr>
          <w:sz w:val="24"/>
          <w:szCs w:val="20"/>
        </w:rPr>
        <w:br w:type="page"/>
      </w:r>
    </w:p>
    <w:p>
      <w:pPr>
        <w:spacing w:line="360" w:lineRule="auto"/>
        <w:outlineLvl w:val="2"/>
        <w:rPr>
          <w:sz w:val="24"/>
          <w:szCs w:val="20"/>
        </w:rPr>
      </w:pPr>
      <w:r>
        <w:rPr>
          <w:sz w:val="24"/>
          <w:szCs w:val="20"/>
        </w:rPr>
        <w:t xml:space="preserve">4 </w:t>
      </w:r>
      <w:r>
        <w:rPr>
          <w:rFonts w:hint="eastAsia"/>
          <w:color w:val="000000"/>
          <w:sz w:val="24"/>
          <w:szCs w:val="20"/>
        </w:rPr>
        <w:t>报价保证金凭证/</w:t>
      </w:r>
      <w:r>
        <w:rPr>
          <w:color w:val="000000"/>
          <w:sz w:val="24"/>
          <w:szCs w:val="20"/>
        </w:rPr>
        <w:t>交款单据电子件</w:t>
      </w:r>
    </w:p>
    <w:p>
      <w:pPr>
        <w:spacing w:line="360" w:lineRule="auto"/>
        <w:ind w:firstLine="420" w:firstLineChars="200"/>
      </w:pPr>
      <w:r>
        <w:rPr>
          <w:rFonts w:hint="eastAsia"/>
        </w:rPr>
        <w:t>此报价保证金或其交纳凭据</w:t>
      </w:r>
      <w:r>
        <w:t>/</w:t>
      </w:r>
      <w:r>
        <w:rPr>
          <w:rFonts w:hint="eastAsia"/>
        </w:rPr>
        <w:t>证明的复印件还应密封后在开选时单独递交以供开选时唱标用。</w:t>
      </w:r>
    </w:p>
    <w:p>
      <w:pPr>
        <w:spacing w:line="360" w:lineRule="auto"/>
        <w:rPr>
          <w:sz w:val="24"/>
          <w:szCs w:val="20"/>
        </w:rPr>
      </w:pPr>
    </w:p>
    <w:p>
      <w:pPr>
        <w:spacing w:line="360" w:lineRule="auto"/>
        <w:rPr>
          <w:sz w:val="24"/>
          <w:szCs w:val="20"/>
        </w:rPr>
      </w:pPr>
    </w:p>
    <w:p>
      <w:pPr>
        <w:rPr>
          <w:sz w:val="24"/>
          <w:szCs w:val="20"/>
        </w:rPr>
      </w:pPr>
      <w:r>
        <w:rPr>
          <w:sz w:val="24"/>
          <w:szCs w:val="20"/>
        </w:rPr>
        <w:br w:type="page"/>
      </w:r>
    </w:p>
    <w:p>
      <w:pPr>
        <w:spacing w:line="360" w:lineRule="auto"/>
        <w:outlineLvl w:val="2"/>
        <w:rPr>
          <w:sz w:val="24"/>
          <w:szCs w:val="20"/>
        </w:rPr>
      </w:pPr>
      <w:r>
        <w:rPr>
          <w:rFonts w:hint="eastAsia"/>
          <w:sz w:val="24"/>
          <w:szCs w:val="20"/>
        </w:rPr>
        <w:t>5 代理服务费承诺书（实质性格式）</w:t>
      </w:r>
    </w:p>
    <w:p>
      <w:pPr>
        <w:spacing w:line="480" w:lineRule="exact"/>
        <w:rPr>
          <w:rFonts w:ascii="宋体" w:hAnsi="宋体"/>
          <w:sz w:val="24"/>
          <w:u w:val="single"/>
        </w:rPr>
      </w:pPr>
      <w:r>
        <w:rPr>
          <w:rFonts w:hint="eastAsia" w:ascii="宋体" w:hAnsi="宋体"/>
          <w:sz w:val="24"/>
        </w:rPr>
        <w:t>致：北京明德致信咨询有限公司</w:t>
      </w:r>
    </w:p>
    <w:p>
      <w:pPr>
        <w:widowControl/>
        <w:spacing w:line="480" w:lineRule="exact"/>
        <w:ind w:firstLine="480" w:firstLineChars="200"/>
        <w:jc w:val="left"/>
        <w:rPr>
          <w:rFonts w:ascii="宋体" w:hAnsi="宋体"/>
          <w:kern w:val="0"/>
          <w:sz w:val="24"/>
        </w:rPr>
      </w:pPr>
      <w:r>
        <w:rPr>
          <w:rFonts w:hint="eastAsia" w:ascii="宋体" w:hAnsi="宋体"/>
          <w:sz w:val="24"/>
        </w:rPr>
        <w:t>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项目比选中若获成交（比选文件编号：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），我们保证在领取成交通知书时按比选文件的规定，以电汇、支票等方式，向贵公司一次性支付应该交纳的成交服务费用。收费标准依据比选文件</w:t>
      </w:r>
      <w:r>
        <w:rPr>
          <w:rFonts w:hint="eastAsia" w:ascii="宋体" w:hAnsi="宋体"/>
          <w:kern w:val="0"/>
          <w:sz w:val="24"/>
        </w:rPr>
        <w:t>的规定</w:t>
      </w:r>
      <w:r>
        <w:rPr>
          <w:rFonts w:hint="eastAsia" w:ascii="宋体" w:hAnsi="宋体"/>
          <w:sz w:val="24"/>
        </w:rPr>
        <w:t>。</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ind w:firstLine="480" w:firstLineChars="200"/>
        <w:rPr>
          <w:rFonts w:ascii="宋体" w:hAnsi="宋体"/>
          <w:sz w:val="24"/>
        </w:rPr>
      </w:pPr>
      <w:r>
        <w:rPr>
          <w:rFonts w:hint="eastAsia" w:ascii="宋体" w:hAnsi="宋体"/>
          <w:sz w:val="24"/>
        </w:rPr>
        <w:t>特此承诺</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ab/>
      </w: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承诺方法人授权代表签字：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（承诺方盖章）</w:t>
      </w:r>
    </w:p>
    <w:p>
      <w:pPr>
        <w:spacing w:line="360" w:lineRule="auto"/>
        <w:rPr>
          <w:rFonts w:ascii="宋体" w:hAnsi="宋体"/>
          <w:sz w:val="24"/>
        </w:rPr>
      </w:pPr>
      <w:r>
        <w:rPr>
          <w:rFonts w:hint="eastAsia" w:ascii="宋体" w:hAnsi="宋体"/>
          <w:sz w:val="24"/>
        </w:rPr>
        <w:tab/>
      </w: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sz w:val="24"/>
          <w:szCs w:val="20"/>
        </w:rPr>
        <w:br w:type="page"/>
      </w:r>
    </w:p>
    <w:p>
      <w:pPr>
        <w:tabs>
          <w:tab w:val="left" w:pos="5580"/>
        </w:tabs>
        <w:spacing w:line="360" w:lineRule="auto"/>
        <w:rPr>
          <w:rFonts w:ascii="宋体" w:hAnsi="宋体"/>
          <w:sz w:val="24"/>
        </w:rPr>
        <w:sectPr>
          <w:pgSz w:w="11907" w:h="16840"/>
          <w:pgMar w:top="1418" w:right="1134" w:bottom="1418" w:left="1701" w:header="851" w:footer="851" w:gutter="0"/>
          <w:cols w:space="720" w:num="1"/>
          <w:docGrid w:linePitch="462" w:charSpace="0"/>
        </w:sectPr>
      </w:pPr>
    </w:p>
    <w:p>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（商务技术文件）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 应</w:t>
      </w:r>
      <w:r>
        <w:rPr>
          <w:rFonts w:ascii="宋体" w:hAnsi="宋体"/>
          <w:b/>
          <w:spacing w:val="60"/>
          <w:sz w:val="84"/>
          <w:szCs w:val="84"/>
        </w:rPr>
        <w:t xml:space="preserve"> 文 件</w:t>
      </w:r>
    </w:p>
    <w:p>
      <w:pPr>
        <w:jc w:val="center"/>
        <w:rPr>
          <w:rFonts w:ascii="宋体" w:hAnsi="宋体"/>
          <w:b/>
          <w:spacing w:val="60"/>
          <w:sz w:val="84"/>
          <w:szCs w:val="84"/>
        </w:rPr>
      </w:pPr>
    </w:p>
    <w:p>
      <w:pPr>
        <w:jc w:val="center"/>
        <w:rPr>
          <w:rFonts w:ascii="宋体" w:hAnsi="宋体"/>
          <w:b/>
          <w:spacing w:val="60"/>
          <w:sz w:val="52"/>
          <w:szCs w:val="52"/>
        </w:rPr>
      </w:pPr>
      <w:r>
        <w:rPr>
          <w:rFonts w:ascii="宋体" w:hAnsi="宋体"/>
          <w:b/>
          <w:spacing w:val="60"/>
          <w:sz w:val="52"/>
          <w:szCs w:val="52"/>
        </w:rPr>
        <w:t>（商务技术文件）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widowControl/>
        <w:jc w:val="left"/>
        <w:rPr>
          <w:rFonts w:ascii="宋体" w:hAnsi="宋体"/>
          <w:b/>
          <w:sz w:val="24"/>
        </w:rPr>
      </w:pPr>
      <w:r>
        <w:rPr>
          <w:rFonts w:ascii="宋体" w:hAnsi="宋体"/>
          <w:b/>
          <w:sz w:val="24"/>
        </w:rPr>
        <w:br w:type="page"/>
      </w:r>
    </w:p>
    <w:p>
      <w:pPr>
        <w:spacing w:line="360" w:lineRule="auto"/>
        <w:outlineLvl w:val="2"/>
        <w:rPr>
          <w:rFonts w:ascii="宋体" w:hAnsi="宋体"/>
          <w:color w:val="000000"/>
          <w:sz w:val="24"/>
          <w:szCs w:val="20"/>
        </w:rPr>
      </w:pPr>
      <w:bookmarkStart w:id="669" w:name="_Hlt520273711"/>
      <w:bookmarkEnd w:id="669"/>
      <w:bookmarkStart w:id="670" w:name="_Hlt520274065"/>
      <w:bookmarkEnd w:id="670"/>
      <w:bookmarkStart w:id="671" w:name="_Hlt520274393"/>
      <w:bookmarkEnd w:id="671"/>
      <w:bookmarkStart w:id="672" w:name="_Hlt520274121"/>
      <w:bookmarkEnd w:id="672"/>
      <w:bookmarkStart w:id="673" w:name="_Hlt520274407"/>
      <w:bookmarkEnd w:id="673"/>
      <w:bookmarkStart w:id="674" w:name="_Hlt520350918"/>
      <w:bookmarkEnd w:id="674"/>
      <w:bookmarkStart w:id="675" w:name="_Hlt520343000"/>
      <w:bookmarkEnd w:id="675"/>
      <w:bookmarkStart w:id="676" w:name="_Hlt520271212"/>
      <w:bookmarkEnd w:id="676"/>
      <w:bookmarkStart w:id="677" w:name="_Hlt520355504"/>
      <w:bookmarkEnd w:id="677"/>
      <w:bookmarkStart w:id="678" w:name="_Hlt520343392"/>
      <w:bookmarkEnd w:id="678"/>
      <w:bookmarkStart w:id="679" w:name="_Toc480942349"/>
      <w:bookmarkStart w:id="680" w:name="_Ref467988698"/>
      <w:bookmarkStart w:id="681" w:name="_Toc226965829"/>
      <w:bookmarkStart w:id="682" w:name="_Toc520356217"/>
      <w:bookmarkStart w:id="683" w:name="_Toc226965746"/>
      <w:bookmarkStart w:id="684" w:name="_Toc150774761"/>
      <w:bookmarkStart w:id="685" w:name="_Toc127151556"/>
      <w:bookmarkStart w:id="686" w:name="_Toc142311058"/>
      <w:bookmarkStart w:id="687" w:name="_Toc226337252"/>
      <w:bookmarkStart w:id="688" w:name="_Toc195842921"/>
      <w:bookmarkStart w:id="689" w:name="_Toc226309800"/>
      <w:bookmarkStart w:id="690" w:name="_Toc150480794"/>
      <w:r>
        <w:rPr>
          <w:rFonts w:ascii="宋体" w:hAnsi="宋体"/>
          <w:color w:val="000000"/>
          <w:sz w:val="24"/>
        </w:rPr>
        <w:t>1</w:t>
      </w:r>
      <w:r>
        <w:rPr>
          <w:rFonts w:ascii="宋体" w:hAnsi="宋体"/>
          <w:color w:val="000000"/>
          <w:sz w:val="24"/>
          <w:szCs w:val="20"/>
        </w:rPr>
        <w:t xml:space="preserve">  </w:t>
      </w:r>
      <w:bookmarkEnd w:id="679"/>
      <w:bookmarkEnd w:id="680"/>
      <w:r>
        <w:rPr>
          <w:rFonts w:hint="eastAsia" w:ascii="宋体" w:hAnsi="宋体"/>
          <w:color w:val="000000"/>
          <w:sz w:val="24"/>
        </w:rPr>
        <w:t>响应</w:t>
      </w:r>
      <w:r>
        <w:rPr>
          <w:rFonts w:ascii="宋体" w:hAnsi="宋体"/>
          <w:color w:val="000000"/>
          <w:sz w:val="24"/>
        </w:rPr>
        <w:t>书</w:t>
      </w:r>
      <w:bookmarkEnd w:id="681"/>
      <w:bookmarkEnd w:id="682"/>
      <w:bookmarkEnd w:id="683"/>
      <w:bookmarkEnd w:id="684"/>
      <w:bookmarkEnd w:id="685"/>
      <w:bookmarkEnd w:id="686"/>
      <w:bookmarkEnd w:id="687"/>
      <w:bookmarkEnd w:id="688"/>
      <w:bookmarkEnd w:id="689"/>
      <w:bookmarkEnd w:id="690"/>
      <w:r>
        <w:rPr>
          <w:rFonts w:ascii="宋体" w:hAnsi="宋体"/>
          <w:color w:val="000000"/>
          <w:sz w:val="24"/>
          <w:szCs w:val="20"/>
        </w:rPr>
        <w:t>（实质性格式）</w:t>
      </w:r>
    </w:p>
    <w:p>
      <w:pPr>
        <w:tabs>
          <w:tab w:val="left" w:pos="5580"/>
        </w:tabs>
        <w:spacing w:line="360" w:lineRule="auto"/>
        <w:rPr>
          <w:rFonts w:ascii="宋体" w:hAnsi="宋体"/>
          <w:color w:val="000000"/>
          <w:sz w:val="24"/>
        </w:rPr>
      </w:pPr>
    </w:p>
    <w:p>
      <w:pPr>
        <w:spacing w:line="360" w:lineRule="auto"/>
        <w:jc w:val="center"/>
        <w:rPr>
          <w:rFonts w:ascii="宋体" w:hAnsi="宋体"/>
          <w:b/>
          <w:color w:val="000000"/>
          <w:sz w:val="36"/>
          <w:szCs w:val="36"/>
        </w:rPr>
      </w:pPr>
      <w:r>
        <w:rPr>
          <w:rFonts w:hint="eastAsia" w:ascii="宋体" w:hAnsi="宋体"/>
          <w:b/>
          <w:color w:val="000000"/>
          <w:sz w:val="36"/>
          <w:szCs w:val="36"/>
        </w:rPr>
        <w:t>响应书</w:t>
      </w: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pPr>
        <w:tabs>
          <w:tab w:val="left" w:pos="5580"/>
        </w:tabs>
        <w:spacing w:line="360" w:lineRule="auto"/>
        <w:rPr>
          <w:rFonts w:ascii="宋体" w:hAnsi="宋体"/>
          <w:color w:val="000000"/>
          <w:sz w:val="24"/>
          <w:szCs w:val="20"/>
        </w:rPr>
      </w:pP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w:t>
      </w:r>
      <w:r>
        <w:rPr>
          <w:rFonts w:hint="eastAsia" w:ascii="宋体" w:hAnsi="宋体"/>
          <w:color w:val="000000"/>
          <w:sz w:val="24"/>
          <w:szCs w:val="20"/>
        </w:rPr>
        <w:t>响应</w:t>
      </w:r>
      <w:r>
        <w:rPr>
          <w:rFonts w:ascii="宋体" w:hAnsi="宋体"/>
          <w:color w:val="000000"/>
          <w:sz w:val="24"/>
          <w:szCs w:val="20"/>
        </w:rPr>
        <w:t>。</w:t>
      </w: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w:t>
      </w:r>
      <w:r>
        <w:rPr>
          <w:rFonts w:hint="eastAsia" w:ascii="宋体" w:hAnsi="宋体"/>
          <w:color w:val="000000"/>
          <w:sz w:val="24"/>
        </w:rPr>
        <w:t>比选文件</w:t>
      </w:r>
      <w:r>
        <w:rPr>
          <w:rFonts w:ascii="宋体" w:hAnsi="宋体"/>
          <w:color w:val="000000"/>
          <w:sz w:val="24"/>
          <w:szCs w:val="20"/>
        </w:rPr>
        <w:t>，自愿参与</w:t>
      </w:r>
      <w:r>
        <w:rPr>
          <w:rFonts w:hint="eastAsia" w:ascii="宋体" w:hAnsi="宋体"/>
          <w:color w:val="000000"/>
          <w:sz w:val="24"/>
          <w:szCs w:val="20"/>
        </w:rPr>
        <w:t>响应</w:t>
      </w:r>
      <w:r>
        <w:rPr>
          <w:rFonts w:ascii="宋体" w:hAnsi="宋体"/>
          <w:color w:val="000000"/>
          <w:sz w:val="24"/>
          <w:szCs w:val="20"/>
        </w:rPr>
        <w:t>并承诺如下：</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（1）本</w:t>
      </w:r>
      <w:r>
        <w:rPr>
          <w:rFonts w:hint="eastAsia" w:ascii="宋体" w:hAnsi="宋体"/>
          <w:color w:val="000000"/>
          <w:sz w:val="24"/>
          <w:szCs w:val="20"/>
        </w:rPr>
        <w:t>报价有效期</w:t>
      </w:r>
      <w:r>
        <w:rPr>
          <w:rFonts w:ascii="宋体" w:hAnsi="宋体"/>
          <w:color w:val="000000"/>
          <w:sz w:val="24"/>
          <w:szCs w:val="20"/>
        </w:rPr>
        <w:t>为自提交</w:t>
      </w:r>
      <w:r>
        <w:rPr>
          <w:rFonts w:hint="eastAsia" w:ascii="宋体" w:hAnsi="宋体"/>
          <w:color w:val="000000"/>
          <w:sz w:val="24"/>
          <w:szCs w:val="20"/>
        </w:rPr>
        <w:t>响应文件</w:t>
      </w:r>
      <w:r>
        <w:rPr>
          <w:rFonts w:ascii="宋体" w:hAnsi="宋体"/>
          <w:color w:val="000000"/>
          <w:sz w:val="24"/>
          <w:szCs w:val="20"/>
        </w:rPr>
        <w:t>的截止之日起</w:t>
      </w:r>
      <w:r>
        <w:rPr>
          <w:rFonts w:ascii="宋体" w:hAnsi="宋体"/>
          <w:sz w:val="24"/>
        </w:rPr>
        <w:t>_____</w:t>
      </w:r>
      <w:r>
        <w:rPr>
          <w:rFonts w:ascii="宋体" w:hAnsi="宋体"/>
          <w:color w:val="000000"/>
          <w:sz w:val="24"/>
          <w:szCs w:val="20"/>
        </w:rPr>
        <w:t>个日历日。</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w:t>
      </w:r>
      <w:r>
        <w:rPr>
          <w:rFonts w:hint="eastAsia" w:ascii="宋体" w:hAnsi="宋体"/>
          <w:color w:val="000000"/>
          <w:sz w:val="24"/>
          <w:szCs w:val="20"/>
        </w:rPr>
        <w:t>比选文件</w:t>
      </w:r>
      <w:r>
        <w:rPr>
          <w:rFonts w:ascii="宋体" w:hAnsi="宋体"/>
          <w:color w:val="000000"/>
          <w:sz w:val="24"/>
          <w:szCs w:val="20"/>
        </w:rPr>
        <w:t>的全部要求。</w:t>
      </w:r>
    </w:p>
    <w:p>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olor w:val="000000"/>
          <w:sz w:val="24"/>
        </w:rPr>
      </w:pPr>
      <w:r>
        <w:rPr>
          <w:rFonts w:ascii="宋体" w:hAnsi="宋体"/>
          <w:color w:val="000000"/>
          <w:sz w:val="24"/>
          <w:szCs w:val="20"/>
        </w:rPr>
        <w:t>（4）如我方</w:t>
      </w:r>
      <w:r>
        <w:rPr>
          <w:rFonts w:hint="eastAsia" w:ascii="宋体" w:hAnsi="宋体"/>
          <w:color w:val="000000"/>
          <w:sz w:val="24"/>
          <w:szCs w:val="20"/>
        </w:rPr>
        <w:t>成交</w:t>
      </w:r>
      <w:r>
        <w:rPr>
          <w:rFonts w:ascii="宋体" w:hAnsi="宋体"/>
          <w:color w:val="000000"/>
          <w:sz w:val="24"/>
          <w:szCs w:val="20"/>
        </w:rPr>
        <w:t>，我方将在法律规定的期限内与你方签订合同，按照</w:t>
      </w:r>
      <w:r>
        <w:rPr>
          <w:rFonts w:hint="eastAsia" w:ascii="宋体" w:hAnsi="宋体"/>
          <w:color w:val="000000"/>
          <w:sz w:val="24"/>
          <w:szCs w:val="20"/>
        </w:rPr>
        <w:t>比选文件</w:t>
      </w:r>
      <w:r>
        <w:rPr>
          <w:rFonts w:ascii="宋体" w:hAnsi="宋体"/>
          <w:color w:val="000000"/>
          <w:sz w:val="24"/>
          <w:szCs w:val="20"/>
        </w:rPr>
        <w:t>要求提交履约保证金，并在合同约定的期限内完成合同规定的全部义务。</w:t>
      </w:r>
    </w:p>
    <w:p>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与本</w:t>
      </w:r>
      <w:r>
        <w:rPr>
          <w:rFonts w:hint="eastAsia" w:ascii="宋体" w:hAnsi="宋体"/>
          <w:color w:val="000000"/>
          <w:sz w:val="24"/>
        </w:rPr>
        <w:t>响应</w:t>
      </w:r>
      <w:r>
        <w:rPr>
          <w:rFonts w:ascii="宋体" w:hAnsi="宋体"/>
          <w:color w:val="000000"/>
          <w:sz w:val="24"/>
        </w:rPr>
        <w:t>有关的一切正式往来信函请寄：</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供应商</w:t>
      </w:r>
      <w:r>
        <w:rPr>
          <w:rFonts w:ascii="宋体" w:hAnsi="宋体"/>
          <w:color w:val="000000"/>
          <w:sz w:val="24"/>
          <w:szCs w:val="20"/>
        </w:rPr>
        <w:t>名称（加盖公章） ___________</w:t>
      </w: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pPr>
        <w:tabs>
          <w:tab w:val="left" w:pos="5580"/>
        </w:tabs>
        <w:spacing w:line="360" w:lineRule="auto"/>
        <w:ind w:left="420"/>
        <w:rPr>
          <w:rFonts w:ascii="宋体" w:hAnsi="宋体"/>
          <w:color w:val="000000"/>
          <w:sz w:val="24"/>
          <w:szCs w:val="20"/>
          <w:u w:val="single"/>
        </w:rPr>
      </w:pPr>
    </w:p>
    <w:p>
      <w:pPr>
        <w:widowControl/>
        <w:jc w:val="left"/>
        <w:rPr>
          <w:rFonts w:ascii="宋体" w:hAnsi="宋体"/>
          <w:color w:val="000000"/>
          <w:sz w:val="24"/>
        </w:rPr>
      </w:pPr>
      <w:bookmarkStart w:id="691" w:name="_Hlt520355938"/>
      <w:bookmarkEnd w:id="691"/>
      <w:bookmarkStart w:id="692" w:name="_Hlt520356243"/>
      <w:bookmarkEnd w:id="692"/>
      <w:bookmarkStart w:id="693" w:name="_Toc127151557"/>
      <w:bookmarkStart w:id="694" w:name="_Toc226965747"/>
      <w:bookmarkStart w:id="695" w:name="_Toc226965830"/>
      <w:bookmarkStart w:id="696" w:name="_Toc480942350"/>
      <w:bookmarkStart w:id="697" w:name="_Toc265228395"/>
      <w:bookmarkStart w:id="698" w:name="_Toc520356218"/>
      <w:bookmarkStart w:id="699" w:name="_Ref467988705"/>
      <w:bookmarkStart w:id="700" w:name="_Toc264969247"/>
      <w:bookmarkStart w:id="701" w:name="_Toc195842922"/>
      <w:bookmarkStart w:id="702" w:name="_Toc305158825"/>
      <w:bookmarkStart w:id="703" w:name="_Toc142311059"/>
      <w:bookmarkStart w:id="704" w:name="_Toc150774762"/>
      <w:bookmarkStart w:id="705" w:name="_Toc150480795"/>
      <w:bookmarkStart w:id="706" w:name="_Toc226337253"/>
      <w:bookmarkStart w:id="707" w:name="_Toc305158899"/>
      <w:bookmarkStart w:id="708" w:name="_Toc226309801"/>
      <w:r>
        <w:rPr>
          <w:rFonts w:ascii="宋体" w:hAnsi="宋体"/>
          <w:color w:val="000000"/>
          <w:sz w:val="24"/>
        </w:rPr>
        <w:br w:type="page"/>
      </w:r>
    </w:p>
    <w:p>
      <w:pPr>
        <w:spacing w:line="360" w:lineRule="auto"/>
        <w:outlineLvl w:val="2"/>
        <w:rPr>
          <w:rFonts w:ascii="宋体" w:hAnsi="宋体"/>
          <w:color w:val="000000"/>
          <w:sz w:val="24"/>
        </w:rPr>
      </w:pPr>
      <w:r>
        <w:rPr>
          <w:rFonts w:ascii="宋体" w:hAnsi="宋体"/>
          <w:color w:val="000000"/>
          <w:sz w:val="24"/>
        </w:rPr>
        <w:t>2  授权委托书（实质性格式）</w:t>
      </w:r>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供应商</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响应文件和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比选文件</w:t>
      </w:r>
      <w:r>
        <w:rPr>
          <w:rFonts w:ascii="宋体" w:hAnsi="宋体"/>
          <w:color w:val="000000"/>
          <w:sz w:val="24"/>
          <w:szCs w:val="20"/>
        </w:rPr>
        <w:t>注明允许分支机构</w:t>
      </w:r>
      <w:r>
        <w:rPr>
          <w:rFonts w:hint="eastAsia" w:ascii="宋体" w:hAnsi="宋体"/>
          <w:color w:val="000000"/>
          <w:sz w:val="24"/>
          <w:szCs w:val="20"/>
        </w:rPr>
        <w:t>响应</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响应文件</w:t>
      </w:r>
      <w:r>
        <w:rPr>
          <w:rFonts w:ascii="宋体" w:hAnsi="宋体"/>
          <w:color w:val="000000"/>
          <w:sz w:val="24"/>
          <w:szCs w:val="20"/>
        </w:rPr>
        <w:t>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pPr>
        <w:pStyle w:val="2"/>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2"/>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2"/>
        <w:tabs>
          <w:tab w:val="left" w:pos="2412"/>
          <w:tab w:val="left" w:pos="3883"/>
          <w:tab w:val="left" w:pos="5352"/>
          <w:tab w:val="left" w:pos="6821"/>
        </w:tabs>
        <w:kinsoku w:val="0"/>
        <w:overflowPunct w:val="0"/>
        <w:spacing w:line="335" w:lineRule="exact"/>
      </w:pPr>
    </w:p>
    <w:p>
      <w:pPr>
        <w:pStyle w:val="2"/>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供应商</w:t>
      </w:r>
      <w:r>
        <w:t>名称）的法定代表人（单位负责人）。</w:t>
      </w:r>
    </w:p>
    <w:p>
      <w:pPr>
        <w:pStyle w:val="2"/>
        <w:tabs>
          <w:tab w:val="left" w:pos="2412"/>
          <w:tab w:val="left" w:pos="3883"/>
          <w:tab w:val="left" w:pos="5352"/>
          <w:tab w:val="left" w:pos="6821"/>
        </w:tabs>
        <w:kinsoku w:val="0"/>
        <w:overflowPunct w:val="0"/>
        <w:spacing w:line="335" w:lineRule="exact"/>
      </w:pPr>
    </w:p>
    <w:p>
      <w:pPr>
        <w:pStyle w:val="2"/>
        <w:tabs>
          <w:tab w:val="left" w:pos="2412"/>
          <w:tab w:val="left" w:pos="3883"/>
          <w:tab w:val="left" w:pos="5352"/>
          <w:tab w:val="left" w:pos="6821"/>
        </w:tabs>
        <w:kinsoku w:val="0"/>
        <w:overflowPunct w:val="0"/>
        <w:spacing w:line="335" w:lineRule="exact"/>
      </w:pPr>
    </w:p>
    <w:p>
      <w:pPr>
        <w:pStyle w:val="2"/>
        <w:tabs>
          <w:tab w:val="left" w:pos="2412"/>
          <w:tab w:val="left" w:pos="3883"/>
          <w:tab w:val="left" w:pos="5352"/>
          <w:tab w:val="left" w:pos="6821"/>
        </w:tabs>
        <w:kinsoku w:val="0"/>
        <w:overflowPunct w:val="0"/>
        <w:spacing w:line="335" w:lineRule="exact"/>
      </w:pPr>
    </w:p>
    <w:p>
      <w:pPr>
        <w:pStyle w:val="2"/>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2"/>
        <w:kinsoku w:val="0"/>
        <w:overflowPunct w:val="0"/>
        <w:spacing w:line="583" w:lineRule="auto"/>
        <w:ind w:right="4305"/>
        <w:rPr>
          <w:spacing w:val="-3"/>
        </w:rPr>
      </w:pPr>
    </w:p>
    <w:p>
      <w:pPr>
        <w:pStyle w:val="2"/>
        <w:kinsoku w:val="0"/>
        <w:overflowPunct w:val="0"/>
        <w:spacing w:line="583" w:lineRule="auto"/>
        <w:ind w:right="4305"/>
        <w:rPr>
          <w:spacing w:val="-3"/>
        </w:rPr>
      </w:pP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pStyle w:val="2"/>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pPr>
        <w:autoSpaceDE w:val="0"/>
        <w:autoSpaceDN w:val="0"/>
        <w:adjustRightInd w:val="0"/>
        <w:snapToGrid w:val="0"/>
        <w:spacing w:line="360" w:lineRule="auto"/>
        <w:rPr>
          <w:rFonts w:ascii="宋体" w:hAnsi="宋体"/>
          <w:color w:val="000000"/>
          <w:sz w:val="24"/>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widowControl/>
        <w:jc w:val="left"/>
        <w:rPr>
          <w:rFonts w:ascii="宋体" w:hAnsi="宋体"/>
          <w:i/>
          <w:color w:val="000000"/>
          <w:sz w:val="24"/>
          <w:szCs w:val="20"/>
          <w:u w:val="single"/>
        </w:rPr>
      </w:pP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3  </w:t>
      </w:r>
      <w:r>
        <w:rPr>
          <w:rFonts w:hint="eastAsia" w:ascii="宋体" w:hAnsi="宋体"/>
          <w:color w:val="000000"/>
          <w:sz w:val="24"/>
          <w:szCs w:val="20"/>
        </w:rPr>
        <w:t>开选</w:t>
      </w:r>
      <w:r>
        <w:rPr>
          <w:rFonts w:ascii="宋体" w:hAnsi="宋体"/>
          <w:color w:val="000000"/>
          <w:sz w:val="24"/>
          <w:szCs w:val="20"/>
        </w:rPr>
        <w:t>一览表</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rPr>
          <w:rFonts w:ascii="宋体" w:hAnsi="宋体"/>
          <w:color w:val="000000"/>
          <w:sz w:val="24"/>
          <w:szCs w:val="20"/>
        </w:rPr>
        <w:t>（实质性格式）</w:t>
      </w:r>
    </w:p>
    <w:p>
      <w:pPr>
        <w:spacing w:line="360" w:lineRule="exact"/>
        <w:jc w:val="center"/>
        <w:rPr>
          <w:rFonts w:ascii="宋体" w:hAnsi="宋体"/>
          <w:b/>
          <w:color w:val="000000"/>
          <w:sz w:val="36"/>
          <w:szCs w:val="36"/>
        </w:rPr>
      </w:pPr>
      <w:bookmarkStart w:id="709" w:name="_Toc226965748"/>
      <w:bookmarkStart w:id="710" w:name="_Toc305158900"/>
      <w:bookmarkStart w:id="711" w:name="_Toc305158826"/>
      <w:bookmarkStart w:id="712" w:name="_Toc226337254"/>
      <w:bookmarkStart w:id="713" w:name="_Toc226965831"/>
      <w:bookmarkStart w:id="714" w:name="_Toc164608827"/>
      <w:bookmarkStart w:id="715" w:name="_Toc265228396"/>
      <w:bookmarkStart w:id="716" w:name="_Toc264969248"/>
      <w:bookmarkStart w:id="717" w:name="_Toc164608672"/>
      <w:bookmarkStart w:id="718" w:name="_Toc226309802"/>
      <w:bookmarkStart w:id="719" w:name="_Toc195842923"/>
      <w:r>
        <w:rPr>
          <w:rFonts w:hint="eastAsia" w:ascii="宋体" w:hAnsi="宋体"/>
          <w:b/>
          <w:color w:val="000000"/>
          <w:sz w:val="36"/>
          <w:szCs w:val="36"/>
        </w:rPr>
        <w:t>开选一览表</w:t>
      </w:r>
      <w:bookmarkEnd w:id="709"/>
      <w:bookmarkEnd w:id="710"/>
      <w:bookmarkEnd w:id="711"/>
      <w:bookmarkEnd w:id="712"/>
      <w:bookmarkEnd w:id="713"/>
      <w:bookmarkEnd w:id="714"/>
      <w:bookmarkEnd w:id="715"/>
      <w:bookmarkEnd w:id="716"/>
      <w:bookmarkEnd w:id="717"/>
      <w:bookmarkEnd w:id="718"/>
      <w:bookmarkEnd w:id="719"/>
    </w:p>
    <w:p>
      <w:pPr>
        <w:tabs>
          <w:tab w:val="left" w:pos="1800"/>
          <w:tab w:val="left" w:pos="5580"/>
        </w:tabs>
        <w:spacing w:line="360" w:lineRule="auto"/>
        <w:jc w:val="left"/>
        <w:rPr>
          <w:rFonts w:ascii="宋体" w:hAnsi="宋体"/>
          <w:i/>
          <w:color w:val="FF0000"/>
          <w:sz w:val="24"/>
        </w:rPr>
      </w:pPr>
    </w:p>
    <w:p>
      <w:pPr>
        <w:tabs>
          <w:tab w:val="left" w:pos="1800"/>
          <w:tab w:val="left" w:pos="5580"/>
        </w:tabs>
        <w:spacing w:line="360" w:lineRule="auto"/>
        <w:ind w:firstLine="240" w:firstLineChars="10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4"/>
        <w:gridCol w:w="1063"/>
        <w:gridCol w:w="2129"/>
        <w:gridCol w:w="1664"/>
        <w:gridCol w:w="1255"/>
        <w:gridCol w:w="1190"/>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509" w:type="pct"/>
            <w:vAlign w:val="center"/>
          </w:tcPr>
          <w:p>
            <w:pPr>
              <w:tabs>
                <w:tab w:val="left" w:pos="5580"/>
              </w:tabs>
              <w:jc w:val="center"/>
              <w:rPr>
                <w:rFonts w:ascii="宋体" w:hAnsi="宋体"/>
                <w:sz w:val="24"/>
              </w:rPr>
            </w:pPr>
            <w:r>
              <w:rPr>
                <w:rFonts w:hint="eastAsia" w:ascii="宋体" w:hAnsi="宋体"/>
                <w:sz w:val="24"/>
              </w:rPr>
              <w:t>包号</w:t>
            </w:r>
          </w:p>
        </w:tc>
        <w:tc>
          <w:tcPr>
            <w:tcW w:w="585" w:type="pct"/>
            <w:vAlign w:val="center"/>
          </w:tcPr>
          <w:p>
            <w:pPr>
              <w:tabs>
                <w:tab w:val="left" w:pos="5580"/>
              </w:tabs>
              <w:ind w:right="-199" w:firstLine="240"/>
              <w:rPr>
                <w:rFonts w:ascii="宋体" w:hAnsi="宋体"/>
                <w:sz w:val="24"/>
              </w:rPr>
            </w:pPr>
            <w:r>
              <w:rPr>
                <w:rFonts w:hint="eastAsia" w:ascii="宋体" w:hAnsi="宋体"/>
                <w:sz w:val="24"/>
              </w:rPr>
              <w:t>名称</w:t>
            </w:r>
          </w:p>
        </w:tc>
        <w:tc>
          <w:tcPr>
            <w:tcW w:w="1172" w:type="pct"/>
            <w:vAlign w:val="center"/>
          </w:tcPr>
          <w:p>
            <w:pPr>
              <w:tabs>
                <w:tab w:val="left" w:pos="5580"/>
              </w:tabs>
              <w:ind w:left="163" w:hanging="163"/>
              <w:jc w:val="center"/>
              <w:rPr>
                <w:rFonts w:ascii="宋体" w:hAnsi="宋体"/>
                <w:sz w:val="24"/>
              </w:rPr>
            </w:pPr>
            <w:r>
              <w:rPr>
                <w:rFonts w:hint="eastAsia" w:ascii="宋体" w:hAnsi="宋体"/>
                <w:sz w:val="24"/>
              </w:rPr>
              <w:t>响应报价</w:t>
            </w:r>
          </w:p>
        </w:tc>
        <w:tc>
          <w:tcPr>
            <w:tcW w:w="916" w:type="pct"/>
            <w:vAlign w:val="center"/>
          </w:tcPr>
          <w:p>
            <w:pPr>
              <w:tabs>
                <w:tab w:val="left" w:pos="5580"/>
              </w:tabs>
              <w:jc w:val="center"/>
              <w:rPr>
                <w:rFonts w:ascii="宋体" w:hAnsi="宋体"/>
                <w:sz w:val="24"/>
              </w:rPr>
            </w:pPr>
            <w:r>
              <w:rPr>
                <w:rFonts w:hint="eastAsia" w:ascii="宋体" w:hAnsi="宋体"/>
                <w:sz w:val="24"/>
              </w:rPr>
              <w:t>报价保证金</w:t>
            </w:r>
          </w:p>
        </w:tc>
        <w:tc>
          <w:tcPr>
            <w:tcW w:w="691" w:type="pct"/>
            <w:vAlign w:val="center"/>
          </w:tcPr>
          <w:p>
            <w:pPr>
              <w:tabs>
                <w:tab w:val="left" w:pos="5580"/>
              </w:tabs>
              <w:jc w:val="center"/>
              <w:rPr>
                <w:rFonts w:ascii="宋体" w:hAnsi="宋体"/>
                <w:sz w:val="24"/>
              </w:rPr>
            </w:pPr>
            <w:r>
              <w:rPr>
                <w:rFonts w:hint="eastAsia" w:ascii="宋体" w:hAnsi="宋体"/>
                <w:sz w:val="24"/>
              </w:rPr>
              <w:t>服务期限</w:t>
            </w:r>
          </w:p>
        </w:tc>
        <w:tc>
          <w:tcPr>
            <w:tcW w:w="655" w:type="pct"/>
            <w:vAlign w:val="center"/>
          </w:tcPr>
          <w:p>
            <w:pPr>
              <w:tabs>
                <w:tab w:val="left" w:pos="5580"/>
              </w:tabs>
              <w:jc w:val="center"/>
              <w:rPr>
                <w:rFonts w:ascii="宋体" w:hAnsi="宋体"/>
                <w:sz w:val="24"/>
              </w:rPr>
            </w:pPr>
            <w:r>
              <w:rPr>
                <w:rFonts w:hint="eastAsia" w:ascii="宋体" w:hAnsi="宋体"/>
                <w:sz w:val="24"/>
              </w:rPr>
              <w:t>服务地点</w:t>
            </w:r>
          </w:p>
        </w:tc>
        <w:tc>
          <w:tcPr>
            <w:tcW w:w="473" w:type="pct"/>
            <w:vAlign w:val="center"/>
          </w:tcPr>
          <w:p>
            <w:pPr>
              <w:tabs>
                <w:tab w:val="left" w:pos="5580"/>
              </w:tabs>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5" w:hRule="atLeast"/>
          <w:jc w:val="center"/>
        </w:trPr>
        <w:tc>
          <w:tcPr>
            <w:tcW w:w="509" w:type="pct"/>
            <w:vAlign w:val="center"/>
          </w:tcPr>
          <w:p>
            <w:pPr>
              <w:tabs>
                <w:tab w:val="left" w:pos="5580"/>
              </w:tabs>
              <w:ind w:left="-697"/>
              <w:jc w:val="center"/>
              <w:rPr>
                <w:rFonts w:ascii="宋体" w:hAnsi="宋体"/>
                <w:sz w:val="24"/>
              </w:rPr>
            </w:pPr>
          </w:p>
        </w:tc>
        <w:tc>
          <w:tcPr>
            <w:tcW w:w="585" w:type="pct"/>
            <w:vAlign w:val="center"/>
          </w:tcPr>
          <w:p>
            <w:pPr>
              <w:tabs>
                <w:tab w:val="left" w:pos="5580"/>
              </w:tabs>
              <w:ind w:left="-697"/>
              <w:jc w:val="center"/>
              <w:rPr>
                <w:rFonts w:ascii="宋体" w:hAnsi="宋体"/>
                <w:sz w:val="24"/>
              </w:rPr>
            </w:pPr>
          </w:p>
        </w:tc>
        <w:tc>
          <w:tcPr>
            <w:tcW w:w="1172" w:type="pct"/>
            <w:vAlign w:val="center"/>
          </w:tcPr>
          <w:p>
            <w:pPr>
              <w:tabs>
                <w:tab w:val="left" w:pos="5580"/>
              </w:tabs>
              <w:ind w:right="1200"/>
              <w:jc w:val="right"/>
              <w:rPr>
                <w:rFonts w:ascii="宋体" w:hAnsi="宋体"/>
                <w:sz w:val="24"/>
              </w:rPr>
            </w:pPr>
            <w:r>
              <w:rPr>
                <w:rFonts w:hint="eastAsia" w:ascii="宋体" w:hAnsi="宋体"/>
                <w:sz w:val="24"/>
              </w:rPr>
              <w:t>小写：</w:t>
            </w:r>
          </w:p>
          <w:p>
            <w:pPr>
              <w:tabs>
                <w:tab w:val="left" w:pos="5580"/>
              </w:tabs>
              <w:ind w:right="1200"/>
              <w:jc w:val="right"/>
              <w:rPr>
                <w:rFonts w:ascii="宋体" w:hAnsi="宋体"/>
                <w:sz w:val="24"/>
              </w:rPr>
            </w:pPr>
            <w:r>
              <w:rPr>
                <w:rFonts w:hint="eastAsia" w:ascii="宋体" w:hAnsi="宋体"/>
                <w:sz w:val="24"/>
              </w:rPr>
              <w:t>大写：</w:t>
            </w:r>
          </w:p>
        </w:tc>
        <w:tc>
          <w:tcPr>
            <w:tcW w:w="916" w:type="pct"/>
            <w:vAlign w:val="center"/>
          </w:tcPr>
          <w:p>
            <w:pPr>
              <w:tabs>
                <w:tab w:val="left" w:pos="5580"/>
              </w:tabs>
              <w:jc w:val="right"/>
              <w:rPr>
                <w:rFonts w:ascii="宋体" w:hAnsi="宋体"/>
                <w:sz w:val="24"/>
              </w:rPr>
            </w:pPr>
          </w:p>
        </w:tc>
        <w:tc>
          <w:tcPr>
            <w:tcW w:w="691" w:type="pct"/>
            <w:vAlign w:val="center"/>
          </w:tcPr>
          <w:p>
            <w:pPr>
              <w:tabs>
                <w:tab w:val="left" w:pos="5580"/>
              </w:tabs>
              <w:jc w:val="center"/>
              <w:rPr>
                <w:rFonts w:ascii="宋体" w:hAnsi="宋体"/>
                <w:sz w:val="24"/>
              </w:rPr>
            </w:pPr>
          </w:p>
        </w:tc>
        <w:tc>
          <w:tcPr>
            <w:tcW w:w="655" w:type="pct"/>
            <w:vAlign w:val="center"/>
          </w:tcPr>
          <w:p>
            <w:pPr>
              <w:tabs>
                <w:tab w:val="left" w:pos="5580"/>
              </w:tabs>
              <w:jc w:val="center"/>
              <w:rPr>
                <w:rFonts w:ascii="宋体" w:hAnsi="宋体"/>
                <w:sz w:val="24"/>
              </w:rPr>
            </w:pPr>
          </w:p>
        </w:tc>
        <w:tc>
          <w:tcPr>
            <w:tcW w:w="473" w:type="pct"/>
            <w:vAlign w:val="center"/>
          </w:tcPr>
          <w:p>
            <w:pPr>
              <w:tabs>
                <w:tab w:val="left" w:pos="5580"/>
              </w:tabs>
              <w:jc w:val="center"/>
              <w:rPr>
                <w:rFonts w:ascii="宋体" w:hAnsi="宋体"/>
                <w:sz w:val="24"/>
              </w:rPr>
            </w:pPr>
          </w:p>
        </w:tc>
      </w:tr>
    </w:tbl>
    <w:p>
      <w:pPr>
        <w:autoSpaceDE w:val="0"/>
        <w:autoSpaceDN w:val="0"/>
        <w:adjustRightInd w:val="0"/>
        <w:jc w:val="left"/>
        <w:rPr>
          <w:rFonts w:ascii="宋体" w:hAnsi="宋体"/>
          <w:color w:val="000000"/>
          <w:kern w:val="0"/>
          <w:sz w:val="24"/>
        </w:rPr>
      </w:pPr>
    </w:p>
    <w:p>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w:t>
      </w:r>
      <w:r>
        <w:rPr>
          <w:rFonts w:hint="eastAsia" w:ascii="宋体" w:hAnsi="宋体"/>
          <w:color w:val="000000"/>
          <w:sz w:val="24"/>
        </w:rPr>
        <w:t>响应</w:t>
      </w:r>
      <w:r>
        <w:rPr>
          <w:rFonts w:ascii="宋体" w:hAnsi="宋体"/>
          <w:color w:val="000000"/>
          <w:sz w:val="24"/>
        </w:rPr>
        <w:t>报价应和《</w:t>
      </w:r>
      <w:r>
        <w:rPr>
          <w:rFonts w:hint="eastAsia" w:ascii="宋体" w:hAnsi="宋体"/>
          <w:color w:val="000000"/>
          <w:sz w:val="24"/>
        </w:rPr>
        <w:t>响应</w:t>
      </w:r>
      <w:r>
        <w:rPr>
          <w:rFonts w:ascii="宋体" w:hAnsi="宋体"/>
          <w:color w:val="000000"/>
          <w:sz w:val="24"/>
        </w:rPr>
        <w:t>分项报价表》中的总价相一致。</w:t>
      </w:r>
    </w:p>
    <w:p>
      <w:pPr>
        <w:tabs>
          <w:tab w:val="left" w:pos="5580"/>
        </w:tabs>
        <w:spacing w:line="360" w:lineRule="auto"/>
        <w:ind w:firstLine="480" w:firstLineChars="200"/>
        <w:rPr>
          <w:rFonts w:ascii="宋体" w:hAnsi="宋体"/>
          <w:color w:val="000000"/>
          <w:sz w:val="24"/>
        </w:rPr>
      </w:pPr>
      <w:r>
        <w:rPr>
          <w:rFonts w:ascii="宋体" w:hAnsi="宋体"/>
          <w:color w:val="000000"/>
          <w:sz w:val="24"/>
        </w:rPr>
        <w:t>2.本表必须按包分别填写。</w:t>
      </w: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tabs>
          <w:tab w:val="left" w:pos="5580"/>
        </w:tabs>
        <w:spacing w:line="360" w:lineRule="auto"/>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bookmarkStart w:id="720" w:name="_Toc150480796"/>
      <w:bookmarkStart w:id="721" w:name="_Toc226337255"/>
      <w:bookmarkStart w:id="722" w:name="_Toc305158901"/>
      <w:bookmarkStart w:id="723" w:name="_Toc226309803"/>
      <w:bookmarkStart w:id="724" w:name="_Toc226965832"/>
      <w:bookmarkStart w:id="725" w:name="_Toc127151558"/>
      <w:bookmarkStart w:id="726" w:name="_Toc305158827"/>
      <w:bookmarkStart w:id="727" w:name="_Toc265228397"/>
      <w:bookmarkStart w:id="728" w:name="_Toc142311060"/>
      <w:bookmarkStart w:id="729" w:name="_Toc264969249"/>
      <w:bookmarkStart w:id="730" w:name="_Toc195842924"/>
      <w:bookmarkStart w:id="731" w:name="_Toc226965749"/>
      <w:bookmarkStart w:id="732" w:name="_Toc150774763"/>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4  </w:t>
      </w:r>
      <w:r>
        <w:rPr>
          <w:rFonts w:hint="eastAsia" w:ascii="宋体" w:hAnsi="宋体"/>
          <w:color w:val="000000"/>
          <w:sz w:val="24"/>
          <w:szCs w:val="20"/>
        </w:rPr>
        <w:t>响应</w:t>
      </w:r>
      <w:r>
        <w:rPr>
          <w:rFonts w:ascii="宋体" w:hAnsi="宋体"/>
          <w:color w:val="000000"/>
          <w:sz w:val="24"/>
          <w:szCs w:val="20"/>
        </w:rPr>
        <w:t>分项报价表</w:t>
      </w:r>
      <w:bookmarkEnd w:id="720"/>
      <w:bookmarkEnd w:id="721"/>
      <w:bookmarkEnd w:id="722"/>
      <w:bookmarkEnd w:id="723"/>
      <w:bookmarkEnd w:id="724"/>
      <w:bookmarkEnd w:id="725"/>
      <w:bookmarkEnd w:id="726"/>
      <w:bookmarkEnd w:id="727"/>
      <w:bookmarkEnd w:id="728"/>
      <w:bookmarkEnd w:id="729"/>
      <w:bookmarkEnd w:id="730"/>
      <w:bookmarkEnd w:id="731"/>
      <w:bookmarkEnd w:id="732"/>
    </w:p>
    <w:p>
      <w:pPr>
        <w:spacing w:line="360" w:lineRule="exact"/>
        <w:jc w:val="center"/>
        <w:rPr>
          <w:rFonts w:ascii="宋体" w:hAnsi="宋体"/>
          <w:color w:val="000000"/>
          <w:sz w:val="36"/>
          <w:szCs w:val="36"/>
        </w:rPr>
      </w:pPr>
    </w:p>
    <w:p>
      <w:pPr>
        <w:spacing w:line="360" w:lineRule="exact"/>
        <w:jc w:val="center"/>
        <w:rPr>
          <w:rFonts w:ascii="宋体" w:hAnsi="宋体"/>
          <w:b/>
          <w:color w:val="000000"/>
          <w:sz w:val="36"/>
          <w:szCs w:val="36"/>
        </w:rPr>
      </w:pPr>
      <w:r>
        <w:rPr>
          <w:rFonts w:hint="eastAsia" w:ascii="宋体" w:hAnsi="宋体"/>
          <w:b/>
          <w:color w:val="000000"/>
          <w:sz w:val="36"/>
          <w:szCs w:val="36"/>
        </w:rPr>
        <w:t>响应分项报价表</w:t>
      </w:r>
    </w:p>
    <w:p>
      <w:pPr>
        <w:spacing w:line="260" w:lineRule="exact"/>
        <w:jc w:val="center"/>
        <w:rPr>
          <w:rFonts w:ascii="宋体" w:hAnsi="宋体"/>
          <w:color w:val="000000"/>
          <w:sz w:val="36"/>
          <w:szCs w:val="36"/>
        </w:rPr>
      </w:pPr>
    </w:p>
    <w:p>
      <w:pPr>
        <w:tabs>
          <w:tab w:val="left" w:pos="1800"/>
          <w:tab w:val="left" w:pos="5580"/>
        </w:tabs>
        <w:rPr>
          <w:color w:val="000000"/>
          <w:sz w:val="24"/>
        </w:rPr>
      </w:pPr>
      <w:r>
        <w:rPr>
          <w:color w:val="000000"/>
          <w:sz w:val="24"/>
        </w:rPr>
        <w:t>项目编号/包号：________ 项目名称：__________报价单位：人民币元</w:t>
      </w:r>
    </w:p>
    <w:tbl>
      <w:tblPr>
        <w:tblStyle w:val="40"/>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pPr>
              <w:adjustRightInd w:val="0"/>
              <w:snapToGrid w:val="0"/>
              <w:jc w:val="left"/>
              <w:rPr>
                <w:b/>
                <w:color w:val="000000"/>
                <w:sz w:val="24"/>
              </w:rPr>
            </w:pPr>
            <w:r>
              <w:rPr>
                <w:b/>
                <w:color w:val="000000"/>
                <w:sz w:val="24"/>
              </w:rPr>
              <w:t>序号</w:t>
            </w:r>
          </w:p>
        </w:tc>
        <w:tc>
          <w:tcPr>
            <w:tcW w:w="1847" w:type="pct"/>
            <w:vAlign w:val="center"/>
          </w:tcPr>
          <w:p>
            <w:pPr>
              <w:adjustRightInd w:val="0"/>
              <w:snapToGrid w:val="0"/>
              <w:jc w:val="left"/>
              <w:rPr>
                <w:b/>
                <w:color w:val="000000"/>
                <w:sz w:val="24"/>
              </w:rPr>
            </w:pPr>
            <w:r>
              <w:rPr>
                <w:b/>
                <w:color w:val="000000"/>
                <w:sz w:val="24"/>
              </w:rPr>
              <w:t>分项名称</w:t>
            </w:r>
          </w:p>
        </w:tc>
        <w:tc>
          <w:tcPr>
            <w:tcW w:w="848" w:type="pct"/>
            <w:vAlign w:val="center"/>
          </w:tcPr>
          <w:p>
            <w:pPr>
              <w:adjustRightInd w:val="0"/>
              <w:snapToGrid w:val="0"/>
              <w:jc w:val="left"/>
              <w:rPr>
                <w:b/>
                <w:color w:val="000000"/>
                <w:sz w:val="24"/>
              </w:rPr>
            </w:pPr>
            <w:r>
              <w:rPr>
                <w:b/>
                <w:color w:val="000000"/>
                <w:sz w:val="24"/>
              </w:rPr>
              <w:t>单价（元）</w:t>
            </w:r>
          </w:p>
        </w:tc>
        <w:tc>
          <w:tcPr>
            <w:tcW w:w="847" w:type="pct"/>
            <w:vAlign w:val="center"/>
          </w:tcPr>
          <w:p>
            <w:pPr>
              <w:adjustRightInd w:val="0"/>
              <w:snapToGrid w:val="0"/>
              <w:jc w:val="left"/>
              <w:rPr>
                <w:b/>
                <w:color w:val="000000"/>
                <w:sz w:val="24"/>
              </w:rPr>
            </w:pPr>
            <w:r>
              <w:rPr>
                <w:b/>
                <w:color w:val="000000"/>
                <w:sz w:val="24"/>
              </w:rPr>
              <w:t>合价（元）</w:t>
            </w:r>
          </w:p>
        </w:tc>
        <w:tc>
          <w:tcPr>
            <w:tcW w:w="1076" w:type="pct"/>
            <w:vAlign w:val="center"/>
          </w:tcPr>
          <w:p>
            <w:pPr>
              <w:adjustRightInd w:val="0"/>
              <w:snapToGrid w:val="0"/>
              <w:jc w:val="left"/>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pPr>
              <w:adjustRightInd w:val="0"/>
              <w:snapToGrid w:val="0"/>
              <w:jc w:val="center"/>
              <w:rPr>
                <w:color w:val="000000"/>
                <w:sz w:val="24"/>
              </w:rPr>
            </w:pPr>
            <w:r>
              <w:rPr>
                <w:color w:val="000000"/>
                <w:sz w:val="24"/>
              </w:rPr>
              <w:t>1</w:t>
            </w:r>
          </w:p>
        </w:tc>
        <w:tc>
          <w:tcPr>
            <w:tcW w:w="1847" w:type="pct"/>
            <w:vAlign w:val="center"/>
          </w:tcPr>
          <w:p>
            <w:pPr>
              <w:adjustRightInd w:val="0"/>
              <w:snapToGrid w:val="0"/>
              <w:jc w:val="left"/>
              <w:rPr>
                <w:color w:val="000000"/>
                <w:sz w:val="24"/>
              </w:rPr>
            </w:pPr>
          </w:p>
        </w:tc>
        <w:tc>
          <w:tcPr>
            <w:tcW w:w="848" w:type="pct"/>
            <w:vAlign w:val="center"/>
          </w:tcPr>
          <w:p>
            <w:pPr>
              <w:adjustRightInd w:val="0"/>
              <w:snapToGrid w:val="0"/>
              <w:jc w:val="left"/>
              <w:rPr>
                <w:color w:val="000000"/>
                <w:sz w:val="24"/>
              </w:rPr>
            </w:pPr>
          </w:p>
        </w:tc>
        <w:tc>
          <w:tcPr>
            <w:tcW w:w="847" w:type="pct"/>
            <w:vAlign w:val="center"/>
          </w:tcPr>
          <w:p>
            <w:pPr>
              <w:adjustRightInd w:val="0"/>
              <w:snapToGrid w:val="0"/>
              <w:jc w:val="left"/>
              <w:rPr>
                <w:color w:val="000000"/>
                <w:sz w:val="24"/>
              </w:rPr>
            </w:pPr>
          </w:p>
        </w:tc>
        <w:tc>
          <w:tcPr>
            <w:tcW w:w="1076"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pPr>
              <w:adjustRightInd w:val="0"/>
              <w:snapToGrid w:val="0"/>
              <w:jc w:val="center"/>
              <w:rPr>
                <w:color w:val="000000"/>
                <w:sz w:val="24"/>
              </w:rPr>
            </w:pPr>
            <w:r>
              <w:rPr>
                <w:color w:val="000000"/>
                <w:sz w:val="24"/>
              </w:rPr>
              <w:t>2</w:t>
            </w:r>
          </w:p>
        </w:tc>
        <w:tc>
          <w:tcPr>
            <w:tcW w:w="1847" w:type="pct"/>
            <w:vAlign w:val="center"/>
          </w:tcPr>
          <w:p>
            <w:pPr>
              <w:adjustRightInd w:val="0"/>
              <w:snapToGrid w:val="0"/>
              <w:jc w:val="left"/>
              <w:rPr>
                <w:color w:val="000000"/>
                <w:sz w:val="24"/>
              </w:rPr>
            </w:pPr>
          </w:p>
        </w:tc>
        <w:tc>
          <w:tcPr>
            <w:tcW w:w="848" w:type="pct"/>
            <w:vAlign w:val="center"/>
          </w:tcPr>
          <w:p>
            <w:pPr>
              <w:adjustRightInd w:val="0"/>
              <w:snapToGrid w:val="0"/>
              <w:jc w:val="left"/>
              <w:rPr>
                <w:color w:val="000000"/>
                <w:sz w:val="24"/>
              </w:rPr>
            </w:pPr>
          </w:p>
        </w:tc>
        <w:tc>
          <w:tcPr>
            <w:tcW w:w="847" w:type="pct"/>
            <w:vAlign w:val="center"/>
          </w:tcPr>
          <w:p>
            <w:pPr>
              <w:adjustRightInd w:val="0"/>
              <w:snapToGrid w:val="0"/>
              <w:jc w:val="left"/>
              <w:rPr>
                <w:color w:val="000000"/>
                <w:sz w:val="24"/>
              </w:rPr>
            </w:pPr>
          </w:p>
        </w:tc>
        <w:tc>
          <w:tcPr>
            <w:tcW w:w="1076"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pPr>
              <w:adjustRightInd w:val="0"/>
              <w:snapToGrid w:val="0"/>
              <w:jc w:val="center"/>
              <w:rPr>
                <w:color w:val="000000"/>
                <w:sz w:val="24"/>
              </w:rPr>
            </w:pPr>
            <w:r>
              <w:rPr>
                <w:color w:val="000000"/>
                <w:sz w:val="24"/>
              </w:rPr>
              <w:t>3</w:t>
            </w:r>
          </w:p>
        </w:tc>
        <w:tc>
          <w:tcPr>
            <w:tcW w:w="1847" w:type="pct"/>
            <w:vAlign w:val="center"/>
          </w:tcPr>
          <w:p>
            <w:pPr>
              <w:adjustRightInd w:val="0"/>
              <w:snapToGrid w:val="0"/>
              <w:jc w:val="left"/>
              <w:rPr>
                <w:color w:val="000000"/>
                <w:sz w:val="24"/>
              </w:rPr>
            </w:pPr>
            <w:r>
              <w:rPr>
                <w:color w:val="000000"/>
                <w:sz w:val="24"/>
              </w:rPr>
              <w:t>…</w:t>
            </w:r>
          </w:p>
        </w:tc>
        <w:tc>
          <w:tcPr>
            <w:tcW w:w="848" w:type="pct"/>
            <w:vAlign w:val="center"/>
          </w:tcPr>
          <w:p>
            <w:pPr>
              <w:adjustRightInd w:val="0"/>
              <w:snapToGrid w:val="0"/>
              <w:jc w:val="left"/>
              <w:rPr>
                <w:color w:val="000000"/>
                <w:sz w:val="24"/>
              </w:rPr>
            </w:pPr>
          </w:p>
        </w:tc>
        <w:tc>
          <w:tcPr>
            <w:tcW w:w="847" w:type="pct"/>
            <w:vAlign w:val="center"/>
          </w:tcPr>
          <w:p>
            <w:pPr>
              <w:adjustRightInd w:val="0"/>
              <w:snapToGrid w:val="0"/>
              <w:jc w:val="left"/>
              <w:rPr>
                <w:color w:val="000000"/>
                <w:sz w:val="24"/>
              </w:rPr>
            </w:pPr>
          </w:p>
        </w:tc>
        <w:tc>
          <w:tcPr>
            <w:tcW w:w="1076"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pPr>
              <w:adjustRightInd w:val="0"/>
              <w:snapToGrid w:val="0"/>
              <w:jc w:val="right"/>
              <w:rPr>
                <w:b/>
                <w:color w:val="000000"/>
                <w:sz w:val="24"/>
              </w:rPr>
            </w:pPr>
            <w:r>
              <w:rPr>
                <w:b/>
                <w:color w:val="000000"/>
                <w:sz w:val="24"/>
              </w:rPr>
              <w:t>总价（元）</w:t>
            </w:r>
          </w:p>
        </w:tc>
        <w:tc>
          <w:tcPr>
            <w:tcW w:w="847" w:type="pct"/>
            <w:vAlign w:val="center"/>
          </w:tcPr>
          <w:p>
            <w:pPr>
              <w:adjustRightInd w:val="0"/>
              <w:snapToGrid w:val="0"/>
              <w:jc w:val="left"/>
              <w:rPr>
                <w:color w:val="000000"/>
                <w:sz w:val="24"/>
              </w:rPr>
            </w:pPr>
          </w:p>
        </w:tc>
        <w:tc>
          <w:tcPr>
            <w:tcW w:w="1076" w:type="pct"/>
            <w:vAlign w:val="center"/>
          </w:tcPr>
          <w:p>
            <w:pPr>
              <w:adjustRightInd w:val="0"/>
              <w:snapToGrid w:val="0"/>
              <w:jc w:val="left"/>
              <w:rPr>
                <w:color w:val="000000"/>
                <w:sz w:val="24"/>
              </w:rPr>
            </w:pPr>
          </w:p>
        </w:tc>
      </w:tr>
    </w:tbl>
    <w:p>
      <w:pPr>
        <w:pStyle w:val="6"/>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rPr>
        <w:t>比选文件</w:t>
      </w:r>
      <w:r>
        <w:rPr>
          <w:color w:val="000000"/>
          <w:sz w:val="24"/>
        </w:rPr>
        <w:t>。</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pStyle w:val="39"/>
        <w:ind w:left="0" w:leftChars="0" w:firstLine="480"/>
      </w:pPr>
      <w:r>
        <w:rPr>
          <w:rFonts w:hint="eastAsia"/>
          <w:color w:val="000000"/>
          <w:sz w:val="24"/>
        </w:rPr>
        <w:t>4.</w:t>
      </w:r>
      <w:r>
        <w:rPr>
          <w:rFonts w:hint="eastAsia" w:hAnsi="宋体"/>
          <w:kern w:val="0"/>
          <w:sz w:val="24"/>
          <w:szCs w:val="21"/>
        </w:rPr>
        <w:t>报价应包含但不限于人员工资（人员工资需满足京人社劳发〔2021〕77号《关于调整北京市2021年最低工资标准的通知》的要求，如实施期间人社部门标准更新，以实施时的最新标准为准）、社保、津贴、加班工资、服装、福利、经营成本、企业利润、税费等相关费用。</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pStyle w:val="23"/>
        <w:spacing w:line="360" w:lineRule="auto"/>
        <w:ind w:firstLine="482"/>
        <w:rPr>
          <w:rFonts w:hint="default" w:hAnsi="宋体"/>
          <w:color w:val="000000"/>
          <w:sz w:val="24"/>
        </w:rPr>
      </w:pPr>
      <w:r>
        <w:rPr>
          <w:rFonts w:hAnsi="宋体"/>
          <w:color w:val="000000"/>
          <w:sz w:val="24"/>
        </w:rPr>
        <w:br w:type="page"/>
      </w:r>
    </w:p>
    <w:p>
      <w:pPr>
        <w:spacing w:line="360" w:lineRule="auto"/>
        <w:outlineLvl w:val="2"/>
        <w:rPr>
          <w:rFonts w:ascii="宋体" w:hAnsi="宋体"/>
          <w:color w:val="000000"/>
          <w:sz w:val="24"/>
          <w:szCs w:val="20"/>
        </w:rPr>
      </w:pPr>
      <w:bookmarkStart w:id="733" w:name="_Toc264969252"/>
      <w:bookmarkStart w:id="734" w:name="_Toc305158830"/>
      <w:bookmarkStart w:id="735" w:name="_Toc195842927"/>
      <w:bookmarkStart w:id="736" w:name="_Toc142311062"/>
      <w:bookmarkStart w:id="737" w:name="_Toc265228400"/>
      <w:bookmarkStart w:id="738" w:name="_Toc305158904"/>
      <w:bookmarkStart w:id="739" w:name="_Toc226309806"/>
      <w:bookmarkStart w:id="740" w:name="_Toc150480798"/>
      <w:bookmarkStart w:id="741" w:name="_Toc226965752"/>
      <w:bookmarkStart w:id="742" w:name="_Toc226965835"/>
      <w:bookmarkStart w:id="743" w:name="_Toc150774765"/>
      <w:bookmarkStart w:id="744" w:name="_Toc127151562"/>
      <w:bookmarkStart w:id="745" w:name="_Toc226337258"/>
      <w:bookmarkStart w:id="746" w:name="_Toc264969251"/>
      <w:bookmarkStart w:id="747" w:name="_Toc150480797"/>
      <w:bookmarkStart w:id="748" w:name="_Toc142311061"/>
      <w:bookmarkStart w:id="749" w:name="_Toc265228399"/>
      <w:bookmarkStart w:id="750" w:name="_Toc226965834"/>
      <w:bookmarkStart w:id="751" w:name="_Toc195842926"/>
      <w:bookmarkStart w:id="752" w:name="_Toc226337257"/>
      <w:bookmarkStart w:id="753" w:name="_Toc226309805"/>
      <w:bookmarkStart w:id="754" w:name="_Toc226965751"/>
      <w:bookmarkStart w:id="755" w:name="_Toc150774764"/>
      <w:bookmarkStart w:id="756" w:name="_Toc305158829"/>
      <w:bookmarkStart w:id="757" w:name="_Toc305158903"/>
      <w:bookmarkStart w:id="758" w:name="_Toc127151561"/>
      <w:r>
        <w:rPr>
          <w:rFonts w:hint="eastAsia" w:ascii="宋体" w:hAnsi="宋体"/>
          <w:color w:val="000000"/>
          <w:sz w:val="24"/>
          <w:szCs w:val="20"/>
        </w:rPr>
        <w:t>5</w:t>
      </w:r>
      <w:r>
        <w:rPr>
          <w:rFonts w:ascii="宋体" w:hAnsi="宋体"/>
          <w:color w:val="000000"/>
          <w:sz w:val="24"/>
          <w:szCs w:val="20"/>
        </w:rPr>
        <w:t xml:space="preserve">  合同条款偏离表</w:t>
      </w:r>
      <w:bookmarkEnd w:id="733"/>
      <w:bookmarkEnd w:id="734"/>
      <w:bookmarkEnd w:id="735"/>
      <w:bookmarkEnd w:id="736"/>
      <w:bookmarkEnd w:id="737"/>
      <w:bookmarkEnd w:id="738"/>
      <w:bookmarkEnd w:id="739"/>
      <w:bookmarkEnd w:id="740"/>
      <w:bookmarkEnd w:id="741"/>
      <w:bookmarkEnd w:id="742"/>
      <w:bookmarkEnd w:id="743"/>
      <w:bookmarkEnd w:id="744"/>
      <w:bookmarkEnd w:id="745"/>
      <w:r>
        <w:rPr>
          <w:rFonts w:ascii="宋体" w:hAnsi="宋体"/>
          <w:color w:val="000000"/>
          <w:sz w:val="24"/>
          <w:szCs w:val="20"/>
        </w:rPr>
        <w:t>（实质性格式）</w:t>
      </w:r>
    </w:p>
    <w:p>
      <w:pPr>
        <w:spacing w:line="360" w:lineRule="auto"/>
        <w:rPr>
          <w:rFonts w:ascii="宋体" w:hAnsi="宋体"/>
          <w:color w:val="000000"/>
          <w:sz w:val="24"/>
          <w:szCs w:val="20"/>
        </w:rPr>
      </w:pPr>
    </w:p>
    <w:p>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合同条款偏离表</w:t>
      </w:r>
    </w:p>
    <w:p>
      <w:pPr>
        <w:spacing w:line="360" w:lineRule="auto"/>
        <w:rPr>
          <w:rFonts w:ascii="宋体" w:hAnsi="宋体"/>
          <w:color w:val="000000"/>
          <w:sz w:val="24"/>
          <w:szCs w:val="20"/>
        </w:rPr>
      </w:pP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ascii="宋体" w:hAnsi="宋体"/>
                <w:b/>
                <w:color w:val="000000"/>
                <w:sz w:val="24"/>
              </w:rPr>
              <w:t>合同条款的偏离情况（请进行勾选）：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条目号（页码）</w:t>
            </w:r>
          </w:p>
        </w:tc>
        <w:tc>
          <w:tcPr>
            <w:tcW w:w="2007"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要求</w:t>
            </w:r>
          </w:p>
        </w:tc>
        <w:tc>
          <w:tcPr>
            <w:tcW w:w="2008" w:type="dxa"/>
            <w:vAlign w:val="center"/>
          </w:tcPr>
          <w:p>
            <w:pPr>
              <w:adjustRightInd w:val="0"/>
              <w:snapToGrid w:val="0"/>
              <w:jc w:val="center"/>
              <w:rPr>
                <w:rFonts w:ascii="宋体" w:hAnsi="宋体"/>
                <w:color w:val="000000"/>
                <w:sz w:val="24"/>
              </w:rPr>
            </w:pPr>
            <w:r>
              <w:rPr>
                <w:rFonts w:hint="eastAsia" w:ascii="宋体" w:hAnsi="宋体"/>
                <w:color w:val="000000"/>
                <w:sz w:val="24"/>
              </w:rPr>
              <w:t>响应文件</w:t>
            </w:r>
            <w:r>
              <w:rPr>
                <w:rFonts w:ascii="宋体" w:hAnsi="宋体"/>
                <w:color w:val="000000"/>
                <w:sz w:val="24"/>
              </w:rPr>
              <w:t>内容</w:t>
            </w:r>
          </w:p>
        </w:tc>
        <w:tc>
          <w:tcPr>
            <w:tcW w:w="2458"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jc w:val="left"/>
        <w:rPr>
          <w:rFonts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pPr>
        <w:tabs>
          <w:tab w:val="left" w:pos="1800"/>
          <w:tab w:val="left" w:pos="5580"/>
        </w:tabs>
        <w:jc w:val="left"/>
        <w:rPr>
          <w:rFonts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w:t>
      </w:r>
    </w:p>
    <w:p>
      <w:pPr>
        <w:spacing w:line="360" w:lineRule="auto"/>
        <w:rPr>
          <w:rFonts w:ascii="宋体" w:hAnsi="宋体"/>
          <w:color w:val="000000"/>
          <w:sz w:val="24"/>
          <w:szCs w:val="20"/>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6</w:t>
      </w:r>
      <w:r>
        <w:rPr>
          <w:rFonts w:ascii="宋体" w:hAnsi="宋体"/>
          <w:color w:val="000000"/>
          <w:sz w:val="24"/>
          <w:szCs w:val="20"/>
        </w:rPr>
        <w:t xml:space="preserve">  </w:t>
      </w:r>
      <w:bookmarkEnd w:id="746"/>
      <w:bookmarkEnd w:id="747"/>
      <w:bookmarkEnd w:id="748"/>
      <w:bookmarkEnd w:id="749"/>
      <w:bookmarkEnd w:id="750"/>
      <w:bookmarkEnd w:id="751"/>
      <w:bookmarkEnd w:id="752"/>
      <w:bookmarkEnd w:id="753"/>
      <w:bookmarkEnd w:id="754"/>
      <w:bookmarkEnd w:id="755"/>
      <w:bookmarkEnd w:id="756"/>
      <w:bookmarkEnd w:id="757"/>
      <w:bookmarkEnd w:id="758"/>
      <w:r>
        <w:rPr>
          <w:rFonts w:ascii="宋体" w:hAnsi="宋体"/>
          <w:color w:val="000000"/>
          <w:sz w:val="24"/>
          <w:szCs w:val="20"/>
        </w:rPr>
        <w:t>采购需求偏离表（实质性格式）</w:t>
      </w: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pPr>
        <w:tabs>
          <w:tab w:val="left" w:pos="1800"/>
          <w:tab w:val="left" w:pos="5580"/>
        </w:tabs>
        <w:spacing w:line="360" w:lineRule="auto"/>
        <w:ind w:firstLine="360" w:firstLineChars="15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hint="eastAsia" w:ascii="宋体" w:hAnsi="宋体"/>
                <w:b/>
                <w:color w:val="000000"/>
                <w:sz w:val="24"/>
                <w:lang w:val="en-US" w:eastAsia="zh-CN"/>
              </w:rPr>
              <w:t>第四章采购需求</w:t>
            </w:r>
            <w:r>
              <w:rPr>
                <w:rFonts w:ascii="宋体" w:hAnsi="宋体"/>
                <w:b/>
                <w:color w:val="000000"/>
                <w:sz w:val="24"/>
              </w:rPr>
              <w:t>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jc w:val="both"/>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条目号(页码)</w:t>
            </w:r>
          </w:p>
        </w:tc>
        <w:tc>
          <w:tcPr>
            <w:tcW w:w="2384"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要求</w:t>
            </w:r>
          </w:p>
        </w:tc>
        <w:tc>
          <w:tcPr>
            <w:tcW w:w="2126" w:type="dxa"/>
            <w:vAlign w:val="center"/>
          </w:tcPr>
          <w:p>
            <w:pPr>
              <w:adjustRightInd w:val="0"/>
              <w:snapToGrid w:val="0"/>
              <w:jc w:val="center"/>
              <w:rPr>
                <w:rFonts w:ascii="宋体" w:hAnsi="宋体"/>
                <w:color w:val="000000"/>
                <w:sz w:val="24"/>
              </w:rPr>
            </w:pPr>
            <w:r>
              <w:rPr>
                <w:rFonts w:ascii="宋体" w:hAnsi="宋体"/>
                <w:color w:val="000000"/>
                <w:sz w:val="24"/>
              </w:rPr>
              <w:t>响应内容</w:t>
            </w:r>
          </w:p>
        </w:tc>
        <w:tc>
          <w:tcPr>
            <w:tcW w:w="1875"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spacing w:line="360" w:lineRule="auto"/>
        <w:jc w:val="left"/>
        <w:rPr>
          <w:rFonts w:ascii="宋体" w:hAnsi="宋体"/>
          <w:sz w:val="24"/>
        </w:rPr>
      </w:pPr>
      <w:r>
        <w:rPr>
          <w:rFonts w:hint="eastAsia" w:ascii="宋体" w:hAnsi="宋体"/>
          <w:color w:val="000000"/>
          <w:sz w:val="24"/>
        </w:rPr>
        <w:t>1</w:t>
      </w:r>
      <w:r>
        <w:rPr>
          <w:rFonts w:ascii="宋体" w:hAnsi="宋体"/>
          <w:color w:val="000000"/>
          <w:sz w:val="24"/>
        </w:rPr>
        <w:t>.</w:t>
      </w:r>
      <w:r>
        <w:rPr>
          <w:rFonts w:ascii="宋体" w:hAnsi="宋体"/>
          <w:sz w:val="24"/>
        </w:rPr>
        <w:t>对</w:t>
      </w:r>
      <w:r>
        <w:rPr>
          <w:rFonts w:hint="eastAsia" w:ascii="宋体" w:hAnsi="宋体"/>
          <w:sz w:val="24"/>
        </w:rPr>
        <w:t>比选文件</w:t>
      </w:r>
      <w:r>
        <w:rPr>
          <w:rFonts w:ascii="宋体" w:hAnsi="宋体"/>
          <w:sz w:val="24"/>
        </w:rPr>
        <w:t>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响应无效。</w:t>
      </w:r>
    </w:p>
    <w:p>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hint="eastAsia" w:ascii="宋体" w:hAnsi="宋体"/>
          <w:sz w:val="24"/>
        </w:rPr>
        <w:t>供应商的技术偏差必须如实填写，并应对偏差情况做出必要说明。供应商应对故意隐瞒技术偏差的行为承担责任。对比选文件有任何偏离应在“偏离情况”列明“正偏离”或“负偏离”， 对比选文件无偏离应标明“响应”。</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7</w:t>
      </w:r>
      <w:r>
        <w:rPr>
          <w:rFonts w:ascii="宋体" w:hAnsi="宋体"/>
          <w:color w:val="000000"/>
          <w:sz w:val="24"/>
          <w:szCs w:val="20"/>
        </w:rPr>
        <w:t xml:space="preserve">  中小企业声明函</w:t>
      </w:r>
    </w:p>
    <w:p>
      <w:pPr>
        <w:tabs>
          <w:tab w:val="left" w:pos="5580"/>
        </w:tabs>
        <w:spacing w:line="360" w:lineRule="auto"/>
        <w:rPr>
          <w:rFonts w:ascii="宋体" w:hAnsi="宋体"/>
          <w:sz w:val="24"/>
        </w:rPr>
      </w:pPr>
      <w:r>
        <w:rPr>
          <w:rFonts w:hint="eastAsia" w:ascii="宋体" w:hAnsi="宋体"/>
          <w:sz w:val="24"/>
        </w:rPr>
        <w:t>说明：</w:t>
      </w:r>
    </w:p>
    <w:p>
      <w:pPr>
        <w:tabs>
          <w:tab w:val="left" w:pos="5580"/>
        </w:tabs>
        <w:spacing w:line="360" w:lineRule="auto"/>
        <w:rPr>
          <w:rFonts w:ascii="宋体" w:hAnsi="宋体"/>
          <w:sz w:val="24"/>
        </w:rPr>
      </w:pPr>
      <w:r>
        <w:rPr>
          <w:rFonts w:hint="eastAsia" w:ascii="宋体" w:hAnsi="宋体"/>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宋体" w:hAnsi="宋体"/>
          <w:sz w:val="24"/>
        </w:rPr>
      </w:pPr>
      <w:r>
        <w:rPr>
          <w:rFonts w:hint="eastAsia" w:ascii="宋体" w:hAnsi="宋体"/>
          <w:sz w:val="24"/>
        </w:rPr>
        <w:t>3）对于多标的的采购项目，供应商应充分、准确地了解所投产品制造企业信息。对相关情况了解不清楚的，不建议填报本声明函。</w:t>
      </w:r>
    </w:p>
    <w:p>
      <w:pPr>
        <w:tabs>
          <w:tab w:val="left" w:pos="5580"/>
        </w:tabs>
        <w:spacing w:line="360" w:lineRule="auto"/>
        <w:rPr>
          <w:rFonts w:ascii="宋体" w:hAnsi="宋体"/>
          <w:sz w:val="24"/>
        </w:rPr>
      </w:pPr>
      <w:r>
        <w:rPr>
          <w:rFonts w:hint="eastAsia" w:ascii="宋体" w:hAnsi="宋体"/>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tabs>
          <w:tab w:val="left" w:pos="5580"/>
        </w:tabs>
        <w:spacing w:line="360" w:lineRule="auto"/>
        <w:rPr>
          <w:rFonts w:ascii="宋体" w:hAnsi="宋体"/>
          <w:sz w:val="24"/>
        </w:rPr>
      </w:pPr>
      <w:r>
        <w:rPr>
          <w:rFonts w:hint="eastAsia" w:ascii="宋体" w:hAnsi="宋体"/>
          <w:sz w:val="24"/>
        </w:rPr>
        <w:t>5）后附《中小企业划型标准规定》</w:t>
      </w:r>
    </w:p>
    <w:p>
      <w:pPr>
        <w:widowControl/>
        <w:jc w:val="left"/>
        <w:rPr>
          <w:rFonts w:ascii="宋体" w:hAnsi="宋体"/>
          <w:b/>
          <w:bCs/>
          <w:color w:val="000000"/>
          <w:sz w:val="24"/>
        </w:rPr>
      </w:pPr>
      <w:r>
        <w:rPr>
          <w:rFonts w:ascii="宋体" w:hAnsi="宋体"/>
          <w:b/>
          <w:bCs/>
          <w:color w:val="000000"/>
          <w:sz w:val="24"/>
        </w:rPr>
        <w:br w:type="page"/>
      </w:r>
    </w:p>
    <w:p>
      <w:pPr>
        <w:spacing w:before="240" w:beforeLines="100" w:after="240" w:afterLines="100"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46"/>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pPr>
        <w:numPr>
          <w:ilvl w:val="0"/>
          <w:numId w:val="46"/>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adjustRightInd w:val="0"/>
        <w:snapToGrid w:val="0"/>
        <w:jc w:val="left"/>
        <w:rPr>
          <w:rFonts w:ascii="宋体" w:hAnsi="宋体"/>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djustRightInd w:val="0"/>
        <w:snapToGrid w:val="0"/>
        <w:jc w:val="left"/>
        <w:rPr>
          <w:rFonts w:ascii="宋体" w:hAnsi="宋体"/>
          <w:color w:val="000000"/>
          <w:szCs w:val="21"/>
          <w:vertAlign w:val="superscript"/>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p>
      <w:pPr>
        <w:spacing w:line="360" w:lineRule="auto"/>
        <w:outlineLvl w:val="2"/>
        <w:rPr>
          <w:rFonts w:ascii="宋体" w:hAnsi="宋体"/>
          <w:color w:val="000000"/>
          <w:sz w:val="24"/>
          <w:szCs w:val="20"/>
        </w:rPr>
      </w:pPr>
      <w:r>
        <w:rPr>
          <w:rFonts w:ascii="宋体" w:hAnsi="宋体"/>
          <w:color w:val="000000"/>
          <w:sz w:val="24"/>
          <w:szCs w:val="20"/>
        </w:rPr>
        <w:br w:type="page"/>
      </w:r>
    </w:p>
    <w:p>
      <w:pPr>
        <w:spacing w:before="240" w:beforeLines="100" w:after="240" w:afterLines="100" w:line="360" w:lineRule="auto"/>
        <w:jc w:val="center"/>
        <w:rPr>
          <w:rFonts w:ascii="宋体" w:hAnsi="宋体"/>
          <w:color w:val="000000"/>
          <w:sz w:val="36"/>
          <w:szCs w:val="36"/>
        </w:rPr>
      </w:pPr>
      <w:r>
        <w:rPr>
          <w:rFonts w:ascii="宋体" w:hAnsi="宋体"/>
          <w:b/>
          <w:bCs/>
          <w:color w:val="000000"/>
          <w:sz w:val="36"/>
          <w:szCs w:val="36"/>
        </w:rPr>
        <w:t>残疾人福利性单位声明函格式</w:t>
      </w:r>
      <w:r>
        <w:rPr>
          <w:rFonts w:ascii="宋体" w:hAnsi="宋体"/>
          <w:color w:val="000000"/>
          <w:sz w:val="36"/>
          <w:szCs w:val="36"/>
        </w:rPr>
        <w:t xml:space="preserve"> </w:t>
      </w:r>
    </w:p>
    <w:p>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spacing w:val="6"/>
          <w:sz w:val="24"/>
        </w:rPr>
      </w:pPr>
      <w:r>
        <w:rPr>
          <w:rFonts w:ascii="宋体" w:hAnsi="宋体"/>
          <w:b/>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单位名称（盖章）：</w:t>
      </w: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日  期：</w:t>
      </w:r>
    </w:p>
    <w:p>
      <w:pPr>
        <w:spacing w:line="360" w:lineRule="auto"/>
        <w:outlineLvl w:val="2"/>
        <w:rPr>
          <w:rFonts w:ascii="宋体" w:hAnsi="宋体"/>
          <w:color w:val="000000"/>
          <w:sz w:val="24"/>
          <w:szCs w:val="20"/>
        </w:rPr>
      </w:pPr>
      <w:r>
        <w:rPr>
          <w:rFonts w:ascii="宋体" w:hAnsi="宋体"/>
          <w:spacing w:val="6"/>
          <w:sz w:val="24"/>
        </w:rPr>
        <w:br w:type="page"/>
      </w:r>
    </w:p>
    <w:p>
      <w:pPr>
        <w:spacing w:before="240" w:beforeLines="100" w:after="240" w:afterLines="100" w:line="360" w:lineRule="auto"/>
        <w:jc w:val="center"/>
        <w:rPr>
          <w:rFonts w:ascii="宋体" w:hAnsi="宋体"/>
          <w:b/>
          <w:bCs/>
          <w:color w:val="000000"/>
          <w:sz w:val="36"/>
          <w:szCs w:val="36"/>
        </w:rPr>
      </w:pPr>
      <w:r>
        <w:rPr>
          <w:b/>
          <w:bCs/>
          <w:color w:val="000000"/>
          <w:sz w:val="36"/>
          <w:szCs w:val="36"/>
        </w:rPr>
        <w:t>中小企业划型标准规定</w:t>
      </w:r>
    </w:p>
    <w:p>
      <w:pPr>
        <w:pStyle w:val="23"/>
        <w:spacing w:line="360" w:lineRule="auto"/>
        <w:rPr>
          <w:rFonts w:hint="default" w:hAnsi="宋体"/>
          <w:sz w:val="24"/>
          <w:szCs w:val="24"/>
        </w:rPr>
      </w:pPr>
      <w:r>
        <w:rPr>
          <w:rFonts w:hAnsi="宋体"/>
          <w:sz w:val="24"/>
          <w:szCs w:val="24"/>
        </w:rPr>
        <w:t>　　一、根据《中华人民共和国中小企业促进法》和《国务院关于进一步促进中小企业发展的若干意见》(国发〔2009〕36号)，制定本规定。</w:t>
      </w:r>
      <w:r>
        <w:rPr>
          <w:rFonts w:hAnsi="宋体"/>
          <w:sz w:val="24"/>
          <w:szCs w:val="24"/>
        </w:rPr>
        <w:br w:type="textWrapping"/>
      </w:r>
      <w:r>
        <w:rPr>
          <w:rFonts w:hAnsi="宋体"/>
          <w:sz w:val="24"/>
          <w:szCs w:val="24"/>
        </w:rPr>
        <w:t>　　二、中小企业划分为中型、小型、微型三种类型，具体标准根据企业从业人员、营业收入、资产总额等指标，结合行业特点制定。</w:t>
      </w:r>
      <w:r>
        <w:rPr>
          <w:rFonts w:hAnsi="宋体"/>
          <w:sz w:val="24"/>
          <w:szCs w:val="24"/>
        </w:rPr>
        <w:br w:type="textWrapping"/>
      </w:r>
      <w:r>
        <w:rPr>
          <w:rFonts w:hAnsi="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ype="textWrapping"/>
      </w:r>
      <w:r>
        <w:rPr>
          <w:rFonts w:hAnsi="宋体"/>
          <w:sz w:val="24"/>
          <w:szCs w:val="24"/>
        </w:rPr>
        <w:t>　　四、各行业划型标准为：</w:t>
      </w:r>
      <w:r>
        <w:rPr>
          <w:rFonts w:hAnsi="宋体"/>
          <w:sz w:val="24"/>
          <w:szCs w:val="24"/>
        </w:rPr>
        <w:br w:type="textWrapping"/>
      </w:r>
      <w:r>
        <w:rPr>
          <w:rFonts w:hAnsi="宋体"/>
          <w:sz w:val="24"/>
          <w:szCs w:val="24"/>
        </w:rPr>
        <w:t>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ype="textWrapping"/>
      </w:r>
      <w:r>
        <w:rPr>
          <w:rFonts w:hAnsi="宋体"/>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ype="textWrapping"/>
      </w:r>
      <w:r>
        <w:rPr>
          <w:rFonts w:hAnsi="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ype="textWrapping"/>
      </w:r>
      <w:r>
        <w:rPr>
          <w:rFonts w:hAnsi="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ype="textWrapping"/>
      </w:r>
      <w:r>
        <w:rPr>
          <w:rFonts w:hAnsi="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ype="textWrapping"/>
      </w:r>
      <w:r>
        <w:rPr>
          <w:rFonts w:hAnsi="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type="textWrapping"/>
      </w:r>
      <w:r>
        <w:rPr>
          <w:rFonts w:hAnsi="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ype="textWrapping"/>
      </w:r>
      <w:r>
        <w:rPr>
          <w:rFonts w:hAnsi="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ype="textWrapping"/>
      </w:r>
      <w:r>
        <w:rPr>
          <w:rFonts w:hAnsi="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ype="textWrapping"/>
      </w:r>
      <w:r>
        <w:rPr>
          <w:rFonts w:hAnsi="宋体"/>
          <w:sz w:val="24"/>
          <w:szCs w:val="24"/>
        </w:rPr>
        <w:t>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ype="textWrapping"/>
      </w:r>
      <w:r>
        <w:rPr>
          <w:rFonts w:hAnsi="宋体"/>
          <w:sz w:val="24"/>
          <w:szCs w:val="24"/>
        </w:rPr>
        <w:t>　　五、企业类型的划分以统计部门的统计数据为依据。</w:t>
      </w:r>
      <w:r>
        <w:rPr>
          <w:rFonts w:hAnsi="宋体"/>
          <w:sz w:val="24"/>
          <w:szCs w:val="24"/>
        </w:rPr>
        <w:br w:type="textWrapping"/>
      </w:r>
      <w:r>
        <w:rPr>
          <w:rFonts w:hAnsi="宋体"/>
          <w:sz w:val="24"/>
          <w:szCs w:val="24"/>
        </w:rPr>
        <w:t>　　六、本规定适用于在中华人民共和国境内依法设立的各类所有制和各种组织形式的企业。个体工商户和本规定以外的行业，参照本规定进行划型。</w:t>
      </w:r>
      <w:r>
        <w:rPr>
          <w:rFonts w:hAnsi="宋体"/>
          <w:sz w:val="24"/>
          <w:szCs w:val="24"/>
        </w:rPr>
        <w:br w:type="textWrapping"/>
      </w:r>
      <w:r>
        <w:rPr>
          <w:rFonts w:hAnsi="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ype="textWrapping"/>
      </w:r>
      <w:r>
        <w:rPr>
          <w:rFonts w:hAnsi="宋体"/>
          <w:sz w:val="24"/>
          <w:szCs w:val="24"/>
        </w:rPr>
        <w:t>　　八、本规定由工业和信息化部、国家统计局会同有关部门根据《国民经济行业分类》修订情况和企业发展变化情况适时修订。</w:t>
      </w:r>
      <w:r>
        <w:rPr>
          <w:rFonts w:hAnsi="宋体"/>
          <w:sz w:val="24"/>
          <w:szCs w:val="24"/>
        </w:rPr>
        <w:br w:type="textWrapping"/>
      </w:r>
      <w:r>
        <w:rPr>
          <w:rFonts w:hAnsi="宋体"/>
          <w:sz w:val="24"/>
          <w:szCs w:val="24"/>
        </w:rPr>
        <w:t>　　九、本规定由工业和信息化部、国家统计局会同有关部门负责解释。</w:t>
      </w:r>
      <w:r>
        <w:rPr>
          <w:rFonts w:hAnsi="宋体"/>
          <w:sz w:val="24"/>
          <w:szCs w:val="24"/>
        </w:rPr>
        <w:br w:type="textWrapping"/>
      </w:r>
      <w:r>
        <w:rPr>
          <w:rFonts w:hAnsi="宋体"/>
          <w:sz w:val="24"/>
          <w:szCs w:val="24"/>
        </w:rPr>
        <w:t>　　十、本规定自发布之日起执行，原国家经贸委、原国家计委、财政部和国家统计局2003年颁布的《中小企业标准暂行规定》同时废止。</w:t>
      </w:r>
    </w:p>
    <w:p/>
    <w:p>
      <w:pPr>
        <w:tabs>
          <w:tab w:val="left" w:pos="4860"/>
        </w:tabs>
        <w:spacing w:line="588" w:lineRule="exact"/>
        <w:ind w:right="1560" w:firstLine="504" w:firstLineChars="200"/>
        <w:jc w:val="center"/>
        <w:rPr>
          <w:rFonts w:ascii="宋体" w:hAnsi="宋体"/>
          <w:spacing w:val="6"/>
          <w:sz w:val="24"/>
        </w:rPr>
      </w:pPr>
    </w:p>
    <w:p>
      <w:pPr>
        <w:spacing w:line="360" w:lineRule="auto"/>
        <w:outlineLvl w:val="2"/>
        <w:rPr>
          <w:rFonts w:ascii="宋体" w:hAnsi="宋体"/>
          <w:color w:val="000000"/>
          <w:sz w:val="24"/>
          <w:szCs w:val="20"/>
        </w:rPr>
      </w:pPr>
      <w:r>
        <w:rPr>
          <w:rFonts w:ascii="宋体" w:hAnsi="宋体"/>
          <w:color w:val="000000"/>
          <w:szCs w:val="20"/>
        </w:rPr>
        <w:br w:type="page"/>
      </w:r>
    </w:p>
    <w:p>
      <w:pPr>
        <w:spacing w:line="360" w:lineRule="auto"/>
        <w:outlineLvl w:val="2"/>
        <w:rPr>
          <w:color w:val="000000"/>
          <w:sz w:val="24"/>
          <w:szCs w:val="20"/>
        </w:rPr>
      </w:pPr>
      <w:r>
        <w:rPr>
          <w:rFonts w:hint="eastAsia"/>
          <w:color w:val="000000"/>
          <w:sz w:val="24"/>
          <w:szCs w:val="20"/>
        </w:rPr>
        <w:t>8</w:t>
      </w:r>
      <w:r>
        <w:rPr>
          <w:color w:val="000000"/>
          <w:sz w:val="24"/>
          <w:szCs w:val="20"/>
        </w:rPr>
        <w:t xml:space="preserve">  拟分包情况说明（类型二）</w:t>
      </w:r>
      <w:r>
        <w:rPr>
          <w:color w:val="000000"/>
          <w:sz w:val="24"/>
        </w:rPr>
        <w:t>（实质性格式）</w:t>
      </w:r>
      <w:r>
        <w:rPr>
          <w:b/>
          <w:color w:val="000000"/>
          <w:sz w:val="24"/>
          <w:szCs w:val="20"/>
        </w:rPr>
        <w:t>（本项目不涉及）</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5"/>
              <w:jc w:val="center"/>
              <w:rPr>
                <w:sz w:val="24"/>
              </w:rPr>
            </w:pPr>
            <w:r>
              <w:rPr>
                <w:sz w:val="24"/>
              </w:rPr>
              <w:t>序号</w:t>
            </w:r>
          </w:p>
        </w:tc>
        <w:tc>
          <w:tcPr>
            <w:tcW w:w="1287" w:type="dxa"/>
            <w:shd w:val="clear" w:color="auto" w:fill="auto"/>
            <w:vAlign w:val="center"/>
          </w:tcPr>
          <w:p>
            <w:pPr>
              <w:pStyle w:val="255"/>
              <w:jc w:val="center"/>
              <w:rPr>
                <w:sz w:val="24"/>
              </w:rPr>
            </w:pPr>
            <w:r>
              <w:rPr>
                <w:sz w:val="24"/>
              </w:rPr>
              <w:t>分包承担</w:t>
            </w:r>
          </w:p>
          <w:p>
            <w:pPr>
              <w:pStyle w:val="255"/>
              <w:jc w:val="center"/>
              <w:rPr>
                <w:sz w:val="24"/>
              </w:rPr>
            </w:pPr>
            <w:r>
              <w:rPr>
                <w:sz w:val="24"/>
              </w:rPr>
              <w:t>主体名称</w:t>
            </w:r>
          </w:p>
        </w:tc>
        <w:tc>
          <w:tcPr>
            <w:tcW w:w="1513" w:type="dxa"/>
            <w:shd w:val="clear" w:color="auto" w:fill="auto"/>
            <w:vAlign w:val="center"/>
          </w:tcPr>
          <w:p>
            <w:pPr>
              <w:pStyle w:val="255"/>
              <w:jc w:val="center"/>
              <w:rPr>
                <w:sz w:val="24"/>
                <w:lang w:eastAsia="zh-CN"/>
              </w:rPr>
            </w:pPr>
            <w:r>
              <w:rPr>
                <w:sz w:val="24"/>
                <w:lang w:eastAsia="zh-CN"/>
              </w:rPr>
              <w:t>分包承担</w:t>
            </w:r>
          </w:p>
          <w:p>
            <w:pPr>
              <w:pStyle w:val="255"/>
              <w:jc w:val="center"/>
              <w:rPr>
                <w:sz w:val="24"/>
                <w:lang w:eastAsia="zh-CN"/>
              </w:rPr>
            </w:pPr>
            <w:r>
              <w:rPr>
                <w:sz w:val="24"/>
                <w:lang w:eastAsia="zh-CN"/>
              </w:rPr>
              <w:t>主体类型</w:t>
            </w:r>
          </w:p>
          <w:p>
            <w:pPr>
              <w:pStyle w:val="255"/>
              <w:jc w:val="center"/>
              <w:rPr>
                <w:sz w:val="24"/>
                <w:lang w:eastAsia="zh-CN"/>
              </w:rPr>
            </w:pPr>
            <w:r>
              <w:rPr>
                <w:rFonts w:hint="eastAsia"/>
                <w:sz w:val="24"/>
                <w:lang w:eastAsia="zh-CN"/>
              </w:rPr>
              <w:t>（勾选）</w:t>
            </w:r>
          </w:p>
        </w:tc>
        <w:tc>
          <w:tcPr>
            <w:tcW w:w="1125" w:type="dxa"/>
            <w:shd w:val="clear" w:color="auto" w:fill="auto"/>
            <w:vAlign w:val="center"/>
          </w:tcPr>
          <w:p>
            <w:pPr>
              <w:pStyle w:val="255"/>
              <w:jc w:val="center"/>
              <w:rPr>
                <w:sz w:val="24"/>
              </w:rPr>
            </w:pPr>
            <w:r>
              <w:rPr>
                <w:sz w:val="24"/>
              </w:rPr>
              <w:t>资质等级</w:t>
            </w:r>
          </w:p>
        </w:tc>
        <w:tc>
          <w:tcPr>
            <w:tcW w:w="1558" w:type="dxa"/>
            <w:shd w:val="clear" w:color="auto" w:fill="auto"/>
            <w:vAlign w:val="center"/>
          </w:tcPr>
          <w:p>
            <w:pPr>
              <w:pStyle w:val="255"/>
              <w:jc w:val="center"/>
              <w:rPr>
                <w:sz w:val="24"/>
              </w:rPr>
            </w:pPr>
            <w:r>
              <w:rPr>
                <w:sz w:val="24"/>
              </w:rPr>
              <w:t>拟分包</w:t>
            </w:r>
          </w:p>
          <w:p>
            <w:pPr>
              <w:pStyle w:val="255"/>
              <w:jc w:val="center"/>
              <w:rPr>
                <w:sz w:val="24"/>
              </w:rPr>
            </w:pPr>
            <w:r>
              <w:rPr>
                <w:sz w:val="24"/>
              </w:rPr>
              <w:t>合同内容</w:t>
            </w:r>
          </w:p>
        </w:tc>
        <w:tc>
          <w:tcPr>
            <w:tcW w:w="1498" w:type="dxa"/>
            <w:shd w:val="clear" w:color="auto" w:fill="auto"/>
            <w:vAlign w:val="center"/>
          </w:tcPr>
          <w:p>
            <w:pPr>
              <w:pStyle w:val="255"/>
              <w:jc w:val="center"/>
              <w:rPr>
                <w:sz w:val="24"/>
                <w:lang w:eastAsia="zh-CN"/>
              </w:rPr>
            </w:pPr>
            <w:r>
              <w:rPr>
                <w:sz w:val="24"/>
                <w:lang w:eastAsia="zh-CN"/>
              </w:rPr>
              <w:t>拟分包</w:t>
            </w:r>
          </w:p>
          <w:p>
            <w:pPr>
              <w:pStyle w:val="255"/>
              <w:jc w:val="center"/>
              <w:rPr>
                <w:sz w:val="24"/>
                <w:lang w:eastAsia="zh-CN"/>
              </w:rPr>
            </w:pPr>
            <w:r>
              <w:rPr>
                <w:sz w:val="24"/>
                <w:lang w:eastAsia="zh-CN"/>
              </w:rPr>
              <w:t>合同金额</w:t>
            </w:r>
          </w:p>
          <w:p>
            <w:pPr>
              <w:pStyle w:val="255"/>
              <w:jc w:val="center"/>
              <w:rPr>
                <w:sz w:val="24"/>
                <w:lang w:eastAsia="zh-CN"/>
              </w:rPr>
            </w:pPr>
            <w:r>
              <w:rPr>
                <w:sz w:val="24"/>
                <w:lang w:eastAsia="zh-CN"/>
              </w:rPr>
              <w:t>（人民币元）</w:t>
            </w:r>
          </w:p>
        </w:tc>
        <w:tc>
          <w:tcPr>
            <w:tcW w:w="1564" w:type="dxa"/>
            <w:shd w:val="clear" w:color="auto" w:fill="auto"/>
            <w:vAlign w:val="center"/>
          </w:tcPr>
          <w:p>
            <w:pPr>
              <w:pStyle w:val="255"/>
              <w:jc w:val="center"/>
              <w:rPr>
                <w:b/>
                <w:sz w:val="24"/>
                <w:lang w:eastAsia="zh-CN"/>
              </w:rPr>
            </w:pPr>
            <w:r>
              <w:rPr>
                <w:b/>
                <w:sz w:val="24"/>
                <w:lang w:eastAsia="zh-CN"/>
              </w:rPr>
              <w:t>占</w:t>
            </w:r>
            <w:r>
              <w:rPr>
                <w:rFonts w:hint="eastAsia"/>
                <w:b/>
                <w:sz w:val="24"/>
                <w:lang w:eastAsia="zh-CN"/>
              </w:rPr>
              <w:t>响应报价</w:t>
            </w:r>
          </w:p>
          <w:p>
            <w:pPr>
              <w:pStyle w:val="255"/>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rPr>
            </w:pPr>
            <w:r>
              <w:rPr>
                <w:rFonts w:ascii="Times New Roman"/>
                <w:sz w:val="24"/>
              </w:rPr>
              <w:t>1</w:t>
            </w:r>
          </w:p>
        </w:tc>
        <w:tc>
          <w:tcPr>
            <w:tcW w:w="1287" w:type="dxa"/>
            <w:shd w:val="clear" w:color="auto" w:fill="auto"/>
            <w:vAlign w:val="center"/>
          </w:tcPr>
          <w:p>
            <w:pPr>
              <w:pStyle w:val="255"/>
              <w:jc w:val="center"/>
              <w:rPr>
                <w:rFonts w:ascii="Times New Roman" w:hAnsi="Times New Roman" w:cs="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jc w:val="center"/>
              <w:rPr>
                <w:sz w:val="24"/>
              </w:rPr>
            </w:pPr>
          </w:p>
        </w:tc>
        <w:tc>
          <w:tcPr>
            <w:tcW w:w="1125" w:type="dxa"/>
            <w:shd w:val="clear" w:color="auto" w:fill="auto"/>
            <w:vAlign w:val="center"/>
          </w:tcPr>
          <w:p>
            <w:pPr>
              <w:pStyle w:val="255"/>
              <w:jc w:val="center"/>
              <w:rPr>
                <w:rFonts w:ascii="Times New Roman"/>
                <w:sz w:val="30"/>
              </w:rPr>
            </w:pPr>
          </w:p>
        </w:tc>
        <w:tc>
          <w:tcPr>
            <w:tcW w:w="1558" w:type="dxa"/>
            <w:shd w:val="clear" w:color="auto" w:fill="auto"/>
            <w:vAlign w:val="center"/>
          </w:tcPr>
          <w:p>
            <w:pPr>
              <w:pStyle w:val="255"/>
              <w:jc w:val="center"/>
              <w:rPr>
                <w:rFonts w:ascii="Times New Roman"/>
                <w:sz w:val="30"/>
              </w:rPr>
            </w:pP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5"/>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1.本表仅在</w:t>
      </w:r>
      <w:r>
        <w:rPr>
          <w:rFonts w:hint="eastAsia"/>
          <w:sz w:val="24"/>
        </w:rPr>
        <w:t>供应商</w:t>
      </w:r>
      <w:r>
        <w:rPr>
          <w:sz w:val="24"/>
        </w:rPr>
        <w:t>非因“为落实政府采购政策”而分包时填写；</w:t>
      </w:r>
      <w:r>
        <w:rPr>
          <w:rFonts w:hint="eastAsia"/>
          <w:sz w:val="24"/>
        </w:rPr>
        <w:t>供应商</w:t>
      </w:r>
      <w:r>
        <w:rPr>
          <w:sz w:val="24"/>
        </w:rPr>
        <w:t>“为落实政府采购政策”而向中小企业分包时请按照《</w:t>
      </w:r>
      <w:r>
        <w:rPr>
          <w:color w:val="000000"/>
          <w:sz w:val="24"/>
          <w:szCs w:val="20"/>
        </w:rPr>
        <w:t>拟分包情况说明及分包意向协议</w:t>
      </w:r>
      <w:r>
        <w:rPr>
          <w:sz w:val="24"/>
        </w:rPr>
        <w:t>》（类型一）要求填写。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电子件，</w:t>
      </w:r>
      <w:r>
        <w:rPr>
          <w:sz w:val="24"/>
        </w:rPr>
        <w:t>否则</w:t>
      </w:r>
      <w:r>
        <w:rPr>
          <w:rFonts w:hint="eastAsia"/>
          <w:b/>
          <w:sz w:val="24"/>
        </w:rPr>
        <w:t>响应</w:t>
      </w:r>
      <w:r>
        <w:rPr>
          <w:b/>
          <w:sz w:val="24"/>
        </w:rPr>
        <w:t>无效</w:t>
      </w:r>
      <w:r>
        <w:rPr>
          <w:sz w:val="24"/>
        </w:rPr>
        <w:t>。</w:t>
      </w:r>
    </w:p>
    <w:p>
      <w:pPr>
        <w:adjustRightInd w:val="0"/>
        <w:snapToGrid w:val="0"/>
        <w:spacing w:line="360" w:lineRule="auto"/>
        <w:jc w:val="left"/>
        <w:rPr>
          <w:sz w:val="24"/>
        </w:rPr>
      </w:pP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rFonts w:hint="eastAsia"/>
          <w:sz w:val="24"/>
        </w:rPr>
        <w:t>供应商</w:t>
      </w:r>
      <w:r>
        <w:rPr>
          <w:sz w:val="24"/>
        </w:rPr>
        <w:t>名称（盖章）：______</w:t>
      </w:r>
    </w:p>
    <w:p>
      <w:pPr>
        <w:adjustRightInd w:val="0"/>
        <w:snapToGrid w:val="0"/>
        <w:spacing w:line="360" w:lineRule="auto"/>
        <w:ind w:firstLine="480" w:firstLineChars="200"/>
        <w:jc w:val="right"/>
        <w:rPr>
          <w:sz w:val="24"/>
        </w:rPr>
      </w:pPr>
      <w:r>
        <w:rPr>
          <w:color w:val="000000"/>
          <w:sz w:val="24"/>
        </w:rPr>
        <w:t>日期：_____年______月______日</w:t>
      </w:r>
    </w:p>
    <w:p>
      <w:pPr>
        <w:spacing w:line="360" w:lineRule="auto"/>
        <w:rPr>
          <w:b/>
          <w:color w:val="000000"/>
          <w:sz w:val="24"/>
        </w:rPr>
      </w:pPr>
    </w:p>
    <w:p>
      <w:pPr>
        <w:spacing w:line="360" w:lineRule="auto"/>
        <w:outlineLvl w:val="2"/>
        <w:rPr>
          <w:rFonts w:ascii="宋体" w:hAnsi="宋体"/>
          <w:color w:val="000000"/>
          <w:sz w:val="24"/>
          <w:szCs w:val="20"/>
        </w:rPr>
      </w:pPr>
      <w:r>
        <w:rPr>
          <w:color w:val="000000"/>
          <w:sz w:val="24"/>
          <w:szCs w:val="20"/>
        </w:rPr>
        <w:br w:type="page"/>
      </w:r>
    </w:p>
    <w:p>
      <w:pPr>
        <w:spacing w:line="360" w:lineRule="auto"/>
        <w:outlineLvl w:val="2"/>
        <w:rPr>
          <w:rFonts w:ascii="宋体" w:hAnsi="宋体"/>
          <w:color w:val="000000"/>
          <w:sz w:val="24"/>
          <w:szCs w:val="20"/>
        </w:rPr>
      </w:pPr>
      <w:r>
        <w:rPr>
          <w:rFonts w:hint="eastAsia" w:ascii="宋体" w:hAnsi="宋体"/>
          <w:color w:val="000000"/>
          <w:sz w:val="24"/>
          <w:szCs w:val="20"/>
        </w:rPr>
        <w:t>9</w:t>
      </w:r>
      <w:r>
        <w:rPr>
          <w:rFonts w:ascii="宋体" w:hAnsi="宋体"/>
          <w:color w:val="000000"/>
          <w:sz w:val="24"/>
          <w:szCs w:val="20"/>
        </w:rPr>
        <w:t xml:space="preserve"> </w:t>
      </w:r>
      <w:r>
        <w:rPr>
          <w:rFonts w:hint="eastAsia" w:ascii="宋体" w:hAnsi="宋体"/>
          <w:color w:val="000000"/>
          <w:sz w:val="24"/>
          <w:szCs w:val="20"/>
        </w:rPr>
        <w:t>业绩一览表</w:t>
      </w:r>
    </w:p>
    <w:p>
      <w:pPr>
        <w:spacing w:line="360" w:lineRule="auto"/>
        <w:jc w:val="center"/>
        <w:rPr>
          <w:b/>
          <w:bCs/>
          <w:sz w:val="36"/>
          <w:szCs w:val="36"/>
        </w:rPr>
      </w:pPr>
      <w:r>
        <w:rPr>
          <w:rFonts w:hint="eastAsia"/>
          <w:b/>
          <w:bCs/>
          <w:sz w:val="36"/>
          <w:szCs w:val="36"/>
        </w:rPr>
        <w:t>业绩一览表</w:t>
      </w: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pPr>
              <w:spacing w:line="360" w:lineRule="auto"/>
              <w:rPr>
                <w:b/>
              </w:rPr>
            </w:pPr>
            <w:r>
              <w:rPr>
                <w:rFonts w:hint="eastAsia"/>
                <w:b/>
              </w:rPr>
              <w:t>序号</w:t>
            </w:r>
          </w:p>
        </w:tc>
        <w:tc>
          <w:tcPr>
            <w:tcW w:w="1411" w:type="dxa"/>
            <w:vAlign w:val="center"/>
          </w:tcPr>
          <w:p>
            <w:pPr>
              <w:spacing w:line="360" w:lineRule="auto"/>
              <w:rPr>
                <w:b/>
              </w:rPr>
            </w:pPr>
            <w:r>
              <w:rPr>
                <w:rFonts w:hint="eastAsia"/>
                <w:b/>
              </w:rPr>
              <w:t>项目名称</w:t>
            </w:r>
          </w:p>
        </w:tc>
        <w:tc>
          <w:tcPr>
            <w:tcW w:w="1260" w:type="dxa"/>
            <w:vAlign w:val="center"/>
          </w:tcPr>
          <w:p>
            <w:pPr>
              <w:spacing w:line="360" w:lineRule="auto"/>
              <w:rPr>
                <w:b/>
              </w:rPr>
            </w:pPr>
            <w:r>
              <w:rPr>
                <w:rFonts w:hint="eastAsia"/>
                <w:b/>
              </w:rPr>
              <w:t>用户名称</w:t>
            </w:r>
          </w:p>
        </w:tc>
        <w:tc>
          <w:tcPr>
            <w:tcW w:w="1260" w:type="dxa"/>
            <w:vAlign w:val="center"/>
          </w:tcPr>
          <w:p>
            <w:pPr>
              <w:spacing w:line="360" w:lineRule="auto"/>
              <w:rPr>
                <w:b/>
              </w:rPr>
            </w:pPr>
            <w:r>
              <w:rPr>
                <w:rFonts w:hint="eastAsia"/>
                <w:b/>
              </w:rPr>
              <w:t>合同金额</w:t>
            </w:r>
          </w:p>
        </w:tc>
        <w:tc>
          <w:tcPr>
            <w:tcW w:w="1440" w:type="dxa"/>
            <w:vAlign w:val="center"/>
          </w:tcPr>
          <w:p>
            <w:pPr>
              <w:spacing w:line="360" w:lineRule="auto"/>
              <w:rPr>
                <w:b/>
              </w:rPr>
            </w:pPr>
            <w:r>
              <w:rPr>
                <w:rFonts w:hint="eastAsia"/>
                <w:b/>
              </w:rPr>
              <w:t>用户联系人及联系方式</w:t>
            </w:r>
          </w:p>
        </w:tc>
        <w:tc>
          <w:tcPr>
            <w:tcW w:w="1778" w:type="dxa"/>
            <w:vAlign w:val="center"/>
          </w:tcPr>
          <w:p>
            <w:pPr>
              <w:spacing w:line="360" w:lineRule="auto"/>
              <w:rPr>
                <w:b/>
              </w:rPr>
            </w:pPr>
            <w:r>
              <w:rPr>
                <w:rFonts w:hint="eastAsia"/>
                <w:b/>
              </w:rPr>
              <w:t>合同签订日期</w:t>
            </w:r>
          </w:p>
        </w:tc>
        <w:tc>
          <w:tcPr>
            <w:tcW w:w="1038" w:type="dxa"/>
            <w:vAlign w:val="center"/>
          </w:tcPr>
          <w:p>
            <w:pPr>
              <w:spacing w:line="360" w:lineRule="auto"/>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bl>
    <w:p>
      <w:pPr>
        <w:pStyle w:val="23"/>
        <w:tabs>
          <w:tab w:val="left" w:pos="5580"/>
        </w:tabs>
        <w:spacing w:before="120" w:line="360" w:lineRule="auto"/>
        <w:rPr>
          <w:rFonts w:hint="default" w:hAnsi="宋体"/>
          <w:bCs/>
          <w:sz w:val="24"/>
          <w:u w:val="single"/>
        </w:rPr>
      </w:pPr>
      <w:r>
        <w:rPr>
          <w:rFonts w:hAnsi="宋体"/>
          <w:bCs/>
          <w:kern w:val="0"/>
          <w:sz w:val="24"/>
        </w:rPr>
        <w:t>注：</w:t>
      </w:r>
      <w:r>
        <w:rPr>
          <w:rFonts w:hAnsi="宋体"/>
          <w:bCs/>
          <w:sz w:val="24"/>
        </w:rPr>
        <w:t>需附合同复印件，评委保留对上述资料原件审核的权力。</w:t>
      </w:r>
    </w:p>
    <w:p>
      <w:pPr>
        <w:autoSpaceDE w:val="0"/>
        <w:autoSpaceDN w:val="0"/>
        <w:adjustRightInd w:val="0"/>
        <w:snapToGrid w:val="0"/>
        <w:spacing w:before="25" w:after="25" w:line="360" w:lineRule="auto"/>
        <w:rPr>
          <w:rFonts w:ascii="宋体" w:hAnsi="宋体"/>
          <w:color w:val="000000"/>
          <w:sz w:val="24"/>
        </w:rPr>
      </w:pP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0</w:t>
      </w:r>
      <w:r>
        <w:rPr>
          <w:rFonts w:ascii="宋体" w:hAnsi="宋体"/>
          <w:color w:val="000000"/>
          <w:sz w:val="24"/>
          <w:szCs w:val="20"/>
        </w:rPr>
        <w:t xml:space="preserve">  </w:t>
      </w:r>
      <w:r>
        <w:rPr>
          <w:rFonts w:hint="eastAsia" w:ascii="宋体" w:hAnsi="宋体"/>
          <w:color w:val="000000"/>
          <w:sz w:val="24"/>
          <w:szCs w:val="20"/>
        </w:rPr>
        <w:t>比选文件</w:t>
      </w:r>
      <w:r>
        <w:rPr>
          <w:rFonts w:ascii="宋体" w:hAnsi="宋体"/>
          <w:color w:val="000000"/>
          <w:sz w:val="24"/>
          <w:szCs w:val="20"/>
        </w:rPr>
        <w:t>要求提供或</w:t>
      </w:r>
      <w:r>
        <w:rPr>
          <w:rFonts w:hint="eastAsia" w:ascii="宋体" w:hAnsi="宋体"/>
          <w:color w:val="000000"/>
          <w:sz w:val="24"/>
          <w:szCs w:val="20"/>
        </w:rPr>
        <w:t>供应商</w:t>
      </w:r>
      <w:r>
        <w:rPr>
          <w:rFonts w:ascii="宋体" w:hAnsi="宋体"/>
          <w:color w:val="000000"/>
          <w:sz w:val="24"/>
          <w:szCs w:val="20"/>
        </w:rPr>
        <w:t>认为应附的其他材料</w:t>
      </w:r>
    </w:p>
    <w:p>
      <w:pPr>
        <w:tabs>
          <w:tab w:val="left" w:pos="360"/>
        </w:tabs>
        <w:snapToGrid w:val="0"/>
        <w:spacing w:line="360" w:lineRule="auto"/>
        <w:outlineLvl w:val="1"/>
        <w:rPr>
          <w:sz w:val="24"/>
        </w:rPr>
      </w:pPr>
      <w:r>
        <w:rPr>
          <w:rFonts w:hint="eastAsia"/>
          <w:sz w:val="24"/>
        </w:rPr>
        <w:t>10.1</w:t>
      </w:r>
      <w:r>
        <w:rPr>
          <w:sz w:val="24"/>
        </w:rPr>
        <w:t>供应商基本情况表</w:t>
      </w:r>
    </w:p>
    <w:tbl>
      <w:tblPr>
        <w:tblStyle w:val="40"/>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单位名称</w:t>
            </w:r>
          </w:p>
        </w:tc>
        <w:tc>
          <w:tcPr>
            <w:tcW w:w="6071" w:type="dxa"/>
            <w:gridSpan w:val="3"/>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lang w:val="zh-CN"/>
              </w:rPr>
            </w:pPr>
            <w:r>
              <w:rPr>
                <w:szCs w:val="21"/>
                <w:lang w:val="zh-CN"/>
              </w:rPr>
              <w:t>法定代表人</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lang w:val="zh-CN"/>
              </w:rPr>
            </w:pPr>
            <w:r>
              <w:rPr>
                <w:szCs w:val="21"/>
                <w:lang w:val="zh-CN"/>
              </w:rPr>
              <w:t>注册资金</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单位性质</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rPr>
            </w:pPr>
            <w:r>
              <w:rPr>
                <w:szCs w:val="21"/>
                <w:lang w:val="zh-CN"/>
              </w:rPr>
              <w:t>成立时间</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单位地址</w:t>
            </w:r>
          </w:p>
        </w:tc>
        <w:tc>
          <w:tcPr>
            <w:tcW w:w="6071" w:type="dxa"/>
            <w:gridSpan w:val="3"/>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pPr>
              <w:spacing w:line="360" w:lineRule="auto"/>
              <w:ind w:right="-197" w:rightChars="-94"/>
              <w:jc w:val="center"/>
              <w:rPr>
                <w:szCs w:val="21"/>
              </w:rPr>
            </w:pPr>
            <w:r>
              <w:rPr>
                <w:szCs w:val="21"/>
                <w:lang w:val="zh-CN"/>
              </w:rPr>
              <w:t>经营范围</w:t>
            </w:r>
          </w:p>
        </w:tc>
        <w:tc>
          <w:tcPr>
            <w:tcW w:w="6071" w:type="dxa"/>
            <w:gridSpan w:val="3"/>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开户银行</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rPr>
            </w:pPr>
            <w:r>
              <w:rPr>
                <w:szCs w:val="21"/>
              </w:rPr>
              <w:t>银行账户</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联系人</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rPr>
            </w:pPr>
            <w:r>
              <w:rPr>
                <w:szCs w:val="21"/>
                <w:lang w:val="zh-CN"/>
              </w:rPr>
              <w:t>联系电话</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pPr>
              <w:spacing w:line="360" w:lineRule="auto"/>
              <w:ind w:right="-197" w:rightChars="-94"/>
              <w:jc w:val="center"/>
              <w:rPr>
                <w:szCs w:val="21"/>
              </w:rPr>
            </w:pPr>
            <w:r>
              <w:rPr>
                <w:szCs w:val="21"/>
                <w:lang w:val="zh-CN"/>
              </w:rPr>
              <w:t>基本情况</w:t>
            </w:r>
          </w:p>
        </w:tc>
        <w:tc>
          <w:tcPr>
            <w:tcW w:w="6071" w:type="dxa"/>
            <w:gridSpan w:val="3"/>
            <w:vAlign w:val="center"/>
          </w:tcPr>
          <w:p>
            <w:pPr>
              <w:spacing w:line="360" w:lineRule="auto"/>
              <w:ind w:right="-197" w:rightChars="-94"/>
              <w:jc w:val="center"/>
              <w:rPr>
                <w:szCs w:val="21"/>
              </w:rPr>
            </w:pPr>
          </w:p>
        </w:tc>
      </w:tr>
    </w:tbl>
    <w:p>
      <w:pPr>
        <w:spacing w:line="360" w:lineRule="auto"/>
        <w:ind w:right="-57" w:rightChars="-27"/>
        <w:jc w:val="left"/>
        <w:rPr>
          <w:szCs w:val="21"/>
          <w:lang w:val="zh-CN"/>
        </w:rPr>
      </w:pPr>
    </w:p>
    <w:p>
      <w:pPr>
        <w:widowControl/>
        <w:jc w:val="left"/>
        <w:rPr>
          <w:szCs w:val="21"/>
        </w:rPr>
      </w:pPr>
      <w:r>
        <w:rPr>
          <w:szCs w:val="21"/>
        </w:rPr>
        <w:br w:type="page"/>
      </w:r>
    </w:p>
    <w:p>
      <w:pPr>
        <w:pStyle w:val="7"/>
        <w:spacing w:line="480" w:lineRule="exact"/>
        <w:ind w:left="899" w:hanging="899"/>
        <w:jc w:val="both"/>
        <w:rPr>
          <w:b w:val="0"/>
          <w:bCs/>
          <w:u w:val="none"/>
        </w:rPr>
      </w:pPr>
      <w:bookmarkStart w:id="759" w:name="_Toc482104386"/>
      <w:r>
        <w:rPr>
          <w:rFonts w:hint="eastAsia" w:ascii="Times New Roman"/>
          <w:b w:val="0"/>
          <w:bCs/>
          <w:u w:val="none"/>
        </w:rPr>
        <w:t xml:space="preserve">10.2 </w:t>
      </w:r>
      <w:bookmarkStart w:id="760" w:name="_Toc493975502"/>
      <w:bookmarkStart w:id="761" w:name="_Toc358538376"/>
      <w:r>
        <w:rPr>
          <w:b w:val="0"/>
          <w:bCs/>
          <w:u w:val="none"/>
        </w:rPr>
        <w:t>拟派项目</w:t>
      </w:r>
      <w:r>
        <w:rPr>
          <w:rFonts w:hint="eastAsia"/>
          <w:b w:val="0"/>
          <w:bCs/>
          <w:u w:val="none"/>
        </w:rPr>
        <w:t>经理</w:t>
      </w:r>
      <w:r>
        <w:rPr>
          <w:b w:val="0"/>
          <w:bCs/>
          <w:u w:val="none"/>
        </w:rPr>
        <w:t>资格声明</w:t>
      </w:r>
      <w:bookmarkEnd w:id="760"/>
      <w:bookmarkEnd w:id="761"/>
    </w:p>
    <w:p>
      <w:pPr>
        <w:spacing w:line="360" w:lineRule="auto"/>
        <w:rPr>
          <w:rFonts w:ascii="宋体" w:hAnsi="宋体"/>
          <w:sz w:val="24"/>
        </w:rPr>
      </w:pPr>
      <w:r>
        <w:rPr>
          <w:rFonts w:hint="eastAsia" w:ascii="宋体" w:hAnsi="宋体"/>
          <w:sz w:val="24"/>
        </w:rPr>
        <w:t>项目名称：</w:t>
      </w:r>
    </w:p>
    <w:p>
      <w:pPr>
        <w:spacing w:line="360" w:lineRule="auto"/>
        <w:rPr>
          <w:rFonts w:ascii="宋体" w:hAnsi="宋体"/>
          <w:sz w:val="24"/>
        </w:rPr>
      </w:pPr>
      <w:r>
        <w:rPr>
          <w:rFonts w:hint="eastAsia" w:ascii="宋体" w:hAnsi="宋体"/>
          <w:sz w:val="24"/>
        </w:rPr>
        <w:t>项目编号：</w:t>
      </w:r>
    </w:p>
    <w:p>
      <w:pPr>
        <w:spacing w:line="360" w:lineRule="auto"/>
        <w:rPr>
          <w:rFonts w:ascii="宋体" w:hAnsi="宋体"/>
          <w:sz w:val="24"/>
        </w:rPr>
      </w:pPr>
      <w:r>
        <w:rPr>
          <w:rFonts w:hint="eastAsia" w:ascii="宋体" w:hAnsi="宋体"/>
          <w:sz w:val="24"/>
        </w:rPr>
        <w:t>供应商名称：</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3042"/>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姓名</w:t>
            </w:r>
          </w:p>
        </w:tc>
        <w:tc>
          <w:tcPr>
            <w:tcW w:w="3042" w:type="dxa"/>
            <w:vAlign w:val="center"/>
          </w:tcPr>
          <w:p>
            <w:pPr>
              <w:spacing w:line="360" w:lineRule="auto"/>
              <w:rPr>
                <w:rFonts w:ascii="宋体" w:hAnsi="宋体"/>
                <w:sz w:val="24"/>
              </w:rPr>
            </w:pPr>
          </w:p>
        </w:tc>
        <w:tc>
          <w:tcPr>
            <w:tcW w:w="3079" w:type="dxa"/>
            <w:vAlign w:val="center"/>
          </w:tcPr>
          <w:p>
            <w:pPr>
              <w:spacing w:line="360" w:lineRule="auto"/>
              <w:jc w:val="center"/>
              <w:rPr>
                <w:rFonts w:ascii="宋体" w:hAnsi="宋体"/>
                <w:sz w:val="24"/>
              </w:rPr>
            </w:pPr>
            <w:r>
              <w:rPr>
                <w:rFonts w:hint="eastAsia" w:ascii="宋体" w:hAnsi="宋体"/>
                <w:sz w:val="24"/>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性别</w:t>
            </w:r>
          </w:p>
        </w:tc>
        <w:tc>
          <w:tcPr>
            <w:tcW w:w="3042" w:type="dxa"/>
            <w:vAlign w:val="center"/>
          </w:tcPr>
          <w:p>
            <w:pPr>
              <w:spacing w:line="360" w:lineRule="auto"/>
              <w:rPr>
                <w:rFonts w:ascii="宋体" w:hAnsi="宋体"/>
                <w:sz w:val="24"/>
              </w:rPr>
            </w:pPr>
          </w:p>
        </w:tc>
        <w:tc>
          <w:tcPr>
            <w:tcW w:w="3079" w:type="dxa"/>
            <w:vMerge w:val="restart"/>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年龄</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专业</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学历</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工龄</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职务</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从事本岗位工作时间</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联系电话</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bl>
    <w:p>
      <w:pPr>
        <w:spacing w:line="360" w:lineRule="auto"/>
        <w:rPr>
          <w:rFonts w:ascii="宋体" w:hAnsi="宋体"/>
          <w:sz w:val="24"/>
        </w:rPr>
      </w:pPr>
      <w:r>
        <w:rPr>
          <w:rFonts w:hint="eastAsia" w:ascii="宋体" w:hAnsi="宋体"/>
          <w:sz w:val="24"/>
        </w:rPr>
        <w:t>注：须附学历证书，身份证，资格证书，社保缴纳证明材料、业绩等证明文件的复印件。</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供应商公章：</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日期：</w:t>
      </w:r>
    </w:p>
    <w:p>
      <w:pPr>
        <w:tabs>
          <w:tab w:val="left" w:pos="360"/>
        </w:tabs>
        <w:snapToGrid w:val="0"/>
        <w:spacing w:line="360" w:lineRule="auto"/>
        <w:outlineLvl w:val="1"/>
        <w:rPr>
          <w:sz w:val="24"/>
        </w:rPr>
      </w:pPr>
    </w:p>
    <w:p>
      <w:pPr>
        <w:rPr>
          <w:sz w:val="24"/>
        </w:rPr>
      </w:pPr>
      <w:r>
        <w:rPr>
          <w:rFonts w:hint="eastAsia"/>
          <w:sz w:val="24"/>
        </w:rPr>
        <w:br w:type="page"/>
      </w:r>
    </w:p>
    <w:p>
      <w:pPr>
        <w:tabs>
          <w:tab w:val="left" w:pos="360"/>
        </w:tabs>
        <w:snapToGrid w:val="0"/>
        <w:spacing w:line="360" w:lineRule="auto"/>
        <w:outlineLvl w:val="1"/>
        <w:rPr>
          <w:sz w:val="24"/>
        </w:rPr>
      </w:pPr>
      <w:r>
        <w:rPr>
          <w:rFonts w:hint="eastAsia"/>
          <w:sz w:val="24"/>
        </w:rPr>
        <w:t xml:space="preserve">10.3 </w:t>
      </w:r>
      <w:r>
        <w:rPr>
          <w:sz w:val="24"/>
        </w:rPr>
        <w:t>项目</w:t>
      </w:r>
      <w:r>
        <w:rPr>
          <w:rFonts w:hint="eastAsia"/>
          <w:sz w:val="24"/>
        </w:rPr>
        <w:t>团队</w:t>
      </w:r>
      <w:r>
        <w:rPr>
          <w:sz w:val="24"/>
        </w:rPr>
        <w:t>人员一览表</w:t>
      </w:r>
      <w:bookmarkEnd w:id="759"/>
    </w:p>
    <w:tbl>
      <w:tblPr>
        <w:tblStyle w:val="4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41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0" w:type="dxa"/>
            <w:vAlign w:val="center"/>
          </w:tcPr>
          <w:p>
            <w:pPr>
              <w:adjustRightInd w:val="0"/>
              <w:snapToGrid w:val="0"/>
              <w:spacing w:after="120" w:afterLines="50" w:line="360" w:lineRule="auto"/>
              <w:jc w:val="center"/>
              <w:rPr>
                <w:bCs/>
                <w:szCs w:val="21"/>
              </w:rPr>
            </w:pPr>
            <w:r>
              <w:rPr>
                <w:bCs/>
                <w:szCs w:val="21"/>
              </w:rPr>
              <w:t>序号</w:t>
            </w:r>
          </w:p>
        </w:tc>
        <w:tc>
          <w:tcPr>
            <w:tcW w:w="992" w:type="dxa"/>
            <w:vAlign w:val="center"/>
          </w:tcPr>
          <w:p>
            <w:pPr>
              <w:adjustRightInd w:val="0"/>
              <w:snapToGrid w:val="0"/>
              <w:spacing w:after="120" w:afterLines="50" w:line="360" w:lineRule="auto"/>
              <w:jc w:val="center"/>
              <w:rPr>
                <w:bCs/>
                <w:szCs w:val="21"/>
              </w:rPr>
            </w:pPr>
            <w:r>
              <w:rPr>
                <w:bCs/>
                <w:szCs w:val="21"/>
              </w:rPr>
              <w:t>姓名</w:t>
            </w:r>
          </w:p>
        </w:tc>
        <w:tc>
          <w:tcPr>
            <w:tcW w:w="1134" w:type="dxa"/>
            <w:vAlign w:val="center"/>
          </w:tcPr>
          <w:p>
            <w:pPr>
              <w:adjustRightInd w:val="0"/>
              <w:snapToGrid w:val="0"/>
              <w:spacing w:after="120" w:afterLines="50" w:line="360" w:lineRule="auto"/>
              <w:jc w:val="center"/>
              <w:rPr>
                <w:bCs/>
                <w:szCs w:val="21"/>
              </w:rPr>
            </w:pPr>
            <w:r>
              <w:rPr>
                <w:bCs/>
                <w:szCs w:val="21"/>
              </w:rPr>
              <w:t>年龄</w:t>
            </w:r>
          </w:p>
        </w:tc>
        <w:tc>
          <w:tcPr>
            <w:tcW w:w="1276" w:type="dxa"/>
            <w:vAlign w:val="center"/>
          </w:tcPr>
          <w:p>
            <w:pPr>
              <w:adjustRightInd w:val="0"/>
              <w:snapToGrid w:val="0"/>
              <w:spacing w:after="120" w:afterLines="50" w:line="360" w:lineRule="auto"/>
              <w:jc w:val="center"/>
              <w:rPr>
                <w:bCs/>
                <w:szCs w:val="21"/>
              </w:rPr>
            </w:pPr>
            <w:r>
              <w:rPr>
                <w:bCs/>
                <w:szCs w:val="21"/>
              </w:rPr>
              <w:t>学历</w:t>
            </w:r>
          </w:p>
        </w:tc>
        <w:tc>
          <w:tcPr>
            <w:tcW w:w="1417" w:type="dxa"/>
            <w:vAlign w:val="center"/>
          </w:tcPr>
          <w:p>
            <w:pPr>
              <w:adjustRightInd w:val="0"/>
              <w:snapToGrid w:val="0"/>
              <w:spacing w:after="120" w:afterLines="50" w:line="360" w:lineRule="auto"/>
              <w:jc w:val="center"/>
              <w:rPr>
                <w:bCs/>
                <w:szCs w:val="21"/>
              </w:rPr>
            </w:pPr>
            <w:r>
              <w:rPr>
                <w:bCs/>
                <w:szCs w:val="21"/>
              </w:rPr>
              <w:t>本项目职责分工</w:t>
            </w:r>
          </w:p>
        </w:tc>
        <w:tc>
          <w:tcPr>
            <w:tcW w:w="1843" w:type="dxa"/>
            <w:vAlign w:val="center"/>
          </w:tcPr>
          <w:p>
            <w:pPr>
              <w:adjustRightInd w:val="0"/>
              <w:snapToGrid w:val="0"/>
              <w:spacing w:after="120" w:afterLines="50" w:line="360" w:lineRule="auto"/>
              <w:jc w:val="center"/>
              <w:rPr>
                <w:bCs/>
                <w:szCs w:val="21"/>
              </w:rPr>
            </w:pPr>
            <w:r>
              <w:rPr>
                <w:bCs/>
                <w:szCs w:val="21"/>
              </w:rPr>
              <w:t>参加工作时间及年限</w:t>
            </w:r>
          </w:p>
        </w:tc>
        <w:tc>
          <w:tcPr>
            <w:tcW w:w="1843" w:type="dxa"/>
            <w:vAlign w:val="center"/>
          </w:tcPr>
          <w:p>
            <w:pPr>
              <w:adjustRightInd w:val="0"/>
              <w:snapToGrid w:val="0"/>
              <w:spacing w:after="120" w:afterLines="50" w:line="360" w:lineRule="auto"/>
              <w:jc w:val="center"/>
              <w:rPr>
                <w:bCs/>
                <w:szCs w:val="21"/>
              </w:rPr>
            </w:pPr>
            <w:r>
              <w:rPr>
                <w:bCs/>
                <w:szCs w:val="21"/>
              </w:rPr>
              <w:t>获得相关资质证书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bl>
    <w:p>
      <w:pPr>
        <w:spacing w:line="360" w:lineRule="auto"/>
        <w:rPr>
          <w:sz w:val="24"/>
        </w:rPr>
      </w:pPr>
    </w:p>
    <w:p>
      <w:pPr>
        <w:spacing w:line="360" w:lineRule="auto"/>
        <w:rPr>
          <w:szCs w:val="21"/>
        </w:rPr>
      </w:pPr>
      <w:r>
        <w:rPr>
          <w:szCs w:val="21"/>
        </w:rPr>
        <w:t>备注：附项目团队人员的身份证、学历证</w:t>
      </w:r>
      <w:r>
        <w:rPr>
          <w:rFonts w:hint="eastAsia"/>
          <w:szCs w:val="21"/>
        </w:rPr>
        <w:t>（若有）</w:t>
      </w:r>
      <w:r>
        <w:rPr>
          <w:szCs w:val="21"/>
        </w:rPr>
        <w:t>、学位证</w:t>
      </w:r>
      <w:r>
        <w:rPr>
          <w:rFonts w:hint="eastAsia"/>
          <w:szCs w:val="21"/>
        </w:rPr>
        <w:t>（若有）</w:t>
      </w:r>
      <w:r>
        <w:rPr>
          <w:szCs w:val="21"/>
        </w:rPr>
        <w:t>、职称证</w:t>
      </w:r>
      <w:r>
        <w:rPr>
          <w:rFonts w:hint="eastAsia"/>
          <w:szCs w:val="21"/>
        </w:rPr>
        <w:t>（若有）</w:t>
      </w:r>
      <w:r>
        <w:rPr>
          <w:szCs w:val="21"/>
        </w:rPr>
        <w:t>、</w:t>
      </w:r>
      <w:r>
        <w:rPr>
          <w:rFonts w:hint="eastAsia"/>
          <w:szCs w:val="21"/>
        </w:rPr>
        <w:t>职业资格证书（若有）、</w:t>
      </w:r>
      <w:r>
        <w:rPr>
          <w:szCs w:val="21"/>
        </w:rPr>
        <w:t>相关资料复印件并加盖供应商公章。</w:t>
      </w:r>
    </w:p>
    <w:p>
      <w:pPr>
        <w:spacing w:line="360" w:lineRule="auto"/>
        <w:rPr>
          <w:szCs w:val="21"/>
        </w:rPr>
      </w:pPr>
    </w:p>
    <w:p>
      <w:pPr>
        <w:widowControl/>
        <w:jc w:val="left"/>
        <w:rPr>
          <w:szCs w:val="21"/>
        </w:rPr>
      </w:pPr>
      <w:r>
        <w:rPr>
          <w:szCs w:val="21"/>
        </w:rPr>
        <w:br w:type="page"/>
      </w:r>
    </w:p>
    <w:p>
      <w:pPr>
        <w:tabs>
          <w:tab w:val="left" w:pos="360"/>
        </w:tabs>
        <w:snapToGrid w:val="0"/>
        <w:spacing w:line="360" w:lineRule="auto"/>
        <w:outlineLvl w:val="1"/>
        <w:rPr>
          <w:sz w:val="24"/>
        </w:rPr>
      </w:pPr>
      <w:r>
        <w:rPr>
          <w:rFonts w:hint="eastAsia"/>
          <w:sz w:val="24"/>
        </w:rPr>
        <w:t>10.4 服务方案及承诺</w:t>
      </w:r>
    </w:p>
    <w:p>
      <w:pPr>
        <w:spacing w:line="360" w:lineRule="auto"/>
        <w:rPr>
          <w:szCs w:val="21"/>
        </w:rPr>
      </w:pPr>
    </w:p>
    <w:p>
      <w:pPr>
        <w:pStyle w:val="23"/>
        <w:spacing w:line="360" w:lineRule="auto"/>
        <w:jc w:val="left"/>
        <w:rPr>
          <w:rFonts w:hint="default" w:hAnsi="宋体"/>
          <w:bCs/>
          <w:color w:val="000000"/>
          <w:sz w:val="24"/>
          <w:szCs w:val="24"/>
          <w:lang w:eastAsia="zh-Hans"/>
        </w:rPr>
      </w:pPr>
      <w:r>
        <w:rPr>
          <w:rFonts w:hAnsi="宋体"/>
          <w:bCs/>
          <w:color w:val="000000"/>
          <w:sz w:val="24"/>
          <w:szCs w:val="24"/>
        </w:rPr>
        <w:t>格式自拟，根据第三章评分标准和第四章采购需求自行编写</w:t>
      </w:r>
    </w:p>
    <w:p>
      <w:pPr>
        <w:widowControl/>
        <w:spacing w:line="360" w:lineRule="auto"/>
        <w:jc w:val="left"/>
        <w:rPr>
          <w:rFonts w:ascii="宋体" w:hAnsi="宋体"/>
          <w:b/>
          <w:sz w:val="36"/>
          <w:szCs w:val="36"/>
        </w:rPr>
      </w:pPr>
    </w:p>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79</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p>
  <w:p>
    <w:pPr>
      <w:pStyle w:val="27"/>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2</w:t>
    </w:r>
    <w:r>
      <w:fldChar w:fldCharType="end"/>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14E312"/>
    <w:multiLevelType w:val="multilevel"/>
    <w:tmpl w:val="D814E312"/>
    <w:lvl w:ilvl="0" w:tentative="0">
      <w:start w:val="1"/>
      <w:numFmt w:val="japaneseCounting"/>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50F47AA"/>
    <w:multiLevelType w:val="multilevel"/>
    <w:tmpl w:val="050F47AA"/>
    <w:lvl w:ilvl="0" w:tentative="0">
      <w:start w:val="1"/>
      <w:numFmt w:val="decimal"/>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5274EBB"/>
    <w:multiLevelType w:val="multilevel"/>
    <w:tmpl w:val="05274EBB"/>
    <w:lvl w:ilvl="0" w:tentative="0">
      <w:start w:val="1"/>
      <w:numFmt w:val="japaneseCounting"/>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8294ACE"/>
    <w:multiLevelType w:val="multilevel"/>
    <w:tmpl w:val="08294AC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A9C2A4E"/>
    <w:multiLevelType w:val="multilevel"/>
    <w:tmpl w:val="0A9C2A4E"/>
    <w:lvl w:ilvl="0" w:tentative="0">
      <w:start w:val="1"/>
      <w:numFmt w:val="decimal"/>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ABB6701"/>
    <w:multiLevelType w:val="multilevel"/>
    <w:tmpl w:val="0ABB6701"/>
    <w:lvl w:ilvl="0" w:tentative="0">
      <w:start w:val="1"/>
      <w:numFmt w:val="decimal"/>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E230849"/>
    <w:multiLevelType w:val="multilevel"/>
    <w:tmpl w:val="0E230849"/>
    <w:lvl w:ilvl="0" w:tentative="0">
      <w:start w:val="1"/>
      <w:numFmt w:val="decimal"/>
      <w:pStyle w:val="217"/>
      <w:lvlText w:val="%1"/>
      <w:lvlJc w:val="left"/>
      <w:pPr>
        <w:ind w:left="680" w:hanging="680"/>
      </w:pPr>
      <w:rPr>
        <w:rFonts w:hint="eastAsia" w:ascii="宋体" w:hAnsi="宋体" w:eastAsia="宋体"/>
      </w:rPr>
    </w:lvl>
    <w:lvl w:ilvl="1" w:tentative="0">
      <w:start w:val="1"/>
      <w:numFmt w:val="decimal"/>
      <w:pStyle w:val="218"/>
      <w:lvlText w:val="%1.%2"/>
      <w:lvlJc w:val="left"/>
      <w:pPr>
        <w:ind w:left="851" w:hanging="851"/>
      </w:pPr>
      <w:rPr>
        <w:rFonts w:hint="eastAsia" w:ascii="宋体" w:hAnsi="宋体" w:eastAsia="宋体"/>
        <w:color w:val="auto"/>
      </w:rPr>
    </w:lvl>
    <w:lvl w:ilvl="2" w:tentative="0">
      <w:start w:val="1"/>
      <w:numFmt w:val="decimal"/>
      <w:pStyle w:val="21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6">
    <w:nsid w:val="10472579"/>
    <w:multiLevelType w:val="multilevel"/>
    <w:tmpl w:val="10472579"/>
    <w:lvl w:ilvl="0" w:tentative="0">
      <w:start w:val="1"/>
      <w:numFmt w:val="decimal"/>
      <w:lvlText w:val="（%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14C867EE"/>
    <w:multiLevelType w:val="multilevel"/>
    <w:tmpl w:val="14C867EE"/>
    <w:lvl w:ilvl="0" w:tentative="0">
      <w:start w:val="1"/>
      <w:numFmt w:val="japaneseCounting"/>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C272E31"/>
    <w:multiLevelType w:val="multilevel"/>
    <w:tmpl w:val="1C272E31"/>
    <w:lvl w:ilvl="0" w:tentative="0">
      <w:start w:val="1"/>
      <w:numFmt w:val="decimal"/>
      <w:lvlText w:val="%1．"/>
      <w:lvlJc w:val="center"/>
      <w:pPr>
        <w:ind w:left="980" w:hanging="420"/>
      </w:pPr>
      <w:rPr>
        <w:rFonts w:hint="default" w:cs="Times New Roman"/>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0">
    <w:nsid w:val="1FCD4497"/>
    <w:multiLevelType w:val="multilevel"/>
    <w:tmpl w:val="1FCD4497"/>
    <w:lvl w:ilvl="0" w:tentative="0">
      <w:start w:val="1"/>
      <w:numFmt w:val="chineseCountingThousand"/>
      <w:lvlText w:val="%1、"/>
      <w:lvlJc w:val="left"/>
      <w:pPr>
        <w:ind w:left="420" w:hanging="420"/>
      </w:pPr>
      <w:rPr>
        <w:rFonts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0620FE4"/>
    <w:multiLevelType w:val="multilevel"/>
    <w:tmpl w:val="20620FE4"/>
    <w:lvl w:ilvl="0" w:tentative="0">
      <w:start w:val="1"/>
      <w:numFmt w:val="decimal"/>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0A925CE"/>
    <w:multiLevelType w:val="multilevel"/>
    <w:tmpl w:val="20A925CE"/>
    <w:lvl w:ilvl="0" w:tentative="0">
      <w:start w:val="1"/>
      <w:numFmt w:val="decimal"/>
      <w:lvlText w:val="%1．"/>
      <w:lvlJc w:val="center"/>
      <w:pPr>
        <w:ind w:left="980" w:hanging="420"/>
      </w:pPr>
      <w:rPr>
        <w:rFonts w:hint="default" w:cs="Times New Roman"/>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3">
    <w:nsid w:val="21097E11"/>
    <w:multiLevelType w:val="multilevel"/>
    <w:tmpl w:val="21097E11"/>
    <w:lvl w:ilvl="0" w:tentative="0">
      <w:start w:val="1"/>
      <w:numFmt w:val="decimal"/>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A61FF20"/>
    <w:multiLevelType w:val="multilevel"/>
    <w:tmpl w:val="2A61FF20"/>
    <w:lvl w:ilvl="0" w:tentative="0">
      <w:start w:val="1"/>
      <w:numFmt w:val="decimal"/>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6">
    <w:nsid w:val="3048767B"/>
    <w:multiLevelType w:val="multilevel"/>
    <w:tmpl w:val="3048767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9F350C4"/>
    <w:multiLevelType w:val="multilevel"/>
    <w:tmpl w:val="39F350C4"/>
    <w:lvl w:ilvl="0" w:tentative="0">
      <w:start w:val="1"/>
      <w:numFmt w:val="decimal"/>
      <w:lvlText w:val="%1．"/>
      <w:lvlJc w:val="center"/>
      <w:pPr>
        <w:ind w:left="980" w:hanging="420"/>
      </w:pPr>
      <w:rPr>
        <w:rFonts w:hint="default" w:cs="Times New Roman"/>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8">
    <w:nsid w:val="3E6D0E24"/>
    <w:multiLevelType w:val="multilevel"/>
    <w:tmpl w:val="3E6D0E24"/>
    <w:lvl w:ilvl="0" w:tentative="0">
      <w:start w:val="1"/>
      <w:numFmt w:val="decimal"/>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1297CF2"/>
    <w:multiLevelType w:val="multilevel"/>
    <w:tmpl w:val="41297CF2"/>
    <w:lvl w:ilvl="0" w:tentative="0">
      <w:start w:val="1"/>
      <w:numFmt w:val="decimal"/>
      <w:lvlText w:val="%1."/>
      <w:lvlJc w:val="right"/>
      <w:pPr>
        <w:ind w:left="562"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0">
    <w:nsid w:val="43CB1415"/>
    <w:multiLevelType w:val="multilevel"/>
    <w:tmpl w:val="43CB1415"/>
    <w:lvl w:ilvl="0" w:tentative="0">
      <w:start w:val="1"/>
      <w:numFmt w:val="decimal"/>
      <w:lvlText w:val="（%1）"/>
      <w:lvlJc w:val="left"/>
      <w:pPr>
        <w:ind w:left="780" w:hanging="420"/>
      </w:pPr>
      <w:rPr>
        <w:rFonts w:hint="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1">
    <w:nsid w:val="44D857F2"/>
    <w:multiLevelType w:val="multilevel"/>
    <w:tmpl w:val="44D857F2"/>
    <w:lvl w:ilvl="0" w:tentative="0">
      <w:start w:val="1"/>
      <w:numFmt w:val="japaneseCounting"/>
      <w:lvlText w:val="（%1）"/>
      <w:lvlJc w:val="left"/>
      <w:pPr>
        <w:ind w:left="840" w:hanging="420"/>
      </w:pPr>
      <w:rPr>
        <w:rFonts w:hint="eastAsia"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33">
    <w:nsid w:val="54806F2C"/>
    <w:multiLevelType w:val="multilevel"/>
    <w:tmpl w:val="54806F2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6460409"/>
    <w:multiLevelType w:val="multilevel"/>
    <w:tmpl w:val="56460409"/>
    <w:lvl w:ilvl="0" w:tentative="0">
      <w:start w:val="1"/>
      <w:numFmt w:val="decimal"/>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A262D94"/>
    <w:multiLevelType w:val="multilevel"/>
    <w:tmpl w:val="5A262D94"/>
    <w:lvl w:ilvl="0" w:tentative="0">
      <w:start w:val="1"/>
      <w:numFmt w:val="decimal"/>
      <w:lvlText w:val="（%1）"/>
      <w:lvlJc w:val="left"/>
      <w:pPr>
        <w:ind w:left="780" w:hanging="420"/>
      </w:pPr>
      <w:rPr>
        <w:rFonts w:hint="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6">
    <w:nsid w:val="61A013B9"/>
    <w:multiLevelType w:val="multilevel"/>
    <w:tmpl w:val="61A013B9"/>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4084F68"/>
    <w:multiLevelType w:val="multilevel"/>
    <w:tmpl w:val="64084F68"/>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38">
    <w:nsid w:val="64270101"/>
    <w:multiLevelType w:val="multilevel"/>
    <w:tmpl w:val="6427010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66CE3B61"/>
    <w:multiLevelType w:val="multilevel"/>
    <w:tmpl w:val="66CE3B61"/>
    <w:lvl w:ilvl="0" w:tentative="0">
      <w:start w:val="1"/>
      <w:numFmt w:val="japaneseCounting"/>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D10472C"/>
    <w:multiLevelType w:val="multilevel"/>
    <w:tmpl w:val="6D10472C"/>
    <w:lvl w:ilvl="0" w:tentative="0">
      <w:start w:val="1"/>
      <w:numFmt w:val="decimal"/>
      <w:lvlText w:val="（%1）"/>
      <w:lvlJc w:val="right"/>
      <w:pPr>
        <w:ind w:left="1260" w:hanging="4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1">
    <w:nsid w:val="71D25483"/>
    <w:multiLevelType w:val="multilevel"/>
    <w:tmpl w:val="71D25483"/>
    <w:lvl w:ilvl="0" w:tentative="0">
      <w:start w:val="1"/>
      <w:numFmt w:val="decimal"/>
      <w:lvlText w:val="（%1）"/>
      <w:lvlJc w:val="left"/>
      <w:pPr>
        <w:ind w:left="660" w:hanging="420"/>
      </w:pPr>
      <w:rPr>
        <w:rFonts w:hint="eastAsia"/>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42">
    <w:nsid w:val="743F61A4"/>
    <w:multiLevelType w:val="multilevel"/>
    <w:tmpl w:val="743F61A4"/>
    <w:lvl w:ilvl="0" w:tentative="0">
      <w:start w:val="1"/>
      <w:numFmt w:val="decimal"/>
      <w:lvlText w:val="%1．"/>
      <w:lvlJc w:val="center"/>
      <w:pPr>
        <w:ind w:left="980" w:hanging="420"/>
      </w:pPr>
      <w:rPr>
        <w:rFonts w:hint="default" w:ascii="宋体" w:hAnsi="宋体" w:eastAsia="宋体" w:cs="Times New Roman"/>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3">
    <w:nsid w:val="75557E65"/>
    <w:multiLevelType w:val="multilevel"/>
    <w:tmpl w:val="75557E6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68A6D5F"/>
    <w:multiLevelType w:val="multilevel"/>
    <w:tmpl w:val="768A6D5F"/>
    <w:lvl w:ilvl="0" w:tentative="0">
      <w:start w:val="1"/>
      <w:numFmt w:val="decimal"/>
      <w:lvlText w:val="（%1）"/>
      <w:lvlJc w:val="right"/>
      <w:pPr>
        <w:ind w:left="1400" w:hanging="420"/>
      </w:pPr>
      <w:rPr>
        <w:rFonts w:hint="default"/>
      </w:rPr>
    </w:lvl>
    <w:lvl w:ilvl="1" w:tentative="0">
      <w:start w:val="1"/>
      <w:numFmt w:val="lowerLetter"/>
      <w:lvlText w:val="%2)"/>
      <w:lvlJc w:val="left"/>
      <w:pPr>
        <w:ind w:left="1820" w:hanging="420"/>
      </w:pPr>
    </w:lvl>
    <w:lvl w:ilvl="2" w:tentative="0">
      <w:start w:val="1"/>
      <w:numFmt w:val="lowerRoman"/>
      <w:lvlText w:val="%3."/>
      <w:lvlJc w:val="right"/>
      <w:pPr>
        <w:ind w:left="2240" w:hanging="420"/>
      </w:pPr>
    </w:lvl>
    <w:lvl w:ilvl="3" w:tentative="0">
      <w:start w:val="1"/>
      <w:numFmt w:val="decimal"/>
      <w:lvlText w:val="%4."/>
      <w:lvlJc w:val="left"/>
      <w:pPr>
        <w:ind w:left="2660" w:hanging="420"/>
      </w:pPr>
    </w:lvl>
    <w:lvl w:ilvl="4" w:tentative="0">
      <w:start w:val="1"/>
      <w:numFmt w:val="lowerLetter"/>
      <w:lvlText w:val="%5)"/>
      <w:lvlJc w:val="left"/>
      <w:pPr>
        <w:ind w:left="3080" w:hanging="420"/>
      </w:pPr>
    </w:lvl>
    <w:lvl w:ilvl="5" w:tentative="0">
      <w:start w:val="1"/>
      <w:numFmt w:val="lowerRoman"/>
      <w:lvlText w:val="%6."/>
      <w:lvlJc w:val="right"/>
      <w:pPr>
        <w:ind w:left="3500" w:hanging="420"/>
      </w:pPr>
    </w:lvl>
    <w:lvl w:ilvl="6" w:tentative="0">
      <w:start w:val="1"/>
      <w:numFmt w:val="decimal"/>
      <w:lvlText w:val="%7."/>
      <w:lvlJc w:val="left"/>
      <w:pPr>
        <w:ind w:left="3920" w:hanging="420"/>
      </w:pPr>
    </w:lvl>
    <w:lvl w:ilvl="7" w:tentative="0">
      <w:start w:val="1"/>
      <w:numFmt w:val="lowerLetter"/>
      <w:lvlText w:val="%8)"/>
      <w:lvlJc w:val="left"/>
      <w:pPr>
        <w:ind w:left="4340" w:hanging="420"/>
      </w:pPr>
    </w:lvl>
    <w:lvl w:ilvl="8" w:tentative="0">
      <w:start w:val="1"/>
      <w:numFmt w:val="lowerRoman"/>
      <w:lvlText w:val="%9."/>
      <w:lvlJc w:val="right"/>
      <w:pPr>
        <w:ind w:left="4760" w:hanging="420"/>
      </w:pPr>
    </w:lvl>
  </w:abstractNum>
  <w:abstractNum w:abstractNumId="45">
    <w:nsid w:val="7DCD6967"/>
    <w:multiLevelType w:val="multilevel"/>
    <w:tmpl w:val="7DCD6967"/>
    <w:lvl w:ilvl="0" w:tentative="0">
      <w:start w:val="1"/>
      <w:numFmt w:val="japaneseCounting"/>
      <w:lvlText w:val="（%1）"/>
      <w:lvlJc w:val="left"/>
      <w:pPr>
        <w:ind w:left="840" w:hanging="420"/>
      </w:pPr>
      <w:rPr>
        <w:rFonts w:hint="eastAsia"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5"/>
  </w:num>
  <w:num w:numId="8">
    <w:abstractNumId w:val="7"/>
  </w:num>
  <w:num w:numId="9">
    <w:abstractNumId w:val="1"/>
  </w:num>
  <w:num w:numId="10">
    <w:abstractNumId w:val="17"/>
  </w:num>
  <w:num w:numId="11">
    <w:abstractNumId w:val="20"/>
  </w:num>
  <w:num w:numId="12">
    <w:abstractNumId w:val="18"/>
  </w:num>
  <w:num w:numId="13">
    <w:abstractNumId w:val="45"/>
  </w:num>
  <w:num w:numId="14">
    <w:abstractNumId w:val="29"/>
  </w:num>
  <w:num w:numId="15">
    <w:abstractNumId w:val="16"/>
  </w:num>
  <w:num w:numId="16">
    <w:abstractNumId w:val="37"/>
  </w:num>
  <w:num w:numId="17">
    <w:abstractNumId w:val="10"/>
  </w:num>
  <w:num w:numId="18">
    <w:abstractNumId w:val="26"/>
  </w:num>
  <w:num w:numId="19">
    <w:abstractNumId w:val="12"/>
  </w:num>
  <w:num w:numId="20">
    <w:abstractNumId w:val="23"/>
  </w:num>
  <w:num w:numId="21">
    <w:abstractNumId w:val="38"/>
  </w:num>
  <w:num w:numId="22">
    <w:abstractNumId w:val="43"/>
  </w:num>
  <w:num w:numId="23">
    <w:abstractNumId w:val="13"/>
  </w:num>
  <w:num w:numId="24">
    <w:abstractNumId w:val="30"/>
  </w:num>
  <w:num w:numId="25">
    <w:abstractNumId w:val="35"/>
  </w:num>
  <w:num w:numId="26">
    <w:abstractNumId w:val="34"/>
  </w:num>
  <w:num w:numId="27">
    <w:abstractNumId w:val="33"/>
  </w:num>
  <w:num w:numId="28">
    <w:abstractNumId w:val="41"/>
  </w:num>
  <w:num w:numId="29">
    <w:abstractNumId w:val="14"/>
  </w:num>
  <w:num w:numId="30">
    <w:abstractNumId w:val="39"/>
  </w:num>
  <w:num w:numId="31">
    <w:abstractNumId w:val="31"/>
  </w:num>
  <w:num w:numId="32">
    <w:abstractNumId w:val="0"/>
  </w:num>
  <w:num w:numId="33">
    <w:abstractNumId w:val="11"/>
  </w:num>
  <w:num w:numId="34">
    <w:abstractNumId w:val="21"/>
  </w:num>
  <w:num w:numId="35">
    <w:abstractNumId w:val="36"/>
  </w:num>
  <w:num w:numId="36">
    <w:abstractNumId w:val="28"/>
  </w:num>
  <w:num w:numId="37">
    <w:abstractNumId w:val="24"/>
  </w:num>
  <w:num w:numId="38">
    <w:abstractNumId w:val="19"/>
  </w:num>
  <w:num w:numId="39">
    <w:abstractNumId w:val="22"/>
  </w:num>
  <w:num w:numId="40">
    <w:abstractNumId w:val="40"/>
  </w:num>
  <w:num w:numId="41">
    <w:abstractNumId w:val="42"/>
  </w:num>
  <w:num w:numId="42">
    <w:abstractNumId w:val="44"/>
  </w:num>
  <w:num w:numId="43">
    <w:abstractNumId w:val="27"/>
  </w:num>
  <w:num w:numId="44">
    <w:abstractNumId w:val="25"/>
  </w:num>
  <w:num w:numId="45">
    <w:abstractNumId w:val="32"/>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2FA"/>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63"/>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3D4C"/>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B"/>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9D"/>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5C1F1D"/>
    <w:rsid w:val="01E50CD4"/>
    <w:rsid w:val="021961D5"/>
    <w:rsid w:val="02DB3BAC"/>
    <w:rsid w:val="039B4674"/>
    <w:rsid w:val="03CF1D81"/>
    <w:rsid w:val="03D54514"/>
    <w:rsid w:val="04E76A39"/>
    <w:rsid w:val="05046312"/>
    <w:rsid w:val="050B015A"/>
    <w:rsid w:val="06B15458"/>
    <w:rsid w:val="06B36054"/>
    <w:rsid w:val="08E95A46"/>
    <w:rsid w:val="08F64DC1"/>
    <w:rsid w:val="0ACB4F8A"/>
    <w:rsid w:val="0B660C1A"/>
    <w:rsid w:val="0C111AB4"/>
    <w:rsid w:val="0C260F5E"/>
    <w:rsid w:val="0C744089"/>
    <w:rsid w:val="0D7511DD"/>
    <w:rsid w:val="0EA43C9D"/>
    <w:rsid w:val="108D4A90"/>
    <w:rsid w:val="10C469AA"/>
    <w:rsid w:val="1218482D"/>
    <w:rsid w:val="12C25655"/>
    <w:rsid w:val="147B3A1F"/>
    <w:rsid w:val="14A805EB"/>
    <w:rsid w:val="16E757FC"/>
    <w:rsid w:val="17F93E0B"/>
    <w:rsid w:val="19D011E4"/>
    <w:rsid w:val="1A3F2538"/>
    <w:rsid w:val="1AE14356"/>
    <w:rsid w:val="1C455CA5"/>
    <w:rsid w:val="1C67088B"/>
    <w:rsid w:val="1CF25113"/>
    <w:rsid w:val="1D1400E0"/>
    <w:rsid w:val="1D2C69D2"/>
    <w:rsid w:val="1F02073C"/>
    <w:rsid w:val="1FC63C3B"/>
    <w:rsid w:val="200603BB"/>
    <w:rsid w:val="2006452E"/>
    <w:rsid w:val="20582725"/>
    <w:rsid w:val="21654BDE"/>
    <w:rsid w:val="21BF509F"/>
    <w:rsid w:val="220A23E4"/>
    <w:rsid w:val="2249746C"/>
    <w:rsid w:val="23923363"/>
    <w:rsid w:val="239E00B4"/>
    <w:rsid w:val="23E64310"/>
    <w:rsid w:val="24150AFD"/>
    <w:rsid w:val="245078F0"/>
    <w:rsid w:val="251E74A4"/>
    <w:rsid w:val="26555BF8"/>
    <w:rsid w:val="26963E40"/>
    <w:rsid w:val="26CA27B2"/>
    <w:rsid w:val="26F50752"/>
    <w:rsid w:val="270B2E3E"/>
    <w:rsid w:val="27843CE5"/>
    <w:rsid w:val="28F32B26"/>
    <w:rsid w:val="29957F18"/>
    <w:rsid w:val="2B564267"/>
    <w:rsid w:val="2E39347F"/>
    <w:rsid w:val="2F983E1B"/>
    <w:rsid w:val="2FAF3CE7"/>
    <w:rsid w:val="2FCA7487"/>
    <w:rsid w:val="315A6669"/>
    <w:rsid w:val="32127A3F"/>
    <w:rsid w:val="32923F98"/>
    <w:rsid w:val="32CD6EEC"/>
    <w:rsid w:val="32EB653A"/>
    <w:rsid w:val="3403387D"/>
    <w:rsid w:val="34E546E9"/>
    <w:rsid w:val="37B55E99"/>
    <w:rsid w:val="3BCB6780"/>
    <w:rsid w:val="3C5F238F"/>
    <w:rsid w:val="3C9B4A65"/>
    <w:rsid w:val="3DF140B8"/>
    <w:rsid w:val="3E091E23"/>
    <w:rsid w:val="3EA515C9"/>
    <w:rsid w:val="3F91350E"/>
    <w:rsid w:val="404E15B7"/>
    <w:rsid w:val="41C0641A"/>
    <w:rsid w:val="41EE565D"/>
    <w:rsid w:val="429D124A"/>
    <w:rsid w:val="42CD0A98"/>
    <w:rsid w:val="42F44377"/>
    <w:rsid w:val="431A0C09"/>
    <w:rsid w:val="451A46E7"/>
    <w:rsid w:val="480E2158"/>
    <w:rsid w:val="48FB5623"/>
    <w:rsid w:val="4A15577F"/>
    <w:rsid w:val="4B5A4840"/>
    <w:rsid w:val="4B65373A"/>
    <w:rsid w:val="4B977429"/>
    <w:rsid w:val="4C4D4AF8"/>
    <w:rsid w:val="4C910630"/>
    <w:rsid w:val="4CE23492"/>
    <w:rsid w:val="4D00163A"/>
    <w:rsid w:val="4D231458"/>
    <w:rsid w:val="4DEB53B0"/>
    <w:rsid w:val="4E33358C"/>
    <w:rsid w:val="4F0F5BE3"/>
    <w:rsid w:val="4F2A164C"/>
    <w:rsid w:val="4F4C553B"/>
    <w:rsid w:val="4F627D30"/>
    <w:rsid w:val="4FBB05BD"/>
    <w:rsid w:val="50245B70"/>
    <w:rsid w:val="503827BA"/>
    <w:rsid w:val="51502341"/>
    <w:rsid w:val="521C11F4"/>
    <w:rsid w:val="52422029"/>
    <w:rsid w:val="52CC40DE"/>
    <w:rsid w:val="5300401A"/>
    <w:rsid w:val="55040901"/>
    <w:rsid w:val="55E80D0A"/>
    <w:rsid w:val="5643722D"/>
    <w:rsid w:val="565F7902"/>
    <w:rsid w:val="56DF05DE"/>
    <w:rsid w:val="56F70118"/>
    <w:rsid w:val="57FC6189"/>
    <w:rsid w:val="59116B65"/>
    <w:rsid w:val="595B6AA6"/>
    <w:rsid w:val="5B69102B"/>
    <w:rsid w:val="5D7944DC"/>
    <w:rsid w:val="5E193A9C"/>
    <w:rsid w:val="5E2B5FA2"/>
    <w:rsid w:val="5E4E2182"/>
    <w:rsid w:val="5EC7698C"/>
    <w:rsid w:val="5F073306"/>
    <w:rsid w:val="5F5F73B9"/>
    <w:rsid w:val="642C622B"/>
    <w:rsid w:val="65321667"/>
    <w:rsid w:val="65D67696"/>
    <w:rsid w:val="66FC119E"/>
    <w:rsid w:val="6838144E"/>
    <w:rsid w:val="6853399D"/>
    <w:rsid w:val="68AA7398"/>
    <w:rsid w:val="694903B8"/>
    <w:rsid w:val="6A325A85"/>
    <w:rsid w:val="6E7D2524"/>
    <w:rsid w:val="6F97D24A"/>
    <w:rsid w:val="7062381E"/>
    <w:rsid w:val="707B2F14"/>
    <w:rsid w:val="716C1CE5"/>
    <w:rsid w:val="71E909FE"/>
    <w:rsid w:val="728959E5"/>
    <w:rsid w:val="72D11816"/>
    <w:rsid w:val="73295C52"/>
    <w:rsid w:val="742C597A"/>
    <w:rsid w:val="74BF53EA"/>
    <w:rsid w:val="74EE0377"/>
    <w:rsid w:val="752D2C5E"/>
    <w:rsid w:val="75395CBA"/>
    <w:rsid w:val="767C665B"/>
    <w:rsid w:val="768914CC"/>
    <w:rsid w:val="77575522"/>
    <w:rsid w:val="77A56AD2"/>
    <w:rsid w:val="77AA766B"/>
    <w:rsid w:val="78B418D7"/>
    <w:rsid w:val="79444E26"/>
    <w:rsid w:val="7A2F22B2"/>
    <w:rsid w:val="7BC506FF"/>
    <w:rsid w:val="7BD438AB"/>
    <w:rsid w:val="7CB50DA1"/>
    <w:rsid w:val="7D5661EE"/>
    <w:rsid w:val="7EA53C58"/>
    <w:rsid w:val="7EFD4DC3"/>
    <w:rsid w:val="7F1E197E"/>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5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56"/>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5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58"/>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5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6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3">
    <w:name w:val="Default Paragraph Font"/>
    <w:semiHidden/>
    <w:unhideWhenUsed/>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5"/>
    <w:qFormat/>
    <w:uiPriority w:val="0"/>
    <w:pPr>
      <w:tabs>
        <w:tab w:val="left" w:pos="567"/>
      </w:tabs>
      <w:spacing w:before="120" w:line="22" w:lineRule="atLeast"/>
    </w:pPr>
    <w:rPr>
      <w:rFonts w:ascii="宋体" w:hAnsi="宋体"/>
      <w:sz w:val="24"/>
    </w:rPr>
  </w:style>
  <w:style w:type="paragraph" w:styleId="3">
    <w:name w:val="Body Text First Indent"/>
    <w:basedOn w:val="2"/>
    <w:next w:val="1"/>
    <w:qFormat/>
    <w:uiPriority w:val="0"/>
    <w:pPr>
      <w:spacing w:line="360" w:lineRule="auto"/>
      <w:ind w:firstLine="420"/>
    </w:pPr>
    <w:rPr>
      <w:szCs w:val="20"/>
    </w:rPr>
  </w:style>
  <w:style w:type="paragraph" w:styleId="6">
    <w:name w:val="Normal Indent"/>
    <w:basedOn w:val="1"/>
    <w:link w:val="53"/>
    <w:qFormat/>
    <w:uiPriority w:val="99"/>
    <w:pPr>
      <w:autoSpaceDE w:val="0"/>
      <w:autoSpaceDN w:val="0"/>
      <w:adjustRightInd w:val="0"/>
      <w:ind w:firstLine="420"/>
      <w:jc w:val="left"/>
    </w:pPr>
    <w:rPr>
      <w:rFonts w:ascii="宋体"/>
      <w:sz w:val="24"/>
    </w:rPr>
  </w:style>
  <w:style w:type="paragraph" w:customStyle="1" w:styleId="8">
    <w:name w:val="正文缩进1"/>
    <w:basedOn w:val="1"/>
    <w:qFormat/>
    <w:uiPriority w:val="0"/>
    <w:pPr>
      <w:autoSpaceDE w:val="0"/>
      <w:autoSpaceDN w:val="0"/>
      <w:adjustRightInd w:val="0"/>
      <w:ind w:firstLine="420"/>
      <w:jc w:val="left"/>
    </w:pPr>
    <w:rPr>
      <w:rFonts w:ascii="宋体"/>
      <w:kern w:val="0"/>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2"/>
    <w:qFormat/>
    <w:uiPriority w:val="0"/>
    <w:pPr>
      <w:shd w:val="clear" w:color="auto" w:fill="000080"/>
    </w:pPr>
  </w:style>
  <w:style w:type="paragraph" w:styleId="17">
    <w:name w:val="annotation text"/>
    <w:basedOn w:val="1"/>
    <w:link w:val="63"/>
    <w:qFormat/>
    <w:uiPriority w:val="99"/>
    <w:pPr>
      <w:jc w:val="left"/>
    </w:pPr>
  </w:style>
  <w:style w:type="paragraph" w:styleId="18">
    <w:name w:val="Body Text 3"/>
    <w:basedOn w:val="1"/>
    <w:link w:val="64"/>
    <w:qFormat/>
    <w:uiPriority w:val="0"/>
    <w:pPr>
      <w:spacing w:after="120"/>
    </w:pPr>
    <w:rPr>
      <w:sz w:val="16"/>
      <w:szCs w:val="16"/>
    </w:rPr>
  </w:style>
  <w:style w:type="paragraph" w:styleId="19">
    <w:name w:val="Body Text Indent"/>
    <w:basedOn w:val="1"/>
    <w:link w:val="66"/>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23">
    <w:name w:val="Plain Text"/>
    <w:basedOn w:val="1"/>
    <w:next w:val="1"/>
    <w:link w:val="69"/>
    <w:qFormat/>
    <w:uiPriority w:val="0"/>
    <w:rPr>
      <w:rFonts w:hint="eastAsia" w:ascii="宋体" w:hAnsi="Courier New"/>
      <w:szCs w:val="20"/>
    </w:rPr>
  </w:style>
  <w:style w:type="paragraph" w:styleId="24">
    <w:name w:val="Date"/>
    <w:basedOn w:val="1"/>
    <w:next w:val="1"/>
    <w:link w:val="71"/>
    <w:qFormat/>
    <w:uiPriority w:val="0"/>
    <w:pPr>
      <w:ind w:left="100" w:leftChars="2500"/>
    </w:pPr>
    <w:rPr>
      <w:rFonts w:ascii="仿宋_GB2312" w:hAnsi="宋体" w:eastAsia="仿宋_GB2312"/>
      <w:color w:val="000000"/>
      <w:sz w:val="24"/>
    </w:rPr>
  </w:style>
  <w:style w:type="paragraph" w:styleId="25">
    <w:name w:val="Body Text Indent 2"/>
    <w:basedOn w:val="1"/>
    <w:link w:val="72"/>
    <w:qFormat/>
    <w:uiPriority w:val="99"/>
    <w:pPr>
      <w:ind w:firstLine="480" w:firstLineChars="200"/>
    </w:pPr>
    <w:rPr>
      <w:rFonts w:ascii="仿宋_GB2312" w:eastAsia="仿宋_GB2312"/>
      <w:sz w:val="24"/>
    </w:rPr>
  </w:style>
  <w:style w:type="paragraph" w:styleId="26">
    <w:name w:val="Balloon Text"/>
    <w:basedOn w:val="1"/>
    <w:link w:val="73"/>
    <w:qFormat/>
    <w:uiPriority w:val="0"/>
    <w:rPr>
      <w:sz w:val="18"/>
      <w:szCs w:val="18"/>
    </w:rPr>
  </w:style>
  <w:style w:type="paragraph" w:styleId="27">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8">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1">
    <w:name w:val="index 9"/>
    <w:basedOn w:val="1"/>
    <w:next w:val="1"/>
    <w:qFormat/>
    <w:uiPriority w:val="0"/>
    <w:pPr>
      <w:ind w:left="3360"/>
      <w:jc w:val="left"/>
    </w:pPr>
    <w:rPr>
      <w:szCs w:val="20"/>
    </w:rPr>
  </w:style>
  <w:style w:type="paragraph" w:styleId="3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33">
    <w:name w:val="Body Text 2"/>
    <w:basedOn w:val="1"/>
    <w:unhideWhenUsed/>
    <w:qFormat/>
    <w:uiPriority w:val="99"/>
    <w:pPr>
      <w:adjustRightInd w:val="0"/>
      <w:spacing w:after="120" w:line="480" w:lineRule="auto"/>
      <w:jc w:val="left"/>
      <w:textAlignment w:val="baseline"/>
    </w:pPr>
    <w:rPr>
      <w:rFonts w:ascii="Calibri" w:hAnsi="Calibri"/>
      <w:kern w:val="0"/>
      <w:sz w:val="24"/>
      <w:szCs w:val="22"/>
      <w:lang w:val="zh-CN"/>
    </w:rPr>
  </w:style>
  <w:style w:type="paragraph" w:styleId="34">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index 1"/>
    <w:basedOn w:val="1"/>
    <w:next w:val="1"/>
    <w:qFormat/>
    <w:uiPriority w:val="0"/>
    <w:rPr>
      <w:szCs w:val="20"/>
    </w:rPr>
  </w:style>
  <w:style w:type="paragraph" w:styleId="37">
    <w:name w:val="Title"/>
    <w:basedOn w:val="1"/>
    <w:link w:val="83"/>
    <w:qFormat/>
    <w:uiPriority w:val="0"/>
    <w:pPr>
      <w:jc w:val="center"/>
      <w:outlineLvl w:val="0"/>
    </w:pPr>
    <w:rPr>
      <w:b/>
      <w:sz w:val="32"/>
      <w:szCs w:val="20"/>
    </w:rPr>
  </w:style>
  <w:style w:type="paragraph" w:styleId="38">
    <w:name w:val="annotation subject"/>
    <w:basedOn w:val="17"/>
    <w:next w:val="17"/>
    <w:link w:val="84"/>
    <w:qFormat/>
    <w:uiPriority w:val="0"/>
    <w:rPr>
      <w:b/>
      <w:bCs/>
    </w:rPr>
  </w:style>
  <w:style w:type="paragraph" w:styleId="39">
    <w:name w:val="Body Text First Indent 2"/>
    <w:basedOn w:val="19"/>
    <w:next w:val="1"/>
    <w:unhideWhenUsed/>
    <w:qFormat/>
    <w:uiPriority w:val="99"/>
    <w:pPr>
      <w:spacing w:after="120" w:line="240" w:lineRule="auto"/>
      <w:ind w:left="420" w:leftChars="200" w:firstLine="200" w:firstLineChars="200"/>
    </w:pPr>
    <w:rPr>
      <w:sz w:val="21"/>
    </w:rPr>
  </w:style>
  <w:style w:type="table" w:styleId="41">
    <w:name w:val="Table Grid"/>
    <w:basedOn w:val="4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2">
    <w:name w:val="Medium Grid 1 Accent 2"/>
    <w:basedOn w:val="40"/>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4">
    <w:name w:val="Strong"/>
    <w:qFormat/>
    <w:uiPriority w:val="22"/>
    <w:rPr>
      <w:b/>
      <w:bCs/>
    </w:rPr>
  </w:style>
  <w:style w:type="character" w:styleId="45">
    <w:name w:val="page number"/>
    <w:qFormat/>
    <w:uiPriority w:val="0"/>
  </w:style>
  <w:style w:type="character" w:styleId="46">
    <w:name w:val="FollowedHyperlink"/>
    <w:qFormat/>
    <w:uiPriority w:val="0"/>
    <w:rPr>
      <w:color w:val="800080"/>
      <w:u w:val="single"/>
    </w:rPr>
  </w:style>
  <w:style w:type="character" w:styleId="47">
    <w:name w:val="Emphasis"/>
    <w:qFormat/>
    <w:uiPriority w:val="0"/>
    <w:rPr>
      <w:color w:val="CC0033"/>
    </w:rPr>
  </w:style>
  <w:style w:type="character" w:styleId="48">
    <w:name w:val="Hyperlink"/>
    <w:qFormat/>
    <w:uiPriority w:val="99"/>
    <w:rPr>
      <w:color w:val="0000FF"/>
      <w:u w:val="single"/>
    </w:rPr>
  </w:style>
  <w:style w:type="character" w:styleId="49">
    <w:name w:val="annotation reference"/>
    <w:basedOn w:val="43"/>
    <w:qFormat/>
    <w:uiPriority w:val="99"/>
    <w:rPr>
      <w:sz w:val="21"/>
      <w:szCs w:val="21"/>
    </w:rPr>
  </w:style>
  <w:style w:type="character" w:styleId="50">
    <w:name w:val="HTML Cite"/>
    <w:qFormat/>
    <w:uiPriority w:val="0"/>
    <w:rPr>
      <w:i/>
      <w:iCs/>
    </w:rPr>
  </w:style>
  <w:style w:type="character" w:customStyle="1" w:styleId="51">
    <w:name w:val="标题 1 Char"/>
    <w:link w:val="4"/>
    <w:qFormat/>
    <w:uiPriority w:val="0"/>
    <w:rPr>
      <w:rFonts w:ascii="宋体"/>
      <w:b/>
      <w:kern w:val="44"/>
      <w:sz w:val="32"/>
    </w:rPr>
  </w:style>
  <w:style w:type="character" w:customStyle="1" w:styleId="52">
    <w:name w:val="标题 2 Char1"/>
    <w:link w:val="5"/>
    <w:qFormat/>
    <w:uiPriority w:val="0"/>
    <w:rPr>
      <w:rFonts w:ascii="Arial" w:hAnsi="Arial" w:eastAsia="黑体"/>
      <w:b/>
      <w:sz w:val="30"/>
      <w:lang w:val="en-US" w:eastAsia="zh-CN" w:bidi="ar-SA"/>
    </w:rPr>
  </w:style>
  <w:style w:type="character" w:customStyle="1" w:styleId="53">
    <w:name w:val="正文缩进 Char1"/>
    <w:link w:val="6"/>
    <w:qFormat/>
    <w:uiPriority w:val="0"/>
    <w:rPr>
      <w:rFonts w:ascii="宋体" w:eastAsia="宋体"/>
      <w:kern w:val="2"/>
      <w:sz w:val="24"/>
      <w:szCs w:val="24"/>
      <w:lang w:val="en-US" w:eastAsia="zh-CN" w:bidi="ar-SA"/>
    </w:rPr>
  </w:style>
  <w:style w:type="character" w:customStyle="1" w:styleId="54">
    <w:name w:val="标题 3 Char1"/>
    <w:link w:val="7"/>
    <w:qFormat/>
    <w:uiPriority w:val="0"/>
    <w:rPr>
      <w:rFonts w:ascii="宋体" w:eastAsia="宋体"/>
      <w:b/>
      <w:sz w:val="24"/>
      <w:u w:val="single"/>
      <w:lang w:val="en-US" w:eastAsia="zh-CN" w:bidi="ar-SA"/>
    </w:rPr>
  </w:style>
  <w:style w:type="character" w:customStyle="1" w:styleId="55">
    <w:name w:val="标题 4 Char"/>
    <w:link w:val="9"/>
    <w:qFormat/>
    <w:uiPriority w:val="0"/>
    <w:rPr>
      <w:rFonts w:ascii="Arial" w:hAnsi="Arial" w:eastAsia="黑体"/>
      <w:b/>
      <w:sz w:val="28"/>
    </w:rPr>
  </w:style>
  <w:style w:type="character" w:customStyle="1" w:styleId="56">
    <w:name w:val="标题 5 Char"/>
    <w:link w:val="10"/>
    <w:qFormat/>
    <w:uiPriority w:val="0"/>
    <w:rPr>
      <w:b/>
      <w:sz w:val="28"/>
    </w:rPr>
  </w:style>
  <w:style w:type="character" w:customStyle="1" w:styleId="57">
    <w:name w:val="标题 6 Char"/>
    <w:link w:val="11"/>
    <w:qFormat/>
    <w:uiPriority w:val="0"/>
    <w:rPr>
      <w:rFonts w:ascii="Arial" w:hAnsi="Arial" w:eastAsia="黑体"/>
      <w:b/>
      <w:sz w:val="24"/>
    </w:rPr>
  </w:style>
  <w:style w:type="character" w:customStyle="1" w:styleId="58">
    <w:name w:val="标题 7 Char"/>
    <w:link w:val="12"/>
    <w:qFormat/>
    <w:uiPriority w:val="0"/>
    <w:rPr>
      <w:b/>
      <w:sz w:val="24"/>
    </w:rPr>
  </w:style>
  <w:style w:type="character" w:customStyle="1" w:styleId="59">
    <w:name w:val="标题 8 Char"/>
    <w:link w:val="13"/>
    <w:qFormat/>
    <w:uiPriority w:val="0"/>
    <w:rPr>
      <w:rFonts w:ascii="Arial" w:hAnsi="Arial" w:eastAsia="黑体"/>
      <w:sz w:val="24"/>
    </w:rPr>
  </w:style>
  <w:style w:type="character" w:customStyle="1" w:styleId="60">
    <w:name w:val="标题 9 Char"/>
    <w:link w:val="14"/>
    <w:qFormat/>
    <w:uiPriority w:val="0"/>
    <w:rPr>
      <w:rFonts w:ascii="Arial" w:hAnsi="Arial" w:eastAsia="黑体"/>
      <w:sz w:val="21"/>
    </w:rPr>
  </w:style>
  <w:style w:type="paragraph" w:customStyle="1" w:styleId="61">
    <w:name w:val="目录 71"/>
    <w:basedOn w:val="1"/>
    <w:next w:val="1"/>
    <w:qFormat/>
    <w:uiPriority w:val="0"/>
    <w:pPr>
      <w:ind w:left="2520" w:leftChars="1200"/>
    </w:pPr>
  </w:style>
  <w:style w:type="character" w:customStyle="1" w:styleId="62">
    <w:name w:val="文档结构图 Char"/>
    <w:link w:val="16"/>
    <w:qFormat/>
    <w:uiPriority w:val="0"/>
    <w:rPr>
      <w:kern w:val="2"/>
      <w:sz w:val="21"/>
      <w:szCs w:val="24"/>
      <w:shd w:val="clear" w:color="auto" w:fill="000080"/>
    </w:rPr>
  </w:style>
  <w:style w:type="character" w:customStyle="1" w:styleId="63">
    <w:name w:val="批注文字 Char1"/>
    <w:link w:val="17"/>
    <w:qFormat/>
    <w:uiPriority w:val="99"/>
    <w:rPr>
      <w:kern w:val="2"/>
      <w:sz w:val="21"/>
      <w:szCs w:val="24"/>
    </w:rPr>
  </w:style>
  <w:style w:type="character" w:customStyle="1" w:styleId="64">
    <w:name w:val="正文文本 3 Char"/>
    <w:link w:val="18"/>
    <w:qFormat/>
    <w:uiPriority w:val="0"/>
    <w:rPr>
      <w:kern w:val="2"/>
      <w:sz w:val="16"/>
      <w:szCs w:val="16"/>
    </w:rPr>
  </w:style>
  <w:style w:type="character" w:customStyle="1" w:styleId="65">
    <w:name w:val="正文文本 Char1"/>
    <w:link w:val="2"/>
    <w:qFormat/>
    <w:uiPriority w:val="0"/>
    <w:rPr>
      <w:rFonts w:ascii="宋体" w:hAnsi="宋体"/>
      <w:kern w:val="2"/>
      <w:sz w:val="24"/>
      <w:szCs w:val="24"/>
    </w:rPr>
  </w:style>
  <w:style w:type="character" w:customStyle="1" w:styleId="66">
    <w:name w:val="正文文本缩进 Char2"/>
    <w:link w:val="19"/>
    <w:qFormat/>
    <w:uiPriority w:val="0"/>
    <w:rPr>
      <w:rFonts w:eastAsia="宋体"/>
      <w:kern w:val="2"/>
      <w:sz w:val="24"/>
      <w:szCs w:val="24"/>
      <w:lang w:val="en-US" w:eastAsia="zh-CN" w:bidi="ar-SA"/>
    </w:rPr>
  </w:style>
  <w:style w:type="paragraph" w:customStyle="1" w:styleId="67">
    <w:name w:val="目录 51"/>
    <w:basedOn w:val="1"/>
    <w:next w:val="1"/>
    <w:qFormat/>
    <w:uiPriority w:val="0"/>
    <w:pPr>
      <w:ind w:left="1680" w:leftChars="800"/>
    </w:pPr>
  </w:style>
  <w:style w:type="paragraph" w:customStyle="1" w:styleId="68">
    <w:name w:val="目录 31"/>
    <w:basedOn w:val="1"/>
    <w:next w:val="1"/>
    <w:qFormat/>
    <w:uiPriority w:val="39"/>
    <w:pPr>
      <w:ind w:left="840" w:leftChars="400"/>
    </w:pPr>
  </w:style>
  <w:style w:type="character" w:customStyle="1" w:styleId="69">
    <w:name w:val="纯文本 Char2"/>
    <w:link w:val="23"/>
    <w:qFormat/>
    <w:uiPriority w:val="99"/>
    <w:rPr>
      <w:rFonts w:hint="eastAsia" w:ascii="宋体" w:hAnsi="Courier New" w:eastAsia="宋体" w:cs="宋体"/>
      <w:kern w:val="2"/>
      <w:sz w:val="21"/>
    </w:rPr>
  </w:style>
  <w:style w:type="paragraph" w:customStyle="1" w:styleId="70">
    <w:name w:val="目录 81"/>
    <w:basedOn w:val="1"/>
    <w:next w:val="1"/>
    <w:qFormat/>
    <w:uiPriority w:val="0"/>
    <w:pPr>
      <w:ind w:left="2940" w:leftChars="1400"/>
    </w:pPr>
  </w:style>
  <w:style w:type="character" w:customStyle="1" w:styleId="71">
    <w:name w:val="日期 Char"/>
    <w:link w:val="24"/>
    <w:qFormat/>
    <w:uiPriority w:val="0"/>
    <w:rPr>
      <w:rFonts w:ascii="仿宋_GB2312" w:hAnsi="宋体" w:eastAsia="仿宋_GB2312"/>
      <w:color w:val="000000"/>
      <w:kern w:val="2"/>
      <w:sz w:val="24"/>
      <w:szCs w:val="24"/>
    </w:rPr>
  </w:style>
  <w:style w:type="character" w:customStyle="1" w:styleId="72">
    <w:name w:val="正文文本缩进 2 Char1"/>
    <w:link w:val="25"/>
    <w:qFormat/>
    <w:uiPriority w:val="0"/>
    <w:rPr>
      <w:rFonts w:ascii="仿宋_GB2312" w:eastAsia="仿宋_GB2312"/>
      <w:kern w:val="2"/>
      <w:sz w:val="24"/>
      <w:szCs w:val="24"/>
    </w:rPr>
  </w:style>
  <w:style w:type="character" w:customStyle="1" w:styleId="73">
    <w:name w:val="批注框文本 Char"/>
    <w:link w:val="26"/>
    <w:qFormat/>
    <w:uiPriority w:val="0"/>
    <w:rPr>
      <w:kern w:val="2"/>
      <w:sz w:val="18"/>
      <w:szCs w:val="18"/>
    </w:rPr>
  </w:style>
  <w:style w:type="character" w:customStyle="1" w:styleId="74">
    <w:name w:val="页脚 Char1"/>
    <w:link w:val="27"/>
    <w:qFormat/>
    <w:uiPriority w:val="99"/>
    <w:rPr>
      <w:rFonts w:ascii="宋体" w:eastAsia="宋体"/>
      <w:sz w:val="18"/>
      <w:lang w:val="en-US" w:eastAsia="zh-CN" w:bidi="ar-SA"/>
    </w:rPr>
  </w:style>
  <w:style w:type="character" w:customStyle="1" w:styleId="75">
    <w:name w:val="页眉 Char1"/>
    <w:link w:val="28"/>
    <w:qFormat/>
    <w:uiPriority w:val="0"/>
    <w:rPr>
      <w:rFonts w:eastAsia="宋体"/>
      <w:kern w:val="2"/>
      <w:sz w:val="18"/>
      <w:szCs w:val="18"/>
      <w:lang w:val="en-US" w:eastAsia="zh-CN" w:bidi="ar-SA"/>
    </w:rPr>
  </w:style>
  <w:style w:type="paragraph" w:customStyle="1" w:styleId="76">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77">
    <w:name w:val="目录 41"/>
    <w:basedOn w:val="1"/>
    <w:next w:val="1"/>
    <w:qFormat/>
    <w:uiPriority w:val="0"/>
    <w:pPr>
      <w:ind w:left="1260" w:leftChars="600"/>
    </w:pPr>
  </w:style>
  <w:style w:type="paragraph" w:customStyle="1" w:styleId="78">
    <w:name w:val="目录 61"/>
    <w:basedOn w:val="1"/>
    <w:next w:val="1"/>
    <w:qFormat/>
    <w:uiPriority w:val="0"/>
    <w:pPr>
      <w:ind w:left="2100" w:leftChars="1000"/>
    </w:pPr>
  </w:style>
  <w:style w:type="character" w:customStyle="1" w:styleId="79">
    <w:name w:val="正文文本缩进 3 Char"/>
    <w:link w:val="30"/>
    <w:qFormat/>
    <w:uiPriority w:val="0"/>
    <w:rPr>
      <w:rFonts w:ascii="宋体"/>
      <w:sz w:val="24"/>
    </w:rPr>
  </w:style>
  <w:style w:type="paragraph" w:customStyle="1" w:styleId="80">
    <w:name w:val="目录 21"/>
    <w:basedOn w:val="1"/>
    <w:next w:val="1"/>
    <w:qFormat/>
    <w:uiPriority w:val="39"/>
    <w:pPr>
      <w:tabs>
        <w:tab w:val="right" w:leader="dot" w:pos="8937"/>
      </w:tabs>
      <w:spacing w:line="312" w:lineRule="auto"/>
      <w:ind w:left="420" w:leftChars="200"/>
    </w:pPr>
  </w:style>
  <w:style w:type="paragraph" w:customStyle="1" w:styleId="81">
    <w:name w:val="目录 91"/>
    <w:basedOn w:val="1"/>
    <w:next w:val="1"/>
    <w:qFormat/>
    <w:uiPriority w:val="0"/>
    <w:pPr>
      <w:ind w:left="3360" w:leftChars="1600"/>
    </w:pPr>
  </w:style>
  <w:style w:type="character" w:customStyle="1" w:styleId="82">
    <w:name w:val="HTML 预设格式 Char"/>
    <w:link w:val="34"/>
    <w:qFormat/>
    <w:uiPriority w:val="0"/>
    <w:rPr>
      <w:rFonts w:ascii="宋体" w:hAnsi="宋体" w:cs="宋体"/>
      <w:sz w:val="24"/>
      <w:szCs w:val="24"/>
    </w:rPr>
  </w:style>
  <w:style w:type="character" w:customStyle="1" w:styleId="83">
    <w:name w:val="标题 Char1"/>
    <w:link w:val="37"/>
    <w:qFormat/>
    <w:uiPriority w:val="0"/>
    <w:rPr>
      <w:b/>
      <w:kern w:val="2"/>
      <w:sz w:val="32"/>
    </w:rPr>
  </w:style>
  <w:style w:type="character" w:customStyle="1" w:styleId="84">
    <w:name w:val="批注主题 Char"/>
    <w:link w:val="38"/>
    <w:qFormat/>
    <w:uiPriority w:val="0"/>
    <w:rPr>
      <w:rFonts w:ascii="Times New Roman" w:hAnsi="Times New Roman" w:eastAsia="宋体" w:cs="Times New Roman"/>
      <w:b/>
      <w:bCs/>
      <w:kern w:val="2"/>
      <w:sz w:val="21"/>
      <w:szCs w:val="24"/>
      <w:lang w:val="en-US" w:eastAsia="zh-CN" w:bidi="ar-SA"/>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paragraph" w:customStyle="1" w:styleId="86">
    <w:name w:val="正文首行缩进 21"/>
    <w:basedOn w:val="19"/>
    <w:link w:val="87"/>
    <w:qFormat/>
    <w:uiPriority w:val="0"/>
    <w:pPr>
      <w:spacing w:after="120" w:line="480" w:lineRule="exact"/>
      <w:ind w:left="420" w:leftChars="200" w:firstLine="420" w:firstLineChars="200"/>
    </w:pPr>
    <w:rPr>
      <w:szCs w:val="20"/>
    </w:rPr>
  </w:style>
  <w:style w:type="character" w:customStyle="1" w:styleId="87">
    <w:name w:val="正文首行缩进 2 Char1"/>
    <w:link w:val="86"/>
    <w:qFormat/>
    <w:uiPriority w:val="0"/>
    <w:rPr>
      <w:rFonts w:eastAsia="宋体"/>
      <w:kern w:val="2"/>
      <w:sz w:val="24"/>
      <w:szCs w:val="24"/>
      <w:lang w:val="en-US" w:eastAsia="zh-CN" w:bidi="ar-SA"/>
    </w:rPr>
  </w:style>
  <w:style w:type="character" w:customStyle="1" w:styleId="88">
    <w:name w:val="c21"/>
    <w:qFormat/>
    <w:uiPriority w:val="0"/>
    <w:rPr>
      <w:rFonts w:hint="default" w:ascii="ˎ̥" w:hAnsi="ˎ̥"/>
      <w:color w:val="000000"/>
      <w:sz w:val="20"/>
      <w:szCs w:val="20"/>
      <w:u w:val="none"/>
    </w:rPr>
  </w:style>
  <w:style w:type="character" w:customStyle="1" w:styleId="89">
    <w:name w:val="title4"/>
    <w:qFormat/>
    <w:uiPriority w:val="0"/>
    <w:rPr>
      <w:b/>
      <w:bCs/>
      <w:color w:val="1D87B3"/>
      <w:sz w:val="15"/>
      <w:szCs w:val="15"/>
    </w:rPr>
  </w:style>
  <w:style w:type="character" w:customStyle="1" w:styleId="90">
    <w:name w:val="标题 2 Char Char"/>
    <w:qFormat/>
    <w:uiPriority w:val="0"/>
    <w:rPr>
      <w:rFonts w:ascii="Arial" w:hAnsi="Arial" w:eastAsia="黑体"/>
      <w:b/>
      <w:bCs/>
      <w:kern w:val="2"/>
      <w:sz w:val="32"/>
      <w:szCs w:val="32"/>
      <w:lang w:val="en-US" w:eastAsia="zh-CN" w:bidi="ar-SA"/>
    </w:rPr>
  </w:style>
  <w:style w:type="character" w:customStyle="1" w:styleId="91">
    <w:name w:val="black1"/>
    <w:qFormat/>
    <w:uiPriority w:val="0"/>
    <w:rPr>
      <w:color w:val="000000"/>
    </w:rPr>
  </w:style>
  <w:style w:type="character" w:customStyle="1" w:styleId="92">
    <w:name w:val="street-address"/>
    <w:qFormat/>
    <w:uiPriority w:val="0"/>
  </w:style>
  <w:style w:type="character" w:customStyle="1" w:styleId="93">
    <w:name w:val="locality"/>
    <w:qFormat/>
    <w:uiPriority w:val="0"/>
  </w:style>
  <w:style w:type="character" w:customStyle="1" w:styleId="94">
    <w:name w:val="正文文本缩进 Char1"/>
    <w:link w:val="95"/>
    <w:qFormat/>
    <w:uiPriority w:val="0"/>
    <w:rPr>
      <w:rFonts w:ascii="宋体" w:hAnsi="宋体" w:eastAsia="宋体"/>
      <w:sz w:val="24"/>
      <w:szCs w:val="24"/>
      <w:lang w:bidi="ar-SA"/>
    </w:rPr>
  </w:style>
  <w:style w:type="paragraph" w:customStyle="1" w:styleId="95">
    <w:name w:val="正文文本缩进1"/>
    <w:basedOn w:val="1"/>
    <w:link w:val="94"/>
    <w:qFormat/>
    <w:uiPriority w:val="0"/>
    <w:pPr>
      <w:spacing w:line="480" w:lineRule="exact"/>
      <w:ind w:firstLine="480" w:firstLineChars="200"/>
    </w:pPr>
    <w:rPr>
      <w:rFonts w:ascii="宋体" w:hAnsi="宋体"/>
      <w:kern w:val="0"/>
      <w:sz w:val="24"/>
    </w:rPr>
  </w:style>
  <w:style w:type="character" w:customStyle="1" w:styleId="96">
    <w:name w:val="Char Char11"/>
    <w:qFormat/>
    <w:uiPriority w:val="0"/>
    <w:rPr>
      <w:rFonts w:ascii="宋体" w:eastAsia="宋体"/>
      <w:b/>
      <w:sz w:val="24"/>
      <w:u w:val="single"/>
      <w:lang w:val="en-US" w:eastAsia="zh-CN" w:bidi="ar-SA"/>
    </w:rPr>
  </w:style>
  <w:style w:type="character" w:customStyle="1" w:styleId="97">
    <w:name w:val="txt"/>
    <w:qFormat/>
    <w:uiPriority w:val="0"/>
  </w:style>
  <w:style w:type="character" w:customStyle="1" w:styleId="98">
    <w:name w:val="正文缩进 Char Char"/>
    <w:link w:val="99"/>
    <w:qFormat/>
    <w:uiPriority w:val="0"/>
    <w:rPr>
      <w:rFonts w:ascii="宋体" w:eastAsia="宋体"/>
      <w:snapToGrid w:val="0"/>
      <w:color w:val="000000"/>
      <w:kern w:val="28"/>
      <w:sz w:val="28"/>
      <w:lang w:bidi="ar-SA"/>
    </w:rPr>
  </w:style>
  <w:style w:type="paragraph" w:customStyle="1" w:styleId="99">
    <w:name w:val="正文缩进11"/>
    <w:basedOn w:val="1"/>
    <w:link w:val="9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qFormat/>
    <w:uiPriority w:val="0"/>
    <w:rPr>
      <w:rFonts w:ascii="宋体" w:hAnsi="Courier New" w:eastAsia="宋体"/>
      <w:kern w:val="2"/>
      <w:sz w:val="21"/>
      <w:lang w:val="en-US" w:eastAsia="zh-CN" w:bidi="ar-SA"/>
    </w:rPr>
  </w:style>
  <w:style w:type="character" w:customStyle="1" w:styleId="101">
    <w:name w:val="chanpin1"/>
    <w:qFormat/>
    <w:uiPriority w:val="0"/>
    <w:rPr>
      <w:rFonts w:hint="default" w:ascii="ˎ̥" w:hAnsi="ˎ̥"/>
      <w:color w:val="000000"/>
      <w:sz w:val="20"/>
      <w:szCs w:val="20"/>
      <w:u w:val="none"/>
    </w:rPr>
  </w:style>
  <w:style w:type="character" w:customStyle="1" w:styleId="102">
    <w:name w:val="列出段落 Char1"/>
    <w:link w:val="103"/>
    <w:qFormat/>
    <w:uiPriority w:val="34"/>
    <w:rPr>
      <w:rFonts w:ascii="Calibri" w:hAnsi="Calibri" w:eastAsia="宋体"/>
      <w:kern w:val="2"/>
      <w:sz w:val="21"/>
      <w:szCs w:val="22"/>
      <w:lang w:val="en-US" w:eastAsia="zh-CN" w:bidi="ar-SA"/>
    </w:rPr>
  </w:style>
  <w:style w:type="paragraph" w:styleId="103">
    <w:name w:val="List Paragraph"/>
    <w:basedOn w:val="1"/>
    <w:link w:val="102"/>
    <w:qFormat/>
    <w:uiPriority w:val="34"/>
    <w:pPr>
      <w:ind w:firstLine="420" w:firstLineChars="200"/>
    </w:pPr>
    <w:rPr>
      <w:rFonts w:ascii="Calibri" w:hAnsi="Calibri"/>
      <w:szCs w:val="22"/>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段1 Char"/>
    <w:qFormat/>
    <w:uiPriority w:val="0"/>
    <w:rPr>
      <w:rFonts w:ascii="宋体" w:eastAsia="宋体"/>
      <w:sz w:val="24"/>
      <w:lang w:val="en-US" w:eastAsia="zh-CN" w:bidi="ar-SA"/>
    </w:rPr>
  </w:style>
  <w:style w:type="character" w:customStyle="1" w:styleId="106">
    <w:name w:val="chanpin拷贝"/>
    <w:qFormat/>
    <w:uiPriority w:val="0"/>
  </w:style>
  <w:style w:type="character" w:customStyle="1" w:styleId="107">
    <w:name w:val="纯文本 Char1"/>
    <w:qFormat/>
    <w:uiPriority w:val="0"/>
    <w:rPr>
      <w:rFonts w:ascii="宋体" w:hAnsi="Courier New" w:eastAsia="宋体"/>
      <w:kern w:val="2"/>
      <w:sz w:val="21"/>
      <w:lang w:val="en-US" w:eastAsia="zh-CN" w:bidi="ar-SA"/>
    </w:rPr>
  </w:style>
  <w:style w:type="character" w:customStyle="1" w:styleId="108">
    <w:name w:val="apple-style-span"/>
    <w:qFormat/>
    <w:uiPriority w:val="0"/>
    <w:rPr>
      <w:rFonts w:cs="Times New Roman"/>
    </w:rPr>
  </w:style>
  <w:style w:type="paragraph" w:customStyle="1" w:styleId="109">
    <w:name w:val="二级条标题"/>
    <w:basedOn w:val="11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qFormat/>
    <w:uiPriority w:val="0"/>
    <w:pPr>
      <w:numPr>
        <w:ilvl w:val="1"/>
      </w:numPr>
      <w:tabs>
        <w:tab w:val="left" w:pos="360"/>
        <w:tab w:val="left" w:pos="840"/>
      </w:tabs>
      <w:ind w:left="0" w:hanging="840"/>
      <w:outlineLvl w:val="1"/>
    </w:pPr>
  </w:style>
  <w:style w:type="paragraph" w:customStyle="1" w:styleId="11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qFormat/>
    <w:uiPriority w:val="0"/>
    <w:rPr>
      <w:rFonts w:ascii="Tahoma" w:hAnsi="Tahoma"/>
      <w:sz w:val="24"/>
      <w:szCs w:val="20"/>
    </w:rPr>
  </w:style>
  <w:style w:type="paragraph" w:customStyle="1" w:styleId="114">
    <w:name w:val="Char3 Char Char Char"/>
    <w:basedOn w:val="1"/>
    <w:qFormat/>
    <w:uiPriority w:val="0"/>
    <w:rPr>
      <w:rFonts w:ascii="Tahoma" w:hAnsi="Tahoma"/>
      <w:sz w:val="24"/>
      <w:szCs w:val="20"/>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qFormat/>
    <w:uiPriority w:val="0"/>
    <w:pPr>
      <w:numPr>
        <w:numId w:val="2"/>
      </w:numPr>
    </w:pPr>
  </w:style>
  <w:style w:type="paragraph" w:customStyle="1" w:styleId="11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qFormat/>
    <w:uiPriority w:val="0"/>
    <w:pPr>
      <w:adjustRightInd w:val="0"/>
      <w:snapToGrid w:val="0"/>
      <w:spacing w:line="0" w:lineRule="atLeast"/>
      <w:jc w:val="center"/>
    </w:pPr>
    <w:rPr>
      <w:sz w:val="24"/>
      <w:szCs w:val="20"/>
    </w:rPr>
  </w:style>
  <w:style w:type="paragraph" w:customStyle="1" w:styleId="11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qFormat/>
    <w:uiPriority w:val="0"/>
    <w:rPr>
      <w:rFonts w:ascii="Tahoma" w:hAnsi="Tahoma"/>
      <w:sz w:val="24"/>
      <w:szCs w:val="20"/>
    </w:rPr>
  </w:style>
  <w:style w:type="paragraph" w:customStyle="1" w:styleId="1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qFormat/>
    <w:uiPriority w:val="0"/>
    <w:pPr>
      <w:widowControl/>
      <w:spacing w:before="100" w:beforeAutospacing="1" w:after="100" w:afterAutospacing="1"/>
      <w:jc w:val="left"/>
    </w:pPr>
    <w:rPr>
      <w:kern w:val="0"/>
      <w:sz w:val="36"/>
      <w:szCs w:val="36"/>
    </w:rPr>
  </w:style>
  <w:style w:type="paragraph" w:customStyle="1" w:styleId="136">
    <w:name w:val="Char"/>
    <w:basedOn w:val="1"/>
    <w:qFormat/>
    <w:uiPriority w:val="0"/>
    <w:pPr>
      <w:tabs>
        <w:tab w:val="left" w:pos="360"/>
      </w:tabs>
    </w:pPr>
    <w:rPr>
      <w:sz w:val="24"/>
    </w:rPr>
  </w:style>
  <w:style w:type="paragraph" w:customStyle="1" w:styleId="13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
    <w:name w:val="Char Char1"/>
    <w:basedOn w:val="16"/>
    <w:qFormat/>
    <w:uiPriority w:val="0"/>
    <w:rPr>
      <w:rFonts w:ascii="Tahoma" w:hAnsi="Tahoma"/>
      <w:sz w:val="24"/>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5">
    <w:name w:val="Char1 Char Char Char1"/>
    <w:basedOn w:val="1"/>
    <w:qFormat/>
    <w:uiPriority w:val="0"/>
    <w:rPr>
      <w:rFonts w:ascii="Tahoma" w:hAnsi="Tahoma" w:cs="仿宋_GB2312"/>
      <w:sz w:val="24"/>
      <w:szCs w:val="28"/>
    </w:rPr>
  </w:style>
  <w:style w:type="paragraph" w:customStyle="1" w:styleId="146">
    <w:name w:val="四级条标题"/>
    <w:basedOn w:val="147"/>
    <w:next w:val="1"/>
    <w:qFormat/>
    <w:uiPriority w:val="0"/>
    <w:pPr>
      <w:numPr>
        <w:ilvl w:val="4"/>
      </w:numPr>
      <w:tabs>
        <w:tab w:val="left" w:pos="360"/>
        <w:tab w:val="left" w:pos="840"/>
      </w:tabs>
      <w:ind w:left="0" w:hanging="840"/>
      <w:outlineLvl w:val="4"/>
    </w:pPr>
  </w:style>
  <w:style w:type="paragraph" w:customStyle="1" w:styleId="147">
    <w:name w:val="三级条标题"/>
    <w:basedOn w:val="109"/>
    <w:next w:val="1"/>
    <w:qFormat/>
    <w:uiPriority w:val="0"/>
    <w:pPr>
      <w:numPr>
        <w:ilvl w:val="3"/>
        <w:numId w:val="1"/>
      </w:numPr>
      <w:ind w:left="0" w:hanging="840"/>
      <w:outlineLvl w:val="3"/>
    </w:pPr>
  </w:style>
  <w:style w:type="paragraph" w:customStyle="1" w:styleId="14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List Paragraph1"/>
    <w:basedOn w:val="1"/>
    <w:qFormat/>
    <w:uiPriority w:val="0"/>
    <w:pPr>
      <w:ind w:firstLine="420" w:firstLineChars="200"/>
    </w:pPr>
    <w:rPr>
      <w:rFonts w:ascii="Calibri" w:hAnsi="Calibri"/>
      <w:szCs w:val="22"/>
    </w:rPr>
  </w:style>
  <w:style w:type="paragraph" w:customStyle="1" w:styleId="151">
    <w:name w:val="项目符号1"/>
    <w:basedOn w:val="152"/>
    <w:qFormat/>
    <w:uiPriority w:val="0"/>
    <w:pPr>
      <w:ind w:left="-25" w:firstLine="0"/>
    </w:pPr>
  </w:style>
  <w:style w:type="paragraph" w:customStyle="1" w:styleId="152">
    <w:name w:val="正文文本样式"/>
    <w:basedOn w:val="1"/>
    <w:qFormat/>
    <w:uiPriority w:val="0"/>
    <w:pPr>
      <w:spacing w:line="360" w:lineRule="auto"/>
      <w:ind w:firstLine="482"/>
    </w:pPr>
    <w:rPr>
      <w:rFonts w:cs="宋体"/>
      <w:sz w:val="24"/>
      <w:szCs w:val="20"/>
    </w:rPr>
  </w:style>
  <w:style w:type="paragraph" w:customStyle="1" w:styleId="15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5">
    <w:name w:val="五级条标题"/>
    <w:basedOn w:val="146"/>
    <w:next w:val="1"/>
    <w:qFormat/>
    <w:uiPriority w:val="0"/>
    <w:pPr>
      <w:numPr>
        <w:ilvl w:val="5"/>
      </w:numPr>
      <w:ind w:left="0" w:hanging="840"/>
      <w:outlineLvl w:val="5"/>
    </w:pPr>
  </w:style>
  <w:style w:type="paragraph" w:customStyle="1" w:styleId="15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文档正文"/>
    <w:basedOn w:val="1"/>
    <w:qFormat/>
    <w:uiPriority w:val="0"/>
    <w:pPr>
      <w:snapToGrid w:val="0"/>
      <w:spacing w:before="120" w:after="120" w:line="180" w:lineRule="auto"/>
    </w:pPr>
    <w:rPr>
      <w:rFonts w:ascii="Arial" w:hAnsi="Arial"/>
      <w:szCs w:val="20"/>
    </w:rPr>
  </w:style>
  <w:style w:type="paragraph" w:customStyle="1" w:styleId="15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0">
    <w:name w:val="Char Char Char1 Char"/>
    <w:basedOn w:val="1"/>
    <w:qFormat/>
    <w:uiPriority w:val="0"/>
    <w:rPr>
      <w:rFonts w:ascii="Tahoma" w:hAnsi="Tahoma"/>
      <w:sz w:val="24"/>
      <w:szCs w:val="20"/>
    </w:rPr>
  </w:style>
  <w:style w:type="paragraph" w:customStyle="1" w:styleId="16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2">
    <w:name w:val="1名"/>
    <w:basedOn w:val="1"/>
    <w:qFormat/>
    <w:uiPriority w:val="0"/>
    <w:pPr>
      <w:numPr>
        <w:ilvl w:val="0"/>
        <w:numId w:val="5"/>
      </w:numPr>
      <w:spacing w:before="120"/>
    </w:pPr>
    <w:rPr>
      <w:rFonts w:ascii="宋体"/>
      <w:sz w:val="28"/>
      <w:szCs w:val="20"/>
    </w:rPr>
  </w:style>
  <w:style w:type="paragraph" w:customStyle="1" w:styleId="16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4">
    <w:name w:val="Char Char Char1 Char1"/>
    <w:basedOn w:val="1"/>
    <w:qFormat/>
    <w:uiPriority w:val="0"/>
    <w:rPr>
      <w:rFonts w:ascii="Tahoma" w:hAnsi="Tahoma"/>
      <w:sz w:val="24"/>
      <w:szCs w:val="20"/>
    </w:rPr>
  </w:style>
  <w:style w:type="paragraph" w:customStyle="1" w:styleId="165">
    <w:name w:val="Char Char Char Char Char Char Char Char Char Char"/>
    <w:basedOn w:val="1"/>
    <w:qFormat/>
    <w:uiPriority w:val="0"/>
  </w:style>
  <w:style w:type="paragraph" w:customStyle="1" w:styleId="16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Char1"/>
    <w:basedOn w:val="1"/>
    <w:qFormat/>
    <w:uiPriority w:val="0"/>
    <w:pPr>
      <w:tabs>
        <w:tab w:val="left" w:pos="360"/>
      </w:tabs>
    </w:pPr>
    <w:rPr>
      <w:sz w:val="24"/>
    </w:rPr>
  </w:style>
  <w:style w:type="paragraph" w:customStyle="1" w:styleId="16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1">
    <w:name w:val="默认段落字体 Para Char Char Char Char"/>
    <w:basedOn w:val="1"/>
    <w:qFormat/>
    <w:uiPriority w:val="0"/>
    <w:rPr>
      <w:rFonts w:ascii="Arial" w:hAnsi="Arial" w:cs="Arial"/>
      <w:szCs w:val="21"/>
    </w:rPr>
  </w:style>
  <w:style w:type="paragraph" w:customStyle="1" w:styleId="17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5">
    <w:name w:val="Char Char Char"/>
    <w:basedOn w:val="1"/>
    <w:qFormat/>
    <w:uiPriority w:val="0"/>
    <w:rPr>
      <w:rFonts w:ascii="Tahoma" w:hAnsi="Tahoma"/>
      <w:sz w:val="24"/>
      <w:szCs w:val="20"/>
    </w:rPr>
  </w:style>
  <w:style w:type="paragraph" w:customStyle="1" w:styleId="17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7">
    <w:name w:val="缺省文本"/>
    <w:basedOn w:val="1"/>
    <w:qFormat/>
    <w:uiPriority w:val="0"/>
    <w:pPr>
      <w:autoSpaceDE w:val="0"/>
      <w:autoSpaceDN w:val="0"/>
      <w:adjustRightInd w:val="0"/>
      <w:jc w:val="left"/>
    </w:pPr>
    <w:rPr>
      <w:kern w:val="0"/>
      <w:sz w:val="24"/>
    </w:rPr>
  </w:style>
  <w:style w:type="paragraph" w:customStyle="1" w:styleId="178">
    <w:name w:val="Char Char Char1"/>
    <w:basedOn w:val="1"/>
    <w:qFormat/>
    <w:uiPriority w:val="0"/>
    <w:rPr>
      <w:rFonts w:ascii="Tahoma" w:hAnsi="Tahoma"/>
      <w:sz w:val="24"/>
      <w:szCs w:val="20"/>
    </w:rPr>
  </w:style>
  <w:style w:type="paragraph" w:customStyle="1" w:styleId="17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1">
    <w:name w:val="样式2"/>
    <w:basedOn w:val="36"/>
    <w:qFormat/>
    <w:uiPriority w:val="0"/>
    <w:pPr>
      <w:spacing w:line="360" w:lineRule="auto"/>
      <w:jc w:val="center"/>
    </w:pPr>
    <w:rPr>
      <w:sz w:val="24"/>
    </w:rPr>
  </w:style>
  <w:style w:type="paragraph" w:customStyle="1" w:styleId="1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4">
    <w:name w:val="正文 + 楷体_GB2312"/>
    <w:basedOn w:val="1"/>
    <w:qFormat/>
    <w:uiPriority w:val="0"/>
    <w:pPr>
      <w:widowControl/>
      <w:jc w:val="left"/>
    </w:pPr>
    <w:rPr>
      <w:rFonts w:ascii="楷体_GB2312" w:eastAsia="楷体_GB2312" w:cs="Arial"/>
      <w:kern w:val="0"/>
      <w:sz w:val="24"/>
    </w:rPr>
  </w:style>
  <w:style w:type="paragraph" w:customStyle="1" w:styleId="18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6">
    <w:name w:val="1 Char Char Char Char"/>
    <w:basedOn w:val="1"/>
    <w:qFormat/>
    <w:uiPriority w:val="0"/>
    <w:rPr>
      <w:rFonts w:ascii="Tahoma" w:hAnsi="Tahoma"/>
      <w:sz w:val="24"/>
      <w:szCs w:val="20"/>
    </w:rPr>
  </w:style>
  <w:style w:type="paragraph" w:customStyle="1" w:styleId="18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8">
    <w:name w:val="列出段落1"/>
    <w:basedOn w:val="1"/>
    <w:qFormat/>
    <w:uiPriority w:val="0"/>
    <w:pPr>
      <w:ind w:firstLine="420" w:firstLineChars="200"/>
    </w:pPr>
    <w:rPr>
      <w:rFonts w:ascii="Calibri" w:hAnsi="Calibri"/>
      <w:szCs w:val="22"/>
    </w:rPr>
  </w:style>
  <w:style w:type="paragraph" w:customStyle="1" w:styleId="18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字元 字元1"/>
    <w:basedOn w:val="1"/>
    <w:qFormat/>
    <w:uiPriority w:val="0"/>
    <w:rPr>
      <w:rFonts w:ascii="Tahoma" w:hAnsi="Tahoma"/>
      <w:sz w:val="24"/>
      <w:szCs w:val="20"/>
    </w:rPr>
  </w:style>
  <w:style w:type="paragraph" w:customStyle="1" w:styleId="191">
    <w:name w:val="_Style 160"/>
    <w:qFormat/>
    <w:uiPriority w:val="0"/>
    <w:rPr>
      <w:rFonts w:ascii="Times New Roman" w:hAnsi="Times New Roman" w:eastAsia="宋体" w:cs="Times New Roman"/>
      <w:kern w:val="2"/>
      <w:sz w:val="21"/>
      <w:szCs w:val="24"/>
      <w:lang w:val="en-US" w:eastAsia="zh-CN" w:bidi="ar-SA"/>
    </w:rPr>
  </w:style>
  <w:style w:type="paragraph" w:customStyle="1" w:styleId="192">
    <w:name w:val="项目编号3"/>
    <w:basedOn w:val="152"/>
    <w:qFormat/>
    <w:uiPriority w:val="0"/>
    <w:pPr>
      <w:numPr>
        <w:ilvl w:val="0"/>
        <w:numId w:val="6"/>
      </w:numPr>
    </w:pPr>
  </w:style>
  <w:style w:type="paragraph" w:customStyle="1" w:styleId="193">
    <w:name w:val="Char21"/>
    <w:basedOn w:val="1"/>
    <w:qFormat/>
    <w:uiPriority w:val="0"/>
    <w:rPr>
      <w:rFonts w:ascii="Tahoma" w:hAnsi="Tahoma"/>
      <w:sz w:val="24"/>
      <w:szCs w:val="20"/>
    </w:rPr>
  </w:style>
  <w:style w:type="paragraph" w:customStyle="1" w:styleId="19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5">
    <w:name w:val="Char Char Char Char Char Char Char Char Char Char1"/>
    <w:basedOn w:val="1"/>
    <w:qFormat/>
    <w:uiPriority w:val="0"/>
    <w:rPr>
      <w:rFonts w:ascii="宋体" w:hAnsi="宋体" w:cs="Courier New"/>
      <w:sz w:val="32"/>
      <w:szCs w:val="32"/>
    </w:rPr>
  </w:style>
  <w:style w:type="paragraph" w:customStyle="1" w:styleId="196">
    <w:name w:val="正文文本样式 加粗"/>
    <w:basedOn w:val="152"/>
    <w:qFormat/>
    <w:uiPriority w:val="0"/>
    <w:rPr>
      <w:b/>
    </w:rPr>
  </w:style>
  <w:style w:type="paragraph" w:customStyle="1" w:styleId="197">
    <w:name w:val="Char2 Char Char Char Char Char Char"/>
    <w:basedOn w:val="1"/>
    <w:qFormat/>
    <w:uiPriority w:val="0"/>
    <w:pPr>
      <w:widowControl/>
      <w:spacing w:line="400" w:lineRule="exact"/>
      <w:jc w:val="center"/>
    </w:pPr>
  </w:style>
  <w:style w:type="paragraph" w:customStyle="1" w:styleId="198">
    <w:name w:val="Char Char4"/>
    <w:basedOn w:val="1"/>
    <w:qFormat/>
    <w:uiPriority w:val="0"/>
    <w:pPr>
      <w:widowControl/>
      <w:spacing w:line="400" w:lineRule="exact"/>
      <w:jc w:val="center"/>
    </w:pPr>
  </w:style>
  <w:style w:type="paragraph" w:customStyle="1" w:styleId="199">
    <w:name w:val="Char3 Char Char Char1"/>
    <w:basedOn w:val="1"/>
    <w:qFormat/>
    <w:uiPriority w:val="0"/>
    <w:rPr>
      <w:rFonts w:ascii="Tahoma" w:hAnsi="Tahoma"/>
      <w:sz w:val="24"/>
      <w:szCs w:val="20"/>
    </w:rPr>
  </w:style>
  <w:style w:type="paragraph" w:styleId="20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2">
    <w:name w:val="中等深浅网格 1 - 强调文字颜色 2 Char"/>
    <w:link w:val="203"/>
    <w:qFormat/>
    <w:uiPriority w:val="0"/>
    <w:rPr>
      <w:kern w:val="2"/>
      <w:sz w:val="21"/>
      <w:szCs w:val="24"/>
      <w:lang w:val="zh-CN" w:eastAsia="zh-CN"/>
    </w:rPr>
  </w:style>
  <w:style w:type="paragraph" w:customStyle="1" w:styleId="203">
    <w:name w:val="1"/>
    <w:link w:val="202"/>
    <w:qFormat/>
    <w:uiPriority w:val="0"/>
    <w:rPr>
      <w:rFonts w:ascii="Times New Roman" w:hAnsi="Times New Roman" w:eastAsia="宋体" w:cs="Times New Roman"/>
      <w:kern w:val="2"/>
      <w:sz w:val="21"/>
      <w:szCs w:val="24"/>
      <w:lang w:val="zh-CN" w:eastAsia="zh-CN" w:bidi="ar-SA"/>
    </w:rPr>
  </w:style>
  <w:style w:type="paragraph" w:customStyle="1" w:styleId="204">
    <w:name w:val="图文"/>
    <w:basedOn w:val="1"/>
    <w:qFormat/>
    <w:uiPriority w:val="0"/>
    <w:pPr>
      <w:adjustRightInd w:val="0"/>
      <w:snapToGrid w:val="0"/>
      <w:spacing w:after="50" w:line="360" w:lineRule="auto"/>
    </w:pPr>
    <w:rPr>
      <w:sz w:val="24"/>
    </w:rPr>
  </w:style>
  <w:style w:type="paragraph" w:customStyle="1" w:styleId="20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6">
    <w:name w:val="正文表格"/>
    <w:basedOn w:val="1"/>
    <w:link w:val="207"/>
    <w:qFormat/>
    <w:uiPriority w:val="0"/>
    <w:pPr>
      <w:adjustRightInd w:val="0"/>
      <w:snapToGrid w:val="0"/>
      <w:jc w:val="left"/>
    </w:pPr>
    <w:rPr>
      <w:rFonts w:ascii="宋体" w:hAnsi="宋体"/>
      <w:color w:val="000000"/>
      <w:szCs w:val="21"/>
    </w:rPr>
  </w:style>
  <w:style w:type="character" w:customStyle="1" w:styleId="207">
    <w:name w:val="正文表格 Char"/>
    <w:link w:val="206"/>
    <w:qFormat/>
    <w:uiPriority w:val="0"/>
    <w:rPr>
      <w:rFonts w:ascii="宋体" w:hAnsi="宋体"/>
      <w:color w:val="000000"/>
      <w:kern w:val="2"/>
      <w:sz w:val="21"/>
      <w:szCs w:val="21"/>
    </w:rPr>
  </w:style>
  <w:style w:type="paragraph" w:customStyle="1" w:styleId="208">
    <w:name w:val="正文重点"/>
    <w:basedOn w:val="1"/>
    <w:link w:val="209"/>
    <w:qFormat/>
    <w:uiPriority w:val="0"/>
    <w:pPr>
      <w:adjustRightInd w:val="0"/>
      <w:spacing w:line="360" w:lineRule="auto"/>
      <w:ind w:firstLine="482" w:firstLineChars="200"/>
      <w:jc w:val="left"/>
      <w:textAlignment w:val="baseline"/>
    </w:pPr>
    <w:rPr>
      <w:b/>
      <w:kern w:val="0"/>
      <w:sz w:val="24"/>
      <w:szCs w:val="20"/>
    </w:rPr>
  </w:style>
  <w:style w:type="character" w:customStyle="1" w:styleId="209">
    <w:name w:val="正文重点 Char"/>
    <w:link w:val="208"/>
    <w:qFormat/>
    <w:uiPriority w:val="0"/>
    <w:rPr>
      <w:b/>
      <w:sz w:val="24"/>
    </w:rPr>
  </w:style>
  <w:style w:type="paragraph" w:customStyle="1" w:styleId="210">
    <w:name w:val="标题1-附件"/>
    <w:basedOn w:val="4"/>
    <w:qFormat/>
    <w:uiPriority w:val="0"/>
    <w:pPr>
      <w:jc w:val="left"/>
    </w:pPr>
    <w:rPr>
      <w:sz w:val="24"/>
      <w:szCs w:val="24"/>
    </w:rPr>
  </w:style>
  <w:style w:type="paragraph" w:customStyle="1" w:styleId="211">
    <w:name w:val="正文小标题"/>
    <w:basedOn w:val="1"/>
    <w:next w:val="6"/>
    <w:link w:val="21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2">
    <w:name w:val="正文小标题 Char"/>
    <w:link w:val="211"/>
    <w:qFormat/>
    <w:uiPriority w:val="0"/>
    <w:rPr>
      <w:rFonts w:ascii="宋体" w:hAnsi="宋体"/>
      <w:b/>
      <w:i/>
      <w:color w:val="FF0000"/>
      <w:kern w:val="2"/>
      <w:sz w:val="24"/>
    </w:rPr>
  </w:style>
  <w:style w:type="paragraph" w:customStyle="1" w:styleId="213">
    <w:name w:val="正文大标题"/>
    <w:basedOn w:val="211"/>
    <w:next w:val="6"/>
    <w:link w:val="214"/>
    <w:qFormat/>
    <w:uiPriority w:val="0"/>
    <w:pPr>
      <w:jc w:val="center"/>
    </w:pPr>
    <w:rPr>
      <w:i w:val="0"/>
      <w:color w:val="000000"/>
      <w:sz w:val="28"/>
      <w:szCs w:val="21"/>
    </w:rPr>
  </w:style>
  <w:style w:type="character" w:customStyle="1" w:styleId="214">
    <w:name w:val="正文大标题 Char"/>
    <w:link w:val="213"/>
    <w:qFormat/>
    <w:uiPriority w:val="0"/>
    <w:rPr>
      <w:rFonts w:ascii="宋体" w:hAnsi="宋体"/>
      <w:b/>
      <w:color w:val="000000"/>
      <w:kern w:val="2"/>
      <w:sz w:val="28"/>
      <w:szCs w:val="21"/>
    </w:rPr>
  </w:style>
  <w:style w:type="paragraph" w:customStyle="1" w:styleId="215">
    <w:name w:val="注释"/>
    <w:basedOn w:val="1"/>
    <w:link w:val="216"/>
    <w:qFormat/>
    <w:uiPriority w:val="0"/>
    <w:pPr>
      <w:adjustRightInd w:val="0"/>
      <w:snapToGrid w:val="0"/>
      <w:ind w:left="420" w:hanging="420" w:hangingChars="200"/>
      <w:jc w:val="left"/>
    </w:pPr>
    <w:rPr>
      <w:rFonts w:ascii="宋体" w:hAnsi="宋体"/>
      <w:szCs w:val="21"/>
    </w:rPr>
  </w:style>
  <w:style w:type="character" w:customStyle="1" w:styleId="216">
    <w:name w:val="注释 Char"/>
    <w:link w:val="215"/>
    <w:qFormat/>
    <w:uiPriority w:val="0"/>
    <w:rPr>
      <w:rFonts w:ascii="宋体" w:hAnsi="宋体"/>
      <w:kern w:val="2"/>
      <w:sz w:val="21"/>
      <w:szCs w:val="21"/>
    </w:rPr>
  </w:style>
  <w:style w:type="paragraph" w:customStyle="1" w:styleId="21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0">
    <w:name w:val="纯文本 字符"/>
    <w:qFormat/>
    <w:uiPriority w:val="0"/>
    <w:rPr>
      <w:rFonts w:ascii="宋体" w:hAnsi="Courier New" w:eastAsia="宋体" w:cs="Times New Roman"/>
      <w:kern w:val="2"/>
      <w:sz w:val="21"/>
      <w:szCs w:val="21"/>
      <w:lang w:val="en-US" w:eastAsia="zh-CN" w:bidi="ar-SA"/>
    </w:rPr>
  </w:style>
  <w:style w:type="paragraph" w:customStyle="1" w:styleId="221">
    <w:name w:val="表格1"/>
    <w:basedOn w:val="1"/>
    <w:qFormat/>
    <w:uiPriority w:val="0"/>
    <w:pPr>
      <w:ind w:firstLine="480" w:firstLineChars="200"/>
      <w:jc w:val="center"/>
    </w:pPr>
    <w:rPr>
      <w:sz w:val="24"/>
      <w:szCs w:val="20"/>
    </w:rPr>
  </w:style>
  <w:style w:type="character" w:customStyle="1" w:styleId="222">
    <w:name w:val="纯文本 字符1"/>
    <w:qFormat/>
    <w:uiPriority w:val="0"/>
    <w:rPr>
      <w:rFonts w:ascii="宋体" w:hAnsi="Courier New"/>
    </w:rPr>
  </w:style>
  <w:style w:type="character" w:customStyle="1" w:styleId="223">
    <w:name w:val="bjh-p"/>
    <w:qFormat/>
    <w:uiPriority w:val="0"/>
  </w:style>
  <w:style w:type="paragraph" w:customStyle="1" w:styleId="22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5">
    <w:name w:val="正文格式 Char"/>
    <w:link w:val="226"/>
    <w:qFormat/>
    <w:locked/>
    <w:uiPriority w:val="0"/>
    <w:rPr>
      <w:rFonts w:ascii="宋体" w:hAnsi="宋体"/>
      <w:sz w:val="24"/>
      <w:szCs w:val="24"/>
      <w:lang w:val="en-GB"/>
    </w:rPr>
  </w:style>
  <w:style w:type="paragraph" w:customStyle="1" w:styleId="226">
    <w:name w:val="正文格式"/>
    <w:basedOn w:val="1"/>
    <w:link w:val="225"/>
    <w:qFormat/>
    <w:uiPriority w:val="0"/>
    <w:pPr>
      <w:spacing w:beforeLines="50" w:line="360" w:lineRule="auto"/>
      <w:ind w:firstLine="480" w:firstLineChars="200"/>
    </w:pPr>
    <w:rPr>
      <w:rFonts w:ascii="宋体" w:hAnsi="宋体"/>
      <w:kern w:val="0"/>
      <w:sz w:val="24"/>
      <w:lang w:val="en-GB"/>
    </w:rPr>
  </w:style>
  <w:style w:type="character" w:customStyle="1" w:styleId="227">
    <w:name w:val="标题 3 Char"/>
    <w:qFormat/>
    <w:uiPriority w:val="0"/>
    <w:rPr>
      <w:rFonts w:ascii="宋体" w:eastAsia="宋体"/>
      <w:b/>
      <w:sz w:val="24"/>
      <w:u w:val="single"/>
      <w:lang w:val="en-US" w:eastAsia="zh-CN" w:bidi="ar-SA"/>
    </w:rPr>
  </w:style>
  <w:style w:type="character" w:customStyle="1" w:styleId="228">
    <w:name w:val="正文缩进 Char"/>
    <w:qFormat/>
    <w:uiPriority w:val="0"/>
    <w:rPr>
      <w:rFonts w:ascii="宋体" w:eastAsia="宋体"/>
      <w:kern w:val="2"/>
      <w:sz w:val="24"/>
      <w:szCs w:val="24"/>
      <w:lang w:val="en-US" w:eastAsia="zh-CN" w:bidi="ar-SA"/>
    </w:rPr>
  </w:style>
  <w:style w:type="character" w:customStyle="1" w:styleId="229">
    <w:name w:val="Char Char111"/>
    <w:qFormat/>
    <w:uiPriority w:val="0"/>
    <w:rPr>
      <w:rFonts w:ascii="宋体" w:eastAsia="宋体"/>
      <w:b/>
      <w:sz w:val="24"/>
      <w:u w:val="single"/>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列出段落 Char"/>
    <w:qFormat/>
    <w:uiPriority w:val="0"/>
    <w:rPr>
      <w:rFonts w:ascii="Calibri" w:hAnsi="Calibri" w:eastAsia="宋体"/>
      <w:kern w:val="2"/>
      <w:sz w:val="21"/>
      <w:szCs w:val="22"/>
      <w:lang w:val="en-US" w:eastAsia="zh-CN" w:bidi="ar-SA"/>
    </w:rPr>
  </w:style>
  <w:style w:type="character" w:customStyle="1" w:styleId="232">
    <w:name w:val="页眉 Char"/>
    <w:qFormat/>
    <w:uiPriority w:val="99"/>
    <w:rPr>
      <w:rFonts w:eastAsia="宋体"/>
      <w:kern w:val="2"/>
      <w:sz w:val="18"/>
      <w:szCs w:val="18"/>
      <w:lang w:val="en-US" w:eastAsia="zh-CN" w:bidi="ar-SA"/>
    </w:rPr>
  </w:style>
  <w:style w:type="character" w:customStyle="1" w:styleId="233">
    <w:name w:val="标题 2 Char"/>
    <w:qFormat/>
    <w:uiPriority w:val="0"/>
    <w:rPr>
      <w:rFonts w:ascii="Arial" w:hAnsi="Arial" w:eastAsia="黑体"/>
      <w:b/>
      <w:sz w:val="30"/>
      <w:lang w:val="en-US" w:eastAsia="zh-CN" w:bidi="ar-SA"/>
    </w:rPr>
  </w:style>
  <w:style w:type="paragraph" w:customStyle="1" w:styleId="234">
    <w:name w:val="字元 字元2"/>
    <w:basedOn w:val="1"/>
    <w:qFormat/>
    <w:uiPriority w:val="0"/>
    <w:rPr>
      <w:rFonts w:ascii="Tahoma" w:hAnsi="Tahoma"/>
      <w:sz w:val="24"/>
      <w:szCs w:val="20"/>
    </w:rPr>
  </w:style>
  <w:style w:type="paragraph" w:customStyle="1" w:styleId="235">
    <w:name w:val="Char3 Char Char Char2"/>
    <w:basedOn w:val="1"/>
    <w:qFormat/>
    <w:uiPriority w:val="0"/>
    <w:rPr>
      <w:rFonts w:ascii="Tahoma" w:hAnsi="Tahoma"/>
      <w:sz w:val="24"/>
      <w:szCs w:val="20"/>
    </w:rPr>
  </w:style>
  <w:style w:type="paragraph" w:customStyle="1" w:styleId="23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7">
    <w:name w:val="Char3"/>
    <w:basedOn w:val="1"/>
    <w:qFormat/>
    <w:uiPriority w:val="0"/>
    <w:pPr>
      <w:tabs>
        <w:tab w:val="left" w:pos="360"/>
      </w:tabs>
    </w:pPr>
    <w:rPr>
      <w:sz w:val="24"/>
    </w:rPr>
  </w:style>
  <w:style w:type="paragraph" w:customStyle="1" w:styleId="23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0">
    <w:name w:val="列出段落2"/>
    <w:basedOn w:val="1"/>
    <w:qFormat/>
    <w:uiPriority w:val="0"/>
    <w:pPr>
      <w:ind w:firstLine="420" w:firstLineChars="200"/>
    </w:pPr>
    <w:rPr>
      <w:rFonts w:ascii="Calibri" w:hAnsi="Calibri"/>
      <w:szCs w:val="22"/>
    </w:rPr>
  </w:style>
  <w:style w:type="paragraph" w:customStyle="1" w:styleId="241">
    <w:name w:val="Char Char Char1 Char2"/>
    <w:basedOn w:val="1"/>
    <w:qFormat/>
    <w:uiPriority w:val="0"/>
    <w:rPr>
      <w:rFonts w:ascii="Tahoma" w:hAnsi="Tahoma"/>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修订1"/>
    <w:qFormat/>
    <w:uiPriority w:val="0"/>
    <w:rPr>
      <w:rFonts w:ascii="Times New Roman" w:hAnsi="Times New Roman" w:eastAsia="宋体" w:cs="Times New Roman"/>
      <w:kern w:val="2"/>
      <w:sz w:val="21"/>
      <w:szCs w:val="24"/>
      <w:lang w:val="en-US" w:eastAsia="zh-CN" w:bidi="ar-SA"/>
    </w:rPr>
  </w:style>
  <w:style w:type="paragraph" w:customStyle="1" w:styleId="246">
    <w:name w:val="Char22"/>
    <w:basedOn w:val="1"/>
    <w:qFormat/>
    <w:uiPriority w:val="0"/>
    <w:rPr>
      <w:rFonts w:ascii="Tahoma" w:hAnsi="Tahoma"/>
      <w:sz w:val="24"/>
      <w:szCs w:val="20"/>
    </w:rPr>
  </w:style>
  <w:style w:type="paragraph" w:customStyle="1" w:styleId="247">
    <w:name w:val="Char Char Char Char Char Char Char Char Char Char2"/>
    <w:basedOn w:val="1"/>
    <w:qFormat/>
    <w:uiPriority w:val="0"/>
    <w:rPr>
      <w:rFonts w:ascii="宋体" w:hAnsi="宋体" w:cs="Courier New"/>
      <w:sz w:val="32"/>
      <w:szCs w:val="32"/>
    </w:rPr>
  </w:style>
  <w:style w:type="paragraph" w:customStyle="1" w:styleId="248">
    <w:name w:val="Char2 Char Char Char Char Char Char1"/>
    <w:basedOn w:val="1"/>
    <w:qFormat/>
    <w:uiPriority w:val="0"/>
    <w:pPr>
      <w:widowControl/>
      <w:spacing w:line="400" w:lineRule="exact"/>
      <w:jc w:val="center"/>
    </w:pPr>
  </w:style>
  <w:style w:type="character" w:customStyle="1" w:styleId="249">
    <w:name w:val="页脚 Char"/>
    <w:qFormat/>
    <w:uiPriority w:val="0"/>
    <w:rPr>
      <w:rFonts w:ascii="宋体" w:eastAsia="宋体"/>
      <w:sz w:val="18"/>
      <w:lang w:val="en-US" w:eastAsia="zh-CN" w:bidi="ar-SA"/>
    </w:rPr>
  </w:style>
  <w:style w:type="paragraph" w:customStyle="1" w:styleId="250">
    <w:name w:val="Char Char41"/>
    <w:basedOn w:val="1"/>
    <w:qFormat/>
    <w:uiPriority w:val="0"/>
    <w:pPr>
      <w:widowControl/>
      <w:spacing w:line="400" w:lineRule="exact"/>
      <w:jc w:val="center"/>
    </w:pPr>
  </w:style>
  <w:style w:type="character" w:customStyle="1" w:styleId="251">
    <w:name w:val="批注文字 Char"/>
    <w:qFormat/>
    <w:uiPriority w:val="0"/>
    <w:rPr>
      <w:kern w:val="2"/>
      <w:sz w:val="21"/>
      <w:szCs w:val="24"/>
    </w:rPr>
  </w:style>
  <w:style w:type="character" w:customStyle="1" w:styleId="252">
    <w:name w:val="标题 Char"/>
    <w:qFormat/>
    <w:uiPriority w:val="0"/>
    <w:rPr>
      <w:b/>
      <w:kern w:val="2"/>
      <w:sz w:val="32"/>
    </w:rPr>
  </w:style>
  <w:style w:type="paragraph" w:customStyle="1" w:styleId="253">
    <w:name w:val="图例"/>
    <w:basedOn w:val="1"/>
    <w:qFormat/>
    <w:uiPriority w:val="0"/>
    <w:pPr>
      <w:spacing w:before="120" w:after="120" w:line="360" w:lineRule="auto"/>
      <w:jc w:val="center"/>
    </w:pPr>
    <w:rPr>
      <w:rFonts w:eastAsia="仿宋_GB2312"/>
      <w:b/>
      <w:sz w:val="24"/>
      <w:szCs w:val="20"/>
    </w:rPr>
  </w:style>
  <w:style w:type="table" w:customStyle="1" w:styleId="254">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5">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6">
    <w:name w:val="正文首行缩进 2 Char"/>
    <w:qFormat/>
    <w:uiPriority w:val="99"/>
    <w:rPr>
      <w:kern w:val="2"/>
      <w:sz w:val="21"/>
      <w:szCs w:val="24"/>
    </w:rPr>
  </w:style>
  <w:style w:type="character" w:customStyle="1" w:styleId="257">
    <w:name w:val="纯文本 Char"/>
    <w:qFormat/>
    <w:uiPriority w:val="0"/>
    <w:rPr>
      <w:rFonts w:ascii="宋体" w:hAnsi="Courier New"/>
      <w:kern w:val="2"/>
      <w:sz w:val="21"/>
    </w:rPr>
  </w:style>
  <w:style w:type="character" w:customStyle="1" w:styleId="258">
    <w:name w:val="正文文本 Char"/>
    <w:qFormat/>
    <w:uiPriority w:val="0"/>
    <w:rPr>
      <w:rFonts w:ascii="宋体" w:hAnsi="宋体"/>
      <w:kern w:val="2"/>
      <w:sz w:val="24"/>
      <w:szCs w:val="24"/>
    </w:rPr>
  </w:style>
  <w:style w:type="character" w:customStyle="1" w:styleId="259">
    <w:name w:val="正文文本缩进 2 Char"/>
    <w:qFormat/>
    <w:uiPriority w:val="99"/>
    <w:rPr>
      <w:rFonts w:ascii="仿宋_GB2312" w:eastAsia="仿宋_GB2312"/>
      <w:kern w:val="2"/>
      <w:sz w:val="24"/>
      <w:szCs w:val="24"/>
    </w:rPr>
  </w:style>
  <w:style w:type="character" w:customStyle="1" w:styleId="260">
    <w:name w:val="style11"/>
    <w:qFormat/>
    <w:uiPriority w:val="0"/>
    <w:rPr>
      <w:color w:val="000000"/>
      <w:sz w:val="18"/>
      <w:szCs w:val="18"/>
    </w:rPr>
  </w:style>
  <w:style w:type="character" w:customStyle="1" w:styleId="261">
    <w:name w:val="标题 1 字符"/>
    <w:qFormat/>
    <w:uiPriority w:val="0"/>
    <w:rPr>
      <w:rFonts w:ascii="宋体"/>
      <w:b/>
      <w:kern w:val="44"/>
      <w:sz w:val="32"/>
    </w:rPr>
  </w:style>
  <w:style w:type="character" w:customStyle="1" w:styleId="262">
    <w:name w:val="标题 2 字符"/>
    <w:qFormat/>
    <w:uiPriority w:val="0"/>
    <w:rPr>
      <w:rFonts w:ascii="Arial" w:hAnsi="Arial" w:eastAsia="黑体"/>
      <w:b/>
      <w:sz w:val="30"/>
      <w:lang w:val="en-US" w:eastAsia="zh-CN" w:bidi="ar-SA"/>
    </w:rPr>
  </w:style>
  <w:style w:type="character" w:customStyle="1" w:styleId="263">
    <w:name w:val="正文缩进 字符"/>
    <w:qFormat/>
    <w:uiPriority w:val="0"/>
    <w:rPr>
      <w:rFonts w:ascii="宋体" w:eastAsia="宋体"/>
      <w:kern w:val="2"/>
      <w:sz w:val="24"/>
      <w:szCs w:val="24"/>
      <w:lang w:val="en-US" w:eastAsia="zh-CN" w:bidi="ar-SA"/>
    </w:rPr>
  </w:style>
  <w:style w:type="character" w:customStyle="1" w:styleId="264">
    <w:name w:val="标题 3 字符"/>
    <w:qFormat/>
    <w:uiPriority w:val="0"/>
    <w:rPr>
      <w:rFonts w:ascii="宋体" w:eastAsia="宋体"/>
      <w:b/>
      <w:sz w:val="24"/>
      <w:u w:val="single"/>
      <w:lang w:val="en-US" w:eastAsia="zh-CN" w:bidi="ar-SA"/>
    </w:rPr>
  </w:style>
  <w:style w:type="character" w:customStyle="1" w:styleId="265">
    <w:name w:val="标题 4 字符"/>
    <w:qFormat/>
    <w:uiPriority w:val="0"/>
    <w:rPr>
      <w:rFonts w:ascii="Arial" w:hAnsi="Arial" w:eastAsia="黑体"/>
      <w:b/>
      <w:sz w:val="28"/>
    </w:rPr>
  </w:style>
  <w:style w:type="character" w:customStyle="1" w:styleId="266">
    <w:name w:val="标题 5 字符"/>
    <w:qFormat/>
    <w:uiPriority w:val="0"/>
    <w:rPr>
      <w:b/>
      <w:sz w:val="28"/>
    </w:rPr>
  </w:style>
  <w:style w:type="character" w:customStyle="1" w:styleId="267">
    <w:name w:val="标题 6 字符"/>
    <w:qFormat/>
    <w:uiPriority w:val="0"/>
    <w:rPr>
      <w:rFonts w:ascii="Arial" w:hAnsi="Arial" w:eastAsia="黑体"/>
      <w:b/>
      <w:sz w:val="24"/>
    </w:rPr>
  </w:style>
  <w:style w:type="character" w:customStyle="1" w:styleId="268">
    <w:name w:val="标题 7 字符"/>
    <w:qFormat/>
    <w:uiPriority w:val="0"/>
    <w:rPr>
      <w:b/>
      <w:sz w:val="24"/>
    </w:rPr>
  </w:style>
  <w:style w:type="character" w:customStyle="1" w:styleId="269">
    <w:name w:val="标题 8 字符"/>
    <w:qFormat/>
    <w:uiPriority w:val="0"/>
    <w:rPr>
      <w:rFonts w:ascii="Arial" w:hAnsi="Arial" w:eastAsia="黑体"/>
      <w:sz w:val="24"/>
    </w:rPr>
  </w:style>
  <w:style w:type="character" w:customStyle="1" w:styleId="270">
    <w:name w:val="标题 9 字符"/>
    <w:qFormat/>
    <w:uiPriority w:val="0"/>
    <w:rPr>
      <w:rFonts w:ascii="Arial" w:hAnsi="Arial" w:eastAsia="黑体"/>
      <w:sz w:val="21"/>
    </w:rPr>
  </w:style>
  <w:style w:type="character" w:customStyle="1" w:styleId="271">
    <w:name w:val="文档结构图 字符"/>
    <w:qFormat/>
    <w:uiPriority w:val="0"/>
    <w:rPr>
      <w:kern w:val="2"/>
      <w:sz w:val="21"/>
      <w:szCs w:val="24"/>
      <w:shd w:val="clear" w:color="auto" w:fill="000080"/>
    </w:rPr>
  </w:style>
  <w:style w:type="character" w:customStyle="1" w:styleId="272">
    <w:name w:val="批注文字 字符1"/>
    <w:qFormat/>
    <w:uiPriority w:val="99"/>
    <w:rPr>
      <w:kern w:val="2"/>
      <w:sz w:val="21"/>
      <w:szCs w:val="24"/>
    </w:rPr>
  </w:style>
  <w:style w:type="character" w:customStyle="1" w:styleId="273">
    <w:name w:val="正文文本 3 字符"/>
    <w:qFormat/>
    <w:uiPriority w:val="0"/>
    <w:rPr>
      <w:kern w:val="2"/>
      <w:sz w:val="16"/>
      <w:szCs w:val="16"/>
    </w:rPr>
  </w:style>
  <w:style w:type="character" w:customStyle="1" w:styleId="274">
    <w:name w:val="正文文本 字符"/>
    <w:qFormat/>
    <w:uiPriority w:val="0"/>
    <w:rPr>
      <w:rFonts w:ascii="宋体" w:hAnsi="宋体"/>
      <w:kern w:val="2"/>
      <w:sz w:val="24"/>
      <w:szCs w:val="24"/>
    </w:rPr>
  </w:style>
  <w:style w:type="character" w:customStyle="1" w:styleId="275">
    <w:name w:val="正文文本缩进 字符"/>
    <w:qFormat/>
    <w:uiPriority w:val="0"/>
    <w:rPr>
      <w:rFonts w:eastAsia="宋体"/>
      <w:kern w:val="2"/>
      <w:sz w:val="24"/>
      <w:szCs w:val="24"/>
      <w:lang w:val="en-US" w:eastAsia="zh-CN" w:bidi="ar-SA"/>
    </w:rPr>
  </w:style>
  <w:style w:type="character" w:customStyle="1" w:styleId="276">
    <w:name w:val="纯文本 字符2"/>
    <w:qFormat/>
    <w:uiPriority w:val="0"/>
    <w:rPr>
      <w:rFonts w:hint="eastAsia" w:ascii="宋体" w:hAnsi="Courier New" w:eastAsia="宋体" w:cs="宋体"/>
      <w:kern w:val="2"/>
      <w:sz w:val="21"/>
    </w:rPr>
  </w:style>
  <w:style w:type="character" w:customStyle="1" w:styleId="277">
    <w:name w:val="日期 字符"/>
    <w:qFormat/>
    <w:uiPriority w:val="0"/>
    <w:rPr>
      <w:rFonts w:ascii="仿宋_GB2312" w:hAnsi="宋体" w:eastAsia="仿宋_GB2312"/>
      <w:color w:val="000000"/>
      <w:kern w:val="2"/>
      <w:sz w:val="24"/>
      <w:szCs w:val="24"/>
    </w:rPr>
  </w:style>
  <w:style w:type="character" w:customStyle="1" w:styleId="278">
    <w:name w:val="正文文本缩进 2 字符"/>
    <w:qFormat/>
    <w:uiPriority w:val="0"/>
    <w:rPr>
      <w:rFonts w:ascii="仿宋_GB2312" w:eastAsia="仿宋_GB2312"/>
      <w:kern w:val="2"/>
      <w:sz w:val="24"/>
      <w:szCs w:val="24"/>
    </w:rPr>
  </w:style>
  <w:style w:type="character" w:customStyle="1" w:styleId="279">
    <w:name w:val="批注框文本 字符"/>
    <w:qFormat/>
    <w:uiPriority w:val="0"/>
    <w:rPr>
      <w:kern w:val="2"/>
      <w:sz w:val="18"/>
      <w:szCs w:val="18"/>
    </w:rPr>
  </w:style>
  <w:style w:type="character" w:customStyle="1" w:styleId="280">
    <w:name w:val="页脚 字符"/>
    <w:qFormat/>
    <w:uiPriority w:val="99"/>
    <w:rPr>
      <w:rFonts w:ascii="宋体" w:eastAsia="宋体"/>
      <w:sz w:val="18"/>
      <w:lang w:val="en-US" w:eastAsia="zh-CN" w:bidi="ar-SA"/>
    </w:rPr>
  </w:style>
  <w:style w:type="character" w:customStyle="1" w:styleId="281">
    <w:name w:val="页眉 字符"/>
    <w:qFormat/>
    <w:uiPriority w:val="0"/>
    <w:rPr>
      <w:rFonts w:eastAsia="宋体"/>
      <w:kern w:val="2"/>
      <w:sz w:val="18"/>
      <w:szCs w:val="18"/>
      <w:lang w:val="en-US" w:eastAsia="zh-CN" w:bidi="ar-SA"/>
    </w:rPr>
  </w:style>
  <w:style w:type="character" w:customStyle="1" w:styleId="282">
    <w:name w:val="正文文本缩进 3 字符"/>
    <w:qFormat/>
    <w:uiPriority w:val="0"/>
    <w:rPr>
      <w:rFonts w:ascii="宋体"/>
      <w:sz w:val="24"/>
    </w:rPr>
  </w:style>
  <w:style w:type="character" w:customStyle="1" w:styleId="283">
    <w:name w:val="HTML 预设格式 字符"/>
    <w:qFormat/>
    <w:uiPriority w:val="0"/>
    <w:rPr>
      <w:rFonts w:ascii="宋体" w:hAnsi="宋体" w:cs="宋体"/>
      <w:sz w:val="24"/>
      <w:szCs w:val="24"/>
    </w:rPr>
  </w:style>
  <w:style w:type="character" w:customStyle="1" w:styleId="284">
    <w:name w:val="标题 字符"/>
    <w:qFormat/>
    <w:uiPriority w:val="0"/>
    <w:rPr>
      <w:b/>
      <w:kern w:val="2"/>
      <w:sz w:val="32"/>
    </w:rPr>
  </w:style>
  <w:style w:type="character" w:customStyle="1" w:styleId="285">
    <w:name w:val="批注主题 字符"/>
    <w:qFormat/>
    <w:uiPriority w:val="0"/>
    <w:rPr>
      <w:rFonts w:ascii="Times New Roman" w:hAnsi="Times New Roman" w:eastAsia="宋体" w:cs="Times New Roman"/>
      <w:b/>
      <w:bCs/>
      <w:kern w:val="2"/>
      <w:sz w:val="21"/>
      <w:szCs w:val="24"/>
      <w:lang w:val="en-US" w:eastAsia="zh-CN" w:bidi="ar-SA"/>
    </w:rPr>
  </w:style>
  <w:style w:type="character" w:customStyle="1" w:styleId="286">
    <w:name w:val="正文文本首行缩进 2 字符"/>
    <w:qFormat/>
    <w:uiPriority w:val="0"/>
    <w:rPr>
      <w:rFonts w:eastAsia="宋体"/>
      <w:kern w:val="2"/>
      <w:sz w:val="24"/>
      <w:szCs w:val="24"/>
      <w:lang w:val="en-US" w:eastAsia="zh-CN" w:bidi="ar-SA"/>
    </w:rPr>
  </w:style>
  <w:style w:type="paragraph" w:customStyle="1" w:styleId="28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8">
    <w:name w:val="Plain Text1"/>
    <w:basedOn w:val="1"/>
    <w:qFormat/>
    <w:uiPriority w:val="99"/>
    <w:pPr>
      <w:adjustRightInd w:val="0"/>
      <w:jc w:val="left"/>
    </w:pPr>
    <w:rPr>
      <w:rFonts w:ascii="宋体" w:hAnsi="Courier New" w:eastAsia="等线"/>
      <w:sz w:val="24"/>
      <w:szCs w:val="20"/>
    </w:rPr>
  </w:style>
  <w:style w:type="paragraph" w:customStyle="1" w:styleId="289">
    <w:name w:val="TOC 标题1"/>
    <w:basedOn w:val="4"/>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90">
    <w:name w:val="font21"/>
    <w:basedOn w:val="43"/>
    <w:qFormat/>
    <w:uiPriority w:val="99"/>
    <w:rPr>
      <w:rFonts w:ascii="宋体" w:hAnsi="宋体" w:eastAsia="宋体" w:cs="宋体"/>
      <w:color w:val="000000"/>
      <w:sz w:val="18"/>
      <w:szCs w:val="18"/>
      <w:u w:val="none"/>
    </w:rPr>
  </w:style>
  <w:style w:type="character" w:customStyle="1" w:styleId="291">
    <w:name w:val="font41"/>
    <w:basedOn w:val="43"/>
    <w:qFormat/>
    <w:uiPriority w:val="99"/>
    <w:rPr>
      <w:rFonts w:ascii="宋体" w:hAnsi="宋体" w:eastAsia="宋体" w:cs="宋体"/>
      <w:color w:val="000000"/>
      <w:sz w:val="18"/>
      <w:szCs w:val="18"/>
      <w:u w:val="none"/>
    </w:rPr>
  </w:style>
  <w:style w:type="character" w:customStyle="1" w:styleId="292">
    <w:name w:val="font122"/>
    <w:basedOn w:val="43"/>
    <w:qFormat/>
    <w:uiPriority w:val="99"/>
    <w:rPr>
      <w:rFonts w:ascii="微软雅黑" w:hAnsi="微软雅黑" w:eastAsia="微软雅黑" w:cs="微软雅黑"/>
      <w:b/>
      <w:bCs/>
      <w:color w:val="000000"/>
      <w:sz w:val="18"/>
      <w:szCs w:val="18"/>
      <w:u w:val="none"/>
    </w:rPr>
  </w:style>
  <w:style w:type="character" w:customStyle="1" w:styleId="293">
    <w:name w:val="font81"/>
    <w:basedOn w:val="43"/>
    <w:qFormat/>
    <w:uiPriority w:val="99"/>
    <w:rPr>
      <w:rFonts w:ascii="宋体" w:hAnsi="宋体" w:eastAsia="宋体" w:cs="宋体"/>
      <w:b/>
      <w:bCs/>
      <w:color w:val="000000"/>
      <w:sz w:val="18"/>
      <w:szCs w:val="18"/>
      <w:u w:val="none"/>
    </w:rPr>
  </w:style>
  <w:style w:type="character" w:customStyle="1" w:styleId="294">
    <w:name w:val="font131"/>
    <w:basedOn w:val="43"/>
    <w:qFormat/>
    <w:uiPriority w:val="99"/>
    <w:rPr>
      <w:rFonts w:ascii="Calibri" w:hAnsi="Calibri" w:cs="Calibri"/>
      <w:color w:val="FF0000"/>
      <w:sz w:val="18"/>
      <w:szCs w:val="18"/>
      <w:u w:val="none"/>
    </w:rPr>
  </w:style>
  <w:style w:type="character" w:customStyle="1" w:styleId="295">
    <w:name w:val="font101"/>
    <w:basedOn w:val="43"/>
    <w:qFormat/>
    <w:uiPriority w:val="99"/>
    <w:rPr>
      <w:rFonts w:ascii="宋体" w:hAnsi="宋体" w:eastAsia="宋体" w:cs="宋体"/>
      <w:color w:val="FF0000"/>
      <w:sz w:val="18"/>
      <w:szCs w:val="18"/>
      <w:u w:val="none"/>
    </w:rPr>
  </w:style>
  <w:style w:type="character" w:customStyle="1" w:styleId="296">
    <w:name w:val="font91"/>
    <w:basedOn w:val="43"/>
    <w:qFormat/>
    <w:uiPriority w:val="99"/>
    <w:rPr>
      <w:rFonts w:ascii="宋体" w:hAnsi="宋体" w:eastAsia="宋体" w:cs="宋体"/>
      <w:color w:val="FF0000"/>
      <w:sz w:val="18"/>
      <w:szCs w:val="18"/>
      <w:u w:val="none"/>
    </w:rPr>
  </w:style>
  <w:style w:type="character" w:customStyle="1" w:styleId="297">
    <w:name w:val="font31"/>
    <w:basedOn w:val="43"/>
    <w:qFormat/>
    <w:uiPriority w:val="99"/>
    <w:rPr>
      <w:rFonts w:ascii="宋体" w:hAnsi="宋体" w:eastAsia="宋体" w:cs="宋体"/>
      <w:color w:val="000000"/>
      <w:sz w:val="18"/>
      <w:szCs w:val="18"/>
      <w:u w:val="none"/>
    </w:rPr>
  </w:style>
  <w:style w:type="character" w:customStyle="1" w:styleId="298">
    <w:name w:val="font141"/>
    <w:basedOn w:val="43"/>
    <w:qFormat/>
    <w:uiPriority w:val="99"/>
    <w:rPr>
      <w:rFonts w:ascii="Arial" w:hAnsi="Arial" w:cs="Arial"/>
      <w:color w:val="000000"/>
      <w:sz w:val="18"/>
      <w:szCs w:val="18"/>
      <w:u w:val="none"/>
    </w:rPr>
  </w:style>
  <w:style w:type="paragraph" w:customStyle="1" w:styleId="299">
    <w:name w:val="正文文字缩进 2"/>
    <w:basedOn w:val="1"/>
    <w:qFormat/>
    <w:uiPriority w:val="0"/>
    <w:pPr>
      <w:spacing w:line="351" w:lineRule="atLeast"/>
      <w:ind w:firstLine="481"/>
      <w:textAlignment w:val="baseline"/>
    </w:pPr>
    <w:rPr>
      <w:rFonts w:ascii="仿宋_GB2312" w:eastAsia="仿宋_GB2312"/>
      <w:color w:val="000000"/>
      <w:sz w:val="24"/>
      <w:u w:color="000000"/>
    </w:rPr>
  </w:style>
  <w:style w:type="paragraph" w:customStyle="1" w:styleId="300">
    <w:name w:val="正文文字缩进 3"/>
    <w:basedOn w:val="1"/>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301">
    <w:name w:val="普通文字"/>
    <w:basedOn w:val="1"/>
    <w:qFormat/>
    <w:uiPriority w:val="0"/>
    <w:pPr>
      <w:spacing w:line="351" w:lineRule="atLeast"/>
      <w:ind w:firstLine="419"/>
      <w:textAlignment w:val="baseline"/>
    </w:pPr>
    <w:rPr>
      <w:rFonts w:ascii="宋体"/>
      <w:color w:val="00000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CA6CD-F053-4569-8362-B86E73D5CF8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92</Pages>
  <Words>43664</Words>
  <Characters>45828</Characters>
  <Lines>354</Lines>
  <Paragraphs>99</Paragraphs>
  <TotalTime>16</TotalTime>
  <ScaleCrop>false</ScaleCrop>
  <LinksUpToDate>false</LinksUpToDate>
  <CharactersWithSpaces>46798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2022-04-26T08:24:00Z</dcterms:created>
  <dc:creator>尹皓</dc:creator>
  <cp:lastModifiedBy>周若晴</cp:lastModifiedBy>
  <cp:lastPrinted>2020-04-02T03:13:00Z</cp:lastPrinted>
  <dcterms:modified xsi:type="dcterms:W3CDTF">2022-09-09T09:45:09Z</dcterms:modified>
  <dc:title>02年杜范本稿</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BEC6661AAE054AA7A0E9842885059005</vt:lpwstr>
  </property>
</Properties>
</file>