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color w:val="auto"/>
          <w:sz w:val="52"/>
          <w:szCs w:val="52"/>
          <w:highlight w:val="none"/>
        </w:rPr>
      </w:pPr>
      <w:r>
        <w:rPr>
          <w:rFonts w:hint="eastAsia" w:ascii="华文中宋" w:hAnsi="华文中宋" w:eastAsia="华文中宋" w:cs="黑体"/>
          <w:color w:val="auto"/>
          <w:sz w:val="52"/>
          <w:szCs w:val="52"/>
          <w:highlight w:val="none"/>
        </w:rPr>
        <w:t>首都师范大学留学生教学楼物业服务项目</w:t>
      </w:r>
    </w:p>
    <w:p>
      <w:pPr>
        <w:jc w:val="center"/>
        <w:rPr>
          <w:rFonts w:ascii="华文中宋" w:hAnsi="华文中宋" w:eastAsia="华文中宋" w:cs="黑体"/>
          <w:color w:val="auto"/>
          <w:sz w:val="52"/>
          <w:szCs w:val="52"/>
          <w:highlight w:val="none"/>
        </w:rPr>
      </w:pPr>
    </w:p>
    <w:p>
      <w:pPr>
        <w:spacing w:line="240" w:lineRule="atLeast"/>
        <w:ind w:right="-57" w:rightChars="-27"/>
        <w:jc w:val="center"/>
        <w:rPr>
          <w:rFonts w:ascii="华文中宋" w:hAnsi="华文中宋" w:eastAsia="华文中宋" w:cs="黑体"/>
          <w:color w:val="auto"/>
          <w:sz w:val="84"/>
          <w:szCs w:val="84"/>
          <w:highlight w:val="none"/>
        </w:rPr>
      </w:pPr>
      <w:r>
        <w:rPr>
          <w:rFonts w:hint="eastAsia" w:ascii="华文中宋" w:hAnsi="华文中宋" w:eastAsia="华文中宋" w:cs="黑体"/>
          <w:color w:val="auto"/>
          <w:sz w:val="84"/>
          <w:szCs w:val="84"/>
          <w:highlight w:val="none"/>
        </w:rPr>
        <w:t>比 选 文 件</w:t>
      </w:r>
    </w:p>
    <w:p>
      <w:pPr>
        <w:ind w:firstLine="2814" w:firstLineChars="1001"/>
        <w:rPr>
          <w:rFonts w:ascii="宋体" w:hAnsi="宋体"/>
          <w:b/>
          <w:color w:val="auto"/>
          <w:sz w:val="28"/>
          <w:highlight w:val="none"/>
        </w:rPr>
      </w:pPr>
    </w:p>
    <w:p>
      <w:pPr>
        <w:ind w:firstLine="2814" w:firstLineChars="1001"/>
        <w:rPr>
          <w:rFonts w:ascii="宋体" w:hAnsi="宋体"/>
          <w:b/>
          <w:color w:val="auto"/>
          <w:sz w:val="28"/>
          <w:highlight w:val="none"/>
        </w:rPr>
      </w:pPr>
    </w:p>
    <w:p>
      <w:pPr>
        <w:jc w:val="center"/>
        <w:rPr>
          <w:rFonts w:ascii="宋体" w:hAnsi="宋体"/>
          <w:b/>
          <w:color w:val="auto"/>
          <w:sz w:val="32"/>
          <w:highlight w:val="none"/>
        </w:rPr>
      </w:pPr>
      <w:r>
        <w:rPr>
          <w:rFonts w:ascii="宋体" w:hAnsi="宋体"/>
          <w:b/>
          <w:color w:val="auto"/>
          <w:sz w:val="52"/>
          <w:highlight w:val="none"/>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color w:val="auto"/>
          <w:sz w:val="36"/>
          <w:szCs w:val="36"/>
          <w:highlight w:val="none"/>
        </w:rPr>
      </w:pPr>
    </w:p>
    <w:p>
      <w:pPr>
        <w:spacing w:line="480" w:lineRule="auto"/>
        <w:ind w:right="-57" w:rightChars="-27" w:firstLine="1084" w:firstLineChars="300"/>
        <w:rPr>
          <w:rFonts w:eastAsia="黑体"/>
          <w:b/>
          <w:color w:val="auto"/>
          <w:sz w:val="36"/>
          <w:szCs w:val="36"/>
          <w:highlight w:val="none"/>
        </w:rPr>
      </w:pPr>
      <w:r>
        <w:rPr>
          <w:rFonts w:eastAsia="黑体"/>
          <w:b/>
          <w:color w:val="auto"/>
          <w:sz w:val="36"/>
          <w:szCs w:val="36"/>
          <w:highlight w:val="none"/>
        </w:rPr>
        <w:t>项目编号：</w:t>
      </w:r>
      <w:r>
        <w:rPr>
          <w:rFonts w:hint="eastAsia" w:eastAsia="黑体"/>
          <w:b/>
          <w:color w:val="auto"/>
          <w:sz w:val="36"/>
          <w:szCs w:val="36"/>
          <w:highlight w:val="none"/>
        </w:rPr>
        <w:t>BMCC-ZC22-0339</w:t>
      </w:r>
    </w:p>
    <w:p>
      <w:pPr>
        <w:spacing w:line="480" w:lineRule="auto"/>
        <w:ind w:right="-57" w:rightChars="-27" w:firstLine="1084" w:firstLineChars="300"/>
        <w:rPr>
          <w:rFonts w:eastAsia="黑体"/>
          <w:b/>
          <w:color w:val="auto"/>
          <w:sz w:val="36"/>
          <w:szCs w:val="36"/>
          <w:highlight w:val="none"/>
        </w:rPr>
      </w:pPr>
      <w:r>
        <w:rPr>
          <w:rFonts w:eastAsia="黑体"/>
          <w:b/>
          <w:color w:val="auto"/>
          <w:sz w:val="36"/>
          <w:szCs w:val="36"/>
          <w:highlight w:val="none"/>
        </w:rPr>
        <w:t>采购人</w:t>
      </w:r>
      <w:r>
        <w:rPr>
          <w:rFonts w:hint="eastAsia" w:eastAsia="黑体"/>
          <w:b/>
          <w:color w:val="auto"/>
          <w:sz w:val="36"/>
          <w:szCs w:val="36"/>
          <w:highlight w:val="none"/>
        </w:rPr>
        <w:t>：首都师范大学</w:t>
      </w:r>
    </w:p>
    <w:p>
      <w:pPr>
        <w:spacing w:line="480" w:lineRule="auto"/>
        <w:ind w:right="-57" w:rightChars="-27" w:firstLine="1084" w:firstLineChars="300"/>
        <w:rPr>
          <w:rFonts w:eastAsia="黑体"/>
          <w:b/>
          <w:color w:val="auto"/>
          <w:sz w:val="36"/>
          <w:szCs w:val="36"/>
          <w:highlight w:val="none"/>
        </w:rPr>
      </w:pPr>
      <w:r>
        <w:rPr>
          <w:rFonts w:eastAsia="黑体"/>
          <w:b/>
          <w:color w:val="auto"/>
          <w:sz w:val="36"/>
          <w:szCs w:val="36"/>
          <w:highlight w:val="none"/>
        </w:rPr>
        <w:t>采购代理机构</w:t>
      </w:r>
      <w:r>
        <w:rPr>
          <w:rFonts w:hint="eastAsia" w:eastAsia="黑体"/>
          <w:b/>
          <w:color w:val="auto"/>
          <w:sz w:val="36"/>
          <w:szCs w:val="36"/>
          <w:highlight w:val="none"/>
        </w:rPr>
        <w:t>：北京明德致信咨询有限公司</w:t>
      </w:r>
    </w:p>
    <w:p>
      <w:pPr>
        <w:pStyle w:val="6"/>
        <w:rPr>
          <w:rFonts w:hAnsi="宋体"/>
          <w:b/>
          <w:color w:val="auto"/>
          <w:sz w:val="72"/>
          <w:highlight w:val="none"/>
        </w:rPr>
      </w:pPr>
    </w:p>
    <w:p>
      <w:pPr>
        <w:pStyle w:val="6"/>
        <w:rPr>
          <w:rFonts w:hAnsi="宋体"/>
          <w:b/>
          <w:color w:val="auto"/>
          <w:sz w:val="72"/>
          <w:highlight w:val="none"/>
        </w:rPr>
      </w:pPr>
    </w:p>
    <w:p>
      <w:pPr>
        <w:spacing w:line="360" w:lineRule="auto"/>
        <w:jc w:val="center"/>
        <w:outlineLvl w:val="0"/>
        <w:rPr>
          <w:rFonts w:ascii="宋体" w:hAnsi="宋体"/>
          <w:b/>
          <w:color w:val="auto"/>
          <w:sz w:val="36"/>
          <w:szCs w:val="36"/>
          <w:highlight w:val="none"/>
        </w:rPr>
      </w:pPr>
      <w:bookmarkStart w:id="0" w:name="_Toc100564784"/>
      <w:bookmarkStart w:id="1" w:name="_Toc32426"/>
      <w:bookmarkStart w:id="2" w:name="_Toc27935"/>
      <w:bookmarkStart w:id="3" w:name="_Toc99301418"/>
      <w:bookmarkStart w:id="4" w:name="_Toc17531"/>
      <w:r>
        <w:rPr>
          <w:rFonts w:ascii="宋体" w:hAnsi="宋体"/>
          <w:b/>
          <w:color w:val="auto"/>
          <w:sz w:val="36"/>
          <w:szCs w:val="36"/>
          <w:highlight w:val="none"/>
        </w:rPr>
        <w:t>目  录</w:t>
      </w:r>
      <w:bookmarkEnd w:id="0"/>
      <w:bookmarkEnd w:id="1"/>
      <w:bookmarkEnd w:id="2"/>
      <w:bookmarkEnd w:id="3"/>
      <w:bookmarkEnd w:id="4"/>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"_Toc19864" </w:instrText>
      </w:r>
      <w:r>
        <w:rPr>
          <w:color w:val="auto"/>
          <w:highlight w:val="none"/>
        </w:rPr>
        <w:fldChar w:fldCharType="separate"/>
      </w:r>
      <w:r>
        <w:rPr>
          <w:rFonts w:ascii="宋体" w:hAnsi="宋体"/>
          <w:color w:val="auto"/>
          <w:szCs w:val="36"/>
          <w:highlight w:val="none"/>
        </w:rPr>
        <w:t xml:space="preserve">第一章  </w:t>
      </w:r>
      <w:r>
        <w:rPr>
          <w:rFonts w:hint="eastAsia" w:ascii="宋体" w:hAnsi="宋体"/>
          <w:color w:val="auto"/>
          <w:szCs w:val="36"/>
          <w:highlight w:val="none"/>
        </w:rPr>
        <w:t>比选邀请</w:t>
      </w:r>
      <w:r>
        <w:rPr>
          <w:color w:val="auto"/>
          <w:highlight w:val="none"/>
        </w:rPr>
        <w:tab/>
      </w:r>
      <w:r>
        <w:rPr>
          <w:color w:val="auto"/>
          <w:highlight w:val="none"/>
        </w:rPr>
        <w:fldChar w:fldCharType="begin"/>
      </w:r>
      <w:r>
        <w:rPr>
          <w:color w:val="auto"/>
          <w:highlight w:val="none"/>
        </w:rPr>
        <w:instrText xml:space="preserve"> PAGEREF _Toc19864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 HYPERLINK \l "_Toc5899" </w:instrText>
      </w:r>
      <w:r>
        <w:rPr>
          <w:color w:val="auto"/>
          <w:highlight w:val="none"/>
        </w:rPr>
        <w:fldChar w:fldCharType="separate"/>
      </w:r>
      <w:r>
        <w:rPr>
          <w:rFonts w:ascii="宋体" w:hAnsi="宋体"/>
          <w:color w:val="auto"/>
          <w:szCs w:val="36"/>
          <w:highlight w:val="none"/>
        </w:rPr>
        <w:t xml:space="preserve">第二章  </w:t>
      </w:r>
      <w:r>
        <w:rPr>
          <w:rFonts w:hint="eastAsia" w:ascii="宋体" w:hAnsi="宋体"/>
          <w:color w:val="auto"/>
          <w:szCs w:val="36"/>
          <w:highlight w:val="none"/>
        </w:rPr>
        <w:t>供应商</w:t>
      </w:r>
      <w:r>
        <w:rPr>
          <w:rFonts w:ascii="宋体" w:hAnsi="宋体"/>
          <w:color w:val="auto"/>
          <w:szCs w:val="36"/>
          <w:highlight w:val="none"/>
        </w:rPr>
        <w:t>须知</w:t>
      </w:r>
      <w:r>
        <w:rPr>
          <w:color w:val="auto"/>
          <w:highlight w:val="none"/>
        </w:rPr>
        <w:tab/>
      </w:r>
      <w:r>
        <w:rPr>
          <w:color w:val="auto"/>
          <w:highlight w:val="none"/>
        </w:rPr>
        <w:fldChar w:fldCharType="begin"/>
      </w:r>
      <w:r>
        <w:rPr>
          <w:color w:val="auto"/>
          <w:highlight w:val="none"/>
        </w:rPr>
        <w:instrText xml:space="preserve"> PAGEREF _Toc5899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 HYPERLINK \l "_Toc19436" </w:instrText>
      </w:r>
      <w:r>
        <w:rPr>
          <w:color w:val="auto"/>
          <w:highlight w:val="none"/>
        </w:rPr>
        <w:fldChar w:fldCharType="separate"/>
      </w:r>
      <w:r>
        <w:rPr>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_Toc19436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 HYPERLINK \l "_Toc7625" </w:instrText>
      </w:r>
      <w:r>
        <w:rPr>
          <w:color w:val="auto"/>
          <w:highlight w:val="none"/>
        </w:rPr>
        <w:fldChar w:fldCharType="separate"/>
      </w:r>
      <w:r>
        <w:rPr>
          <w:rFonts w:ascii="宋体" w:hAnsi="宋体"/>
          <w:color w:val="auto"/>
          <w:szCs w:val="36"/>
          <w:highlight w:val="none"/>
        </w:rPr>
        <w:t>第</w:t>
      </w:r>
      <w:r>
        <w:rPr>
          <w:rFonts w:hint="eastAsia" w:ascii="宋体" w:hAnsi="宋体"/>
          <w:color w:val="auto"/>
          <w:szCs w:val="36"/>
          <w:highlight w:val="none"/>
        </w:rPr>
        <w:t>四</w:t>
      </w:r>
      <w:r>
        <w:rPr>
          <w:rFonts w:ascii="宋体" w:hAnsi="宋体"/>
          <w:color w:val="auto"/>
          <w:szCs w:val="36"/>
          <w:highlight w:val="none"/>
        </w:rPr>
        <w:t>章  采购需求</w:t>
      </w:r>
      <w:r>
        <w:rPr>
          <w:color w:val="auto"/>
          <w:highlight w:val="none"/>
        </w:rPr>
        <w:tab/>
      </w:r>
      <w:r>
        <w:rPr>
          <w:color w:val="auto"/>
          <w:highlight w:val="none"/>
        </w:rPr>
        <w:fldChar w:fldCharType="begin"/>
      </w:r>
      <w:r>
        <w:rPr>
          <w:color w:val="auto"/>
          <w:highlight w:val="none"/>
        </w:rPr>
        <w:instrText xml:space="preserve"> PAGEREF _Toc7625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 HYPERLINK \l "_Toc10792" </w:instrText>
      </w:r>
      <w:r>
        <w:rPr>
          <w:color w:val="auto"/>
          <w:highlight w:val="none"/>
        </w:rPr>
        <w:fldChar w:fldCharType="separate"/>
      </w:r>
      <w:r>
        <w:rPr>
          <w:rFonts w:ascii="宋体" w:hAnsi="宋体"/>
          <w:color w:val="auto"/>
          <w:szCs w:val="36"/>
          <w:highlight w:val="none"/>
        </w:rPr>
        <w:t>第</w:t>
      </w:r>
      <w:r>
        <w:rPr>
          <w:rFonts w:hint="eastAsia" w:ascii="宋体" w:hAnsi="宋体"/>
          <w:color w:val="auto"/>
          <w:szCs w:val="36"/>
          <w:highlight w:val="none"/>
        </w:rPr>
        <w:t>五</w:t>
      </w:r>
      <w:r>
        <w:rPr>
          <w:rFonts w:ascii="宋体" w:hAnsi="宋体"/>
          <w:color w:val="auto"/>
          <w:szCs w:val="36"/>
          <w:highlight w:val="none"/>
        </w:rPr>
        <w:t>章  拟签订的合同文本</w:t>
      </w:r>
      <w:r>
        <w:rPr>
          <w:color w:val="auto"/>
          <w:highlight w:val="none"/>
        </w:rPr>
        <w:tab/>
      </w:r>
      <w:r>
        <w:rPr>
          <w:color w:val="auto"/>
          <w:highlight w:val="none"/>
        </w:rPr>
        <w:fldChar w:fldCharType="begin"/>
      </w:r>
      <w:r>
        <w:rPr>
          <w:color w:val="auto"/>
          <w:highlight w:val="none"/>
        </w:rPr>
        <w:instrText xml:space="preserve"> PAGEREF _Toc10792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29"/>
        <w:tabs>
          <w:tab w:val="right" w:leader="dot" w:pos="9072"/>
        </w:tabs>
        <w:rPr>
          <w:color w:val="auto"/>
          <w:highlight w:val="none"/>
        </w:rPr>
      </w:pPr>
      <w:r>
        <w:rPr>
          <w:color w:val="auto"/>
          <w:highlight w:val="none"/>
        </w:rPr>
        <w:fldChar w:fldCharType="begin"/>
      </w:r>
      <w:r>
        <w:rPr>
          <w:color w:val="auto"/>
          <w:highlight w:val="none"/>
        </w:rPr>
        <w:instrText xml:space="preserve"> HYPERLINK \l "_Toc20502" </w:instrText>
      </w:r>
      <w:r>
        <w:rPr>
          <w:color w:val="auto"/>
          <w:highlight w:val="none"/>
        </w:rPr>
        <w:fldChar w:fldCharType="separate"/>
      </w:r>
      <w:r>
        <w:rPr>
          <w:rFonts w:ascii="宋体" w:hAnsi="宋体"/>
          <w:color w:val="auto"/>
          <w:szCs w:val="36"/>
          <w:highlight w:val="none"/>
        </w:rPr>
        <w:t>第</w:t>
      </w:r>
      <w:r>
        <w:rPr>
          <w:rFonts w:hint="eastAsia" w:ascii="宋体" w:hAnsi="宋体"/>
          <w:color w:val="auto"/>
          <w:szCs w:val="36"/>
          <w:highlight w:val="none"/>
        </w:rPr>
        <w:t>六</w:t>
      </w:r>
      <w:r>
        <w:rPr>
          <w:rFonts w:ascii="宋体" w:hAnsi="宋体"/>
          <w:color w:val="auto"/>
          <w:szCs w:val="36"/>
          <w:highlight w:val="none"/>
        </w:rPr>
        <w:t xml:space="preserve">章  </w:t>
      </w:r>
      <w:r>
        <w:rPr>
          <w:rFonts w:hint="eastAsia" w:ascii="宋体" w:hAnsi="宋体"/>
          <w:color w:val="auto"/>
          <w:szCs w:val="36"/>
          <w:highlight w:val="none"/>
        </w:rPr>
        <w:t>响应文件</w:t>
      </w:r>
      <w:r>
        <w:rPr>
          <w:rFonts w:ascii="宋体" w:hAnsi="宋体"/>
          <w:color w:val="auto"/>
          <w:szCs w:val="36"/>
          <w:highlight w:val="none"/>
        </w:rPr>
        <w:t>格式</w:t>
      </w:r>
      <w:r>
        <w:rPr>
          <w:color w:val="auto"/>
          <w:highlight w:val="none"/>
        </w:rPr>
        <w:tab/>
      </w:r>
      <w:r>
        <w:rPr>
          <w:color w:val="auto"/>
          <w:highlight w:val="none"/>
        </w:rPr>
        <w:fldChar w:fldCharType="begin"/>
      </w:r>
      <w:r>
        <w:rPr>
          <w:color w:val="auto"/>
          <w:highlight w:val="none"/>
        </w:rPr>
        <w:instrText xml:space="preserve"> PAGEREF _Toc20502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76"/>
        <w:spacing w:line="360" w:lineRule="auto"/>
        <w:rPr>
          <w:b w:val="0"/>
          <w:color w:val="auto"/>
          <w:highlight w:val="none"/>
        </w:rPr>
      </w:pPr>
      <w:r>
        <w:rPr>
          <w:color w:val="auto"/>
          <w:highlight w:val="none"/>
        </w:rPr>
        <w:fldChar w:fldCharType="end"/>
      </w:r>
    </w:p>
    <w:p>
      <w:pPr>
        <w:spacing w:line="360" w:lineRule="auto"/>
        <w:jc w:val="center"/>
        <w:outlineLvl w:val="0"/>
        <w:rPr>
          <w:rFonts w:ascii="宋体" w:hAnsi="宋体"/>
          <w:b/>
          <w:color w:val="auto"/>
          <w:sz w:val="36"/>
          <w:szCs w:val="36"/>
          <w:highlight w:val="none"/>
        </w:rPr>
      </w:pPr>
      <w:r>
        <w:rPr>
          <w:rFonts w:ascii="宋体" w:hAnsi="宋体"/>
          <w:color w:val="auto"/>
          <w:sz w:val="24"/>
          <w:highlight w:val="none"/>
        </w:rPr>
        <w:br w:type="page"/>
      </w:r>
      <w:bookmarkStart w:id="5" w:name="_Toc12300"/>
      <w:bookmarkStart w:id="6" w:name="_Toc19864"/>
      <w:bookmarkStart w:id="762" w:name="_GoBack"/>
      <w:bookmarkEnd w:id="762"/>
      <w:r>
        <w:rPr>
          <w:rFonts w:ascii="宋体" w:hAnsi="宋体"/>
          <w:b/>
          <w:color w:val="auto"/>
          <w:sz w:val="36"/>
          <w:szCs w:val="36"/>
          <w:highlight w:val="none"/>
        </w:rPr>
        <w:t xml:space="preserve">第一章  </w:t>
      </w:r>
      <w:bookmarkEnd w:id="5"/>
      <w:r>
        <w:rPr>
          <w:rFonts w:hint="eastAsia" w:ascii="宋体" w:hAnsi="宋体"/>
          <w:b/>
          <w:color w:val="auto"/>
          <w:sz w:val="36"/>
          <w:szCs w:val="36"/>
          <w:highlight w:val="none"/>
        </w:rPr>
        <w:t>比选邀请</w:t>
      </w:r>
      <w:bookmarkEnd w:id="6"/>
    </w:p>
    <w:p>
      <w:pPr>
        <w:pStyle w:val="5"/>
        <w:spacing w:before="0" w:line="360" w:lineRule="auto"/>
        <w:jc w:val="left"/>
        <w:rPr>
          <w:rFonts w:ascii="宋体" w:hAnsi="宋体" w:eastAsia="宋体"/>
          <w:color w:val="auto"/>
          <w:sz w:val="24"/>
          <w:szCs w:val="24"/>
          <w:highlight w:val="none"/>
        </w:rPr>
      </w:pPr>
      <w:bookmarkStart w:id="7" w:name="_Toc35393790"/>
      <w:bookmarkStart w:id="8" w:name="_Toc28359079"/>
      <w:bookmarkStart w:id="9" w:name="_Toc28359002"/>
      <w:bookmarkStart w:id="10" w:name="_Toc35393621"/>
      <w:bookmarkStart w:id="11" w:name="_Hlk24379207"/>
      <w:r>
        <w:rPr>
          <w:rFonts w:ascii="宋体" w:hAnsi="宋体" w:eastAsia="宋体"/>
          <w:color w:val="auto"/>
          <w:sz w:val="24"/>
          <w:szCs w:val="24"/>
          <w:highlight w:val="none"/>
        </w:rPr>
        <w:t>一、项目基本情况</w:t>
      </w:r>
      <w:bookmarkEnd w:id="7"/>
      <w:bookmarkEnd w:id="8"/>
      <w:bookmarkEnd w:id="9"/>
      <w:bookmarkEnd w:id="10"/>
    </w:p>
    <w:p>
      <w:pPr>
        <w:spacing w:line="360" w:lineRule="auto"/>
        <w:ind w:firstLine="480" w:firstLineChars="200"/>
        <w:rPr>
          <w:rFonts w:ascii="宋体" w:hAnsi="宋体"/>
          <w:color w:val="auto"/>
          <w:sz w:val="24"/>
          <w:highlight w:val="none"/>
        </w:rPr>
      </w:pPr>
      <w:r>
        <w:rPr>
          <w:rFonts w:ascii="宋体" w:hAnsi="宋体"/>
          <w:color w:val="auto"/>
          <w:sz w:val="24"/>
          <w:highlight w:val="none"/>
        </w:rPr>
        <w:t>1.项目编</w:t>
      </w:r>
      <w:r>
        <w:rPr>
          <w:rFonts w:hint="eastAsia" w:ascii="宋体" w:hAnsi="宋体"/>
          <w:color w:val="auto"/>
          <w:sz w:val="24"/>
          <w:highlight w:val="none"/>
        </w:rPr>
        <w:t>号：BMCC-ZC22-0339</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rPr>
        <w:t>首都师范大学留学生教学楼物业服务项目</w:t>
      </w:r>
      <w:r>
        <w:rPr>
          <w:rFonts w:ascii="宋体" w:hAnsi="宋体"/>
          <w:color w:val="auto"/>
          <w:sz w:val="24"/>
          <w:highlight w:val="none"/>
        </w:rPr>
        <w:t xml:space="preserve"> </w:t>
      </w:r>
    </w:p>
    <w:bookmarkEnd w:id="11"/>
    <w:p>
      <w:pPr>
        <w:spacing w:line="360" w:lineRule="auto"/>
        <w:ind w:firstLine="480" w:firstLineChars="200"/>
        <w:rPr>
          <w:rFonts w:ascii="宋体" w:hAnsi="宋体"/>
          <w:color w:val="auto"/>
          <w:sz w:val="24"/>
          <w:highlight w:val="none"/>
        </w:rPr>
      </w:pPr>
      <w:r>
        <w:rPr>
          <w:rFonts w:ascii="宋体" w:hAnsi="宋体"/>
          <w:color w:val="auto"/>
          <w:sz w:val="24"/>
          <w:highlight w:val="none"/>
        </w:rPr>
        <w:t>3.项目预算金额：</w:t>
      </w:r>
      <w:r>
        <w:rPr>
          <w:rFonts w:ascii="宋体" w:hAnsi="宋体"/>
          <w:color w:val="auto"/>
          <w:sz w:val="24"/>
          <w:highlight w:val="none"/>
          <w:u w:val="single"/>
        </w:rPr>
        <w:t xml:space="preserve"> </w:t>
      </w:r>
      <w:r>
        <w:rPr>
          <w:rFonts w:hint="eastAsia" w:ascii="宋体" w:hAnsi="宋体"/>
          <w:color w:val="auto"/>
          <w:sz w:val="24"/>
          <w:highlight w:val="none"/>
          <w:u w:val="single"/>
        </w:rPr>
        <w:t>255</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、项目最高限价：</w:t>
      </w:r>
      <w:r>
        <w:rPr>
          <w:rFonts w:ascii="宋体" w:hAnsi="宋体"/>
          <w:color w:val="auto"/>
          <w:sz w:val="24"/>
          <w:highlight w:val="none"/>
          <w:u w:val="single"/>
        </w:rPr>
        <w:t xml:space="preserve"> </w:t>
      </w:r>
      <w:r>
        <w:rPr>
          <w:rFonts w:hint="eastAsia" w:ascii="宋体" w:hAnsi="宋体"/>
          <w:color w:val="auto"/>
          <w:sz w:val="24"/>
          <w:highlight w:val="none"/>
          <w:u w:val="single"/>
        </w:rPr>
        <w:t>255</w:t>
      </w:r>
      <w:r>
        <w:rPr>
          <w:rFonts w:ascii="宋体" w:hAnsi="宋体"/>
          <w:color w:val="auto"/>
          <w:sz w:val="24"/>
          <w:highlight w:val="none"/>
          <w:u w:val="single"/>
        </w:rPr>
        <w:t xml:space="preserve">  </w:t>
      </w:r>
      <w:r>
        <w:rPr>
          <w:rFonts w:ascii="宋体" w:hAnsi="宋体"/>
          <w:color w:val="auto"/>
          <w:sz w:val="24"/>
          <w:highlight w:val="none"/>
        </w:rPr>
        <w:t>万元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color w:val="auto"/>
                <w:szCs w:val="21"/>
                <w:highlight w:val="none"/>
              </w:rPr>
            </w:pPr>
            <w:r>
              <w:rPr>
                <w:bCs/>
                <w:color w:val="auto"/>
                <w:szCs w:val="21"/>
                <w:highlight w:val="none"/>
              </w:rPr>
              <w:t>包号</w:t>
            </w:r>
          </w:p>
        </w:tc>
        <w:tc>
          <w:tcPr>
            <w:tcW w:w="843" w:type="pct"/>
            <w:vAlign w:val="center"/>
          </w:tcPr>
          <w:p>
            <w:pPr>
              <w:jc w:val="center"/>
              <w:rPr>
                <w:bCs/>
                <w:color w:val="auto"/>
                <w:szCs w:val="21"/>
                <w:highlight w:val="none"/>
              </w:rPr>
            </w:pPr>
            <w:r>
              <w:rPr>
                <w:bCs/>
                <w:color w:val="auto"/>
                <w:szCs w:val="21"/>
                <w:highlight w:val="none"/>
              </w:rPr>
              <w:t>标的名称</w:t>
            </w:r>
          </w:p>
        </w:tc>
        <w:tc>
          <w:tcPr>
            <w:tcW w:w="921" w:type="pct"/>
            <w:vAlign w:val="center"/>
          </w:tcPr>
          <w:p>
            <w:pPr>
              <w:jc w:val="center"/>
              <w:rPr>
                <w:bCs/>
                <w:color w:val="auto"/>
                <w:szCs w:val="21"/>
                <w:highlight w:val="none"/>
              </w:rPr>
            </w:pPr>
            <w:r>
              <w:rPr>
                <w:bCs/>
                <w:color w:val="auto"/>
                <w:szCs w:val="21"/>
                <w:highlight w:val="none"/>
              </w:rPr>
              <w:t>采购包预算金额</w:t>
            </w:r>
          </w:p>
          <w:p>
            <w:pPr>
              <w:jc w:val="center"/>
              <w:rPr>
                <w:bCs/>
                <w:color w:val="auto"/>
                <w:szCs w:val="21"/>
                <w:highlight w:val="none"/>
              </w:rPr>
            </w:pPr>
            <w:r>
              <w:rPr>
                <w:bCs/>
                <w:color w:val="auto"/>
                <w:szCs w:val="21"/>
                <w:highlight w:val="none"/>
              </w:rPr>
              <w:t>（万元）</w:t>
            </w:r>
          </w:p>
        </w:tc>
        <w:tc>
          <w:tcPr>
            <w:tcW w:w="540" w:type="pct"/>
            <w:vAlign w:val="center"/>
          </w:tcPr>
          <w:p>
            <w:pPr>
              <w:jc w:val="center"/>
              <w:rPr>
                <w:bCs/>
                <w:color w:val="auto"/>
                <w:szCs w:val="21"/>
                <w:highlight w:val="none"/>
              </w:rPr>
            </w:pPr>
            <w:r>
              <w:rPr>
                <w:bCs/>
                <w:color w:val="auto"/>
                <w:szCs w:val="21"/>
                <w:highlight w:val="none"/>
              </w:rPr>
              <w:t>数量</w:t>
            </w:r>
          </w:p>
        </w:tc>
        <w:tc>
          <w:tcPr>
            <w:tcW w:w="2314" w:type="pct"/>
            <w:vAlign w:val="center"/>
          </w:tcPr>
          <w:p>
            <w:pPr>
              <w:jc w:val="center"/>
              <w:rPr>
                <w:color w:val="auto"/>
                <w:szCs w:val="21"/>
                <w:highlight w:val="none"/>
              </w:rPr>
            </w:pPr>
            <w:r>
              <w:rPr>
                <w:color w:val="auto"/>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color w:val="auto"/>
                <w:szCs w:val="21"/>
                <w:highlight w:val="none"/>
              </w:rPr>
            </w:pPr>
            <w:r>
              <w:rPr>
                <w:bCs/>
                <w:color w:val="auto"/>
                <w:szCs w:val="21"/>
                <w:highlight w:val="none"/>
              </w:rPr>
              <w:t>01</w:t>
            </w:r>
          </w:p>
        </w:tc>
        <w:tc>
          <w:tcPr>
            <w:tcW w:w="843" w:type="pct"/>
            <w:vAlign w:val="center"/>
          </w:tcPr>
          <w:p>
            <w:pPr>
              <w:jc w:val="center"/>
              <w:rPr>
                <w:bCs/>
                <w:color w:val="auto"/>
                <w:szCs w:val="21"/>
                <w:highlight w:val="none"/>
              </w:rPr>
            </w:pPr>
            <w:r>
              <w:rPr>
                <w:rFonts w:hint="eastAsia"/>
                <w:bCs/>
                <w:color w:val="auto"/>
                <w:szCs w:val="21"/>
                <w:highlight w:val="none"/>
              </w:rPr>
              <w:t>物业服务</w:t>
            </w:r>
          </w:p>
        </w:tc>
        <w:tc>
          <w:tcPr>
            <w:tcW w:w="921" w:type="pct"/>
            <w:vAlign w:val="center"/>
          </w:tcPr>
          <w:p>
            <w:pPr>
              <w:jc w:val="center"/>
              <w:rPr>
                <w:rFonts w:ascii="宋体" w:hAnsi="宋体" w:cs="Yu Mincho Light"/>
                <w:color w:val="auto"/>
                <w:kern w:val="0"/>
                <w:szCs w:val="21"/>
                <w:highlight w:val="none"/>
              </w:rPr>
            </w:pPr>
            <w:r>
              <w:rPr>
                <w:rFonts w:hint="eastAsia" w:ascii="宋体" w:hAnsi="宋体" w:cs="Yu Mincho Light"/>
                <w:color w:val="auto"/>
                <w:kern w:val="0"/>
                <w:szCs w:val="21"/>
                <w:highlight w:val="none"/>
              </w:rPr>
              <w:t>255.00</w:t>
            </w:r>
          </w:p>
        </w:tc>
        <w:tc>
          <w:tcPr>
            <w:tcW w:w="540" w:type="pct"/>
            <w:vAlign w:val="center"/>
          </w:tcPr>
          <w:p>
            <w:pPr>
              <w:jc w:val="center"/>
              <w:rPr>
                <w:rFonts w:ascii="宋体" w:hAnsi="宋体" w:cs="Yu Mincho Light"/>
                <w:color w:val="auto"/>
                <w:kern w:val="0"/>
                <w:szCs w:val="21"/>
                <w:highlight w:val="none"/>
              </w:rPr>
            </w:pPr>
            <w:r>
              <w:rPr>
                <w:rFonts w:hint="eastAsia" w:ascii="宋体" w:hAnsi="宋体" w:cs="Yu Mincho Light"/>
                <w:color w:val="auto"/>
                <w:kern w:val="0"/>
                <w:szCs w:val="21"/>
                <w:highlight w:val="none"/>
              </w:rPr>
              <w:t>1项</w:t>
            </w:r>
          </w:p>
        </w:tc>
        <w:tc>
          <w:tcPr>
            <w:tcW w:w="2314" w:type="pct"/>
            <w:vAlign w:val="center"/>
          </w:tcPr>
          <w:p>
            <w:pPr>
              <w:rPr>
                <w:color w:val="auto"/>
                <w:kern w:val="0"/>
                <w:szCs w:val="21"/>
                <w:highlight w:val="none"/>
              </w:rPr>
            </w:pPr>
            <w:r>
              <w:rPr>
                <w:rFonts w:hint="eastAsia"/>
                <w:color w:val="auto"/>
                <w:kern w:val="0"/>
                <w:szCs w:val="21"/>
                <w:highlight w:val="none"/>
              </w:rPr>
              <w:t>总建筑面积约11000㎡，负责国际文化学院教学办公楼（地下一层、地上8层）范围内教学服务、会议服务、环境维护、垃圾清运、水电土建小修、急修、秩序维护、消防安全管理等日常运行维护；配合学校做好安全稳定、能源回收、垃圾分类、节能减排、防汛减灾、活动保障、智慧校园、雅思考试等工作。</w:t>
            </w:r>
          </w:p>
        </w:tc>
      </w:tr>
    </w:tbl>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5.合同履行期限：</w:t>
      </w:r>
      <w:r>
        <w:rPr>
          <w:rFonts w:hint="eastAsia" w:ascii="宋体" w:hAnsi="宋体"/>
          <w:color w:val="auto"/>
          <w:sz w:val="24"/>
          <w:highlight w:val="none"/>
          <w:u w:val="single"/>
        </w:rPr>
        <w:t xml:space="preserve"> 服务期限1年</w:t>
      </w:r>
      <w:r>
        <w:rPr>
          <w:rFonts w:ascii="宋体" w:hAnsi="宋体"/>
          <w:color w:val="auto"/>
          <w:sz w:val="24"/>
          <w:highlight w:val="none"/>
        </w:rPr>
        <w:t xml:space="preserve"> </w:t>
      </w:r>
      <w:r>
        <w:rPr>
          <w:rFonts w:hint="eastAsia" w:ascii="宋体" w:hAnsi="宋体"/>
          <w:color w:val="auto"/>
          <w:sz w:val="24"/>
          <w:highlight w:val="none"/>
        </w:rPr>
        <w:t>。</w:t>
      </w:r>
    </w:p>
    <w:p>
      <w:pPr>
        <w:spacing w:line="360" w:lineRule="auto"/>
        <w:ind w:firstLine="480" w:firstLineChars="200"/>
        <w:rPr>
          <w:color w:val="auto"/>
          <w:highlight w:val="none"/>
        </w:rPr>
      </w:pPr>
      <w:r>
        <w:rPr>
          <w:rFonts w:ascii="宋体" w:hAnsi="宋体"/>
          <w:color w:val="auto"/>
          <w:sz w:val="24"/>
          <w:highlight w:val="none"/>
        </w:rPr>
        <w:t>6.本项目是否接受联合体</w:t>
      </w:r>
      <w:r>
        <w:rPr>
          <w:rFonts w:hint="eastAsia" w:ascii="宋体" w:hAnsi="宋体"/>
          <w:color w:val="auto"/>
          <w:sz w:val="24"/>
          <w:highlight w:val="none"/>
        </w:rPr>
        <w:t>响应</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pPr>
        <w:pStyle w:val="34"/>
        <w:ind w:firstLine="480" w:firstLineChars="200"/>
        <w:rPr>
          <w:rFonts w:cs="Times New Roman"/>
          <w:color w:val="auto"/>
          <w:kern w:val="2"/>
          <w:highlight w:val="none"/>
        </w:rPr>
      </w:pPr>
    </w:p>
    <w:p>
      <w:pPr>
        <w:pStyle w:val="5"/>
        <w:spacing w:before="0" w:line="360" w:lineRule="auto"/>
        <w:jc w:val="left"/>
        <w:rPr>
          <w:rFonts w:ascii="宋体" w:hAnsi="宋体" w:eastAsia="宋体"/>
          <w:color w:val="auto"/>
          <w:sz w:val="24"/>
          <w:szCs w:val="24"/>
          <w:highlight w:val="none"/>
        </w:rPr>
      </w:pPr>
      <w:bookmarkStart w:id="12" w:name="_Toc35393622"/>
      <w:bookmarkStart w:id="13" w:name="_Toc28359003"/>
      <w:bookmarkStart w:id="14" w:name="_Toc35393791"/>
      <w:bookmarkStart w:id="15" w:name="_Toc28359080"/>
      <w:r>
        <w:rPr>
          <w:rFonts w:ascii="宋体" w:hAnsi="宋体" w:eastAsia="宋体"/>
          <w:color w:val="auto"/>
          <w:sz w:val="24"/>
          <w:szCs w:val="24"/>
          <w:highlight w:val="none"/>
        </w:rPr>
        <w:t>二、申请人的资格要求（须同时满足）</w:t>
      </w:r>
      <w:bookmarkEnd w:id="12"/>
      <w:bookmarkEnd w:id="13"/>
      <w:bookmarkEnd w:id="14"/>
      <w:bookmarkEnd w:id="15"/>
    </w:p>
    <w:p>
      <w:pPr>
        <w:spacing w:line="360" w:lineRule="auto"/>
        <w:ind w:firstLine="480" w:firstLineChars="200"/>
        <w:rPr>
          <w:rFonts w:ascii="宋体" w:hAnsi="宋体"/>
          <w:color w:val="auto"/>
          <w:sz w:val="24"/>
          <w:highlight w:val="none"/>
        </w:rPr>
      </w:pPr>
      <w:r>
        <w:rPr>
          <w:rFonts w:ascii="宋体" w:hAnsi="宋体"/>
          <w:color w:val="auto"/>
          <w:sz w:val="24"/>
          <w:highlight w:val="none"/>
        </w:rPr>
        <w:t>1.满足《中华人民共和国政府采购法》第二十二条规定；</w:t>
      </w:r>
    </w:p>
    <w:p>
      <w:pPr>
        <w:spacing w:line="360" w:lineRule="auto"/>
        <w:ind w:firstLine="480" w:firstLineChars="200"/>
        <w:rPr>
          <w:rFonts w:ascii="宋体" w:hAnsi="宋体"/>
          <w:color w:val="auto"/>
          <w:sz w:val="24"/>
          <w:highlight w:val="none"/>
        </w:rPr>
      </w:pPr>
      <w:bookmarkStart w:id="16" w:name="_Toc28359004"/>
      <w:bookmarkStart w:id="17" w:name="_Toc28359081"/>
      <w:r>
        <w:rPr>
          <w:rFonts w:ascii="宋体" w:hAnsi="宋体"/>
          <w:color w:val="auto"/>
          <w:sz w:val="24"/>
          <w:highlight w:val="none"/>
        </w:rPr>
        <w:t>2.落实政府采购政策需满足的资格要求：</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2.1中小企业政策</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□本项目不专门面向中小企业预留采购份额。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本项目专门面向</w:t>
      </w:r>
      <w:r>
        <w:rPr>
          <w:rFonts w:hint="eastAsia" w:ascii="宋体" w:hAnsi="宋体"/>
          <w:color w:val="auto"/>
          <w:sz w:val="24"/>
          <w:highlight w:val="none"/>
        </w:rPr>
        <w:t>■</w:t>
      </w:r>
      <w:r>
        <w:rPr>
          <w:rFonts w:ascii="宋体" w:hAnsi="宋体"/>
          <w:color w:val="auto"/>
          <w:sz w:val="24"/>
          <w:highlight w:val="none"/>
        </w:rPr>
        <w:t>中小□小微企业采购。即：提供的货物全部由符合政策要求的中小企业制造、服务全部由符合政策要求的中小企业承接。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2.2其它落实政府采购政策的资格要求：</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3.1本项目是否接受分支机构参与</w:t>
      </w:r>
      <w:r>
        <w:rPr>
          <w:rFonts w:hint="eastAsia" w:ascii="宋体" w:hAnsi="宋体"/>
          <w:color w:val="auto"/>
          <w:sz w:val="24"/>
          <w:highlight w:val="none"/>
        </w:rPr>
        <w:t>响应</w:t>
      </w:r>
      <w:r>
        <w:rPr>
          <w:rFonts w:ascii="宋体" w:hAnsi="宋体"/>
          <w:color w:val="auto"/>
          <w:sz w:val="24"/>
          <w:highlight w:val="none"/>
        </w:rPr>
        <w:t xml:space="preserve">：□是  </w:t>
      </w:r>
      <w:r>
        <w:rPr>
          <w:rFonts w:ascii="宋体" w:hAnsi="宋体"/>
          <w:b/>
          <w:color w:val="auto"/>
          <w:sz w:val="24"/>
          <w:highlight w:val="none"/>
        </w:rPr>
        <w:t>■</w:t>
      </w:r>
      <w:r>
        <w:rPr>
          <w:rFonts w:ascii="宋体" w:hAnsi="宋体"/>
          <w:color w:val="auto"/>
          <w:sz w:val="24"/>
          <w:highlight w:val="none"/>
        </w:rPr>
        <w:t>否；</w:t>
      </w:r>
    </w:p>
    <w:p>
      <w:pP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color w:val="auto"/>
          <w:sz w:val="24"/>
          <w:highlight w:val="none"/>
        </w:rPr>
      </w:pPr>
      <w:r>
        <w:rPr>
          <w:rFonts w:ascii="宋体" w:hAnsi="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color w:val="auto"/>
          <w:highlight w:val="none"/>
        </w:rPr>
      </w:pPr>
      <w:r>
        <w:rPr>
          <w:rFonts w:ascii="宋体" w:hAnsi="宋体"/>
          <w:color w:val="auto"/>
          <w:sz w:val="24"/>
          <w:highlight w:val="none"/>
        </w:rPr>
        <w:t>3.3</w:t>
      </w:r>
      <w:bookmarkStart w:id="18" w:name="_Hlk100673152"/>
      <w:r>
        <w:rPr>
          <w:rFonts w:ascii="宋体" w:hAnsi="宋体"/>
          <w:color w:val="auto"/>
          <w:sz w:val="24"/>
          <w:highlight w:val="none"/>
        </w:rPr>
        <w:t>其他特定资格</w:t>
      </w:r>
      <w:bookmarkEnd w:id="18"/>
      <w:r>
        <w:rPr>
          <w:rFonts w:ascii="宋体" w:hAnsi="宋体"/>
          <w:color w:val="auto"/>
          <w:sz w:val="24"/>
          <w:highlight w:val="none"/>
        </w:rPr>
        <w:t>要求：</w:t>
      </w:r>
      <w:r>
        <w:rPr>
          <w:rFonts w:hint="eastAsia"/>
          <w:color w:val="auto"/>
          <w:sz w:val="24"/>
          <w:highlight w:val="none"/>
          <w:u w:val="single"/>
        </w:rPr>
        <w:t xml:space="preserve">供应商须为“北京市政府采购电子卖场（京华云采）”物业管理服务的协议供应商。 </w:t>
      </w:r>
    </w:p>
    <w:bookmarkEnd w:id="16"/>
    <w:bookmarkEnd w:id="17"/>
    <w:p>
      <w:pPr>
        <w:pStyle w:val="5"/>
        <w:widowControl/>
        <w:spacing w:before="0" w:line="360" w:lineRule="auto"/>
        <w:jc w:val="left"/>
        <w:rPr>
          <w:rFonts w:ascii="宋体" w:hAnsi="宋体" w:eastAsia="宋体"/>
          <w:color w:val="auto"/>
          <w:sz w:val="24"/>
          <w:szCs w:val="24"/>
          <w:highlight w:val="none"/>
        </w:rPr>
      </w:pPr>
      <w:bookmarkStart w:id="19" w:name="_Toc35393792"/>
      <w:bookmarkStart w:id="20" w:name="_Toc35393623"/>
      <w:r>
        <w:rPr>
          <w:rFonts w:ascii="宋体" w:hAnsi="宋体" w:eastAsia="宋体"/>
          <w:color w:val="auto"/>
          <w:sz w:val="24"/>
          <w:szCs w:val="24"/>
          <w:highlight w:val="none"/>
        </w:rPr>
        <w:t>三、获取</w:t>
      </w:r>
      <w:bookmarkEnd w:id="19"/>
      <w:bookmarkEnd w:id="20"/>
      <w:r>
        <w:rPr>
          <w:rFonts w:hint="eastAsia" w:ascii="宋体" w:hAnsi="宋体" w:eastAsia="宋体"/>
          <w:color w:val="auto"/>
          <w:sz w:val="24"/>
          <w:szCs w:val="24"/>
          <w:highlight w:val="none"/>
        </w:rPr>
        <w:t>比选文件</w:t>
      </w:r>
    </w:p>
    <w:p>
      <w:pPr>
        <w:adjustRightInd w:val="0"/>
        <w:snapToGrid w:val="0"/>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1.时间：</w:t>
      </w:r>
      <w:r>
        <w:rPr>
          <w:rFonts w:hint="eastAsia" w:ascii="宋体" w:hAnsi="宋体"/>
          <w:color w:val="auto"/>
          <w:sz w:val="24"/>
          <w:highlight w:val="none"/>
          <w:u w:val="single"/>
          <w:lang w:bidi="ar"/>
        </w:rPr>
        <w:t>2022</w:t>
      </w:r>
      <w:r>
        <w:rPr>
          <w:rFonts w:ascii="宋体" w:hAnsi="宋体"/>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9</w:t>
      </w:r>
      <w:r>
        <w:rPr>
          <w:rFonts w:hint="eastAsia" w:ascii="宋体" w:hAnsi="宋体"/>
          <w:color w:val="auto"/>
          <w:sz w:val="24"/>
          <w:highlight w:val="none"/>
          <w:u w:val="single"/>
          <w:lang w:bidi="ar"/>
        </w:rPr>
        <w:t xml:space="preserve"> </w:t>
      </w:r>
      <w:r>
        <w:rPr>
          <w:rFonts w:ascii="宋体" w:hAnsi="宋体"/>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16</w:t>
      </w:r>
      <w:r>
        <w:rPr>
          <w:rFonts w:hint="eastAsia" w:ascii="宋体" w:hAnsi="宋体"/>
          <w:color w:val="auto"/>
          <w:sz w:val="24"/>
          <w:highlight w:val="none"/>
          <w:u w:val="single"/>
          <w:lang w:bidi="ar"/>
        </w:rPr>
        <w:t xml:space="preserve">  </w:t>
      </w:r>
      <w:r>
        <w:rPr>
          <w:rFonts w:ascii="宋体" w:hAnsi="宋体"/>
          <w:color w:val="auto"/>
          <w:sz w:val="24"/>
          <w:highlight w:val="none"/>
          <w:lang w:bidi="ar"/>
        </w:rPr>
        <w:t>日至</w:t>
      </w:r>
      <w:r>
        <w:rPr>
          <w:rFonts w:hint="eastAsia" w:ascii="宋体" w:hAnsi="宋体"/>
          <w:color w:val="auto"/>
          <w:sz w:val="24"/>
          <w:highlight w:val="none"/>
          <w:u w:val="single"/>
          <w:lang w:bidi="ar"/>
        </w:rPr>
        <w:t>2022</w:t>
      </w:r>
      <w:r>
        <w:rPr>
          <w:rFonts w:ascii="宋体" w:hAnsi="宋体"/>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9</w:t>
      </w:r>
      <w:r>
        <w:rPr>
          <w:rFonts w:hint="eastAsia" w:ascii="宋体" w:hAnsi="宋体"/>
          <w:color w:val="auto"/>
          <w:sz w:val="24"/>
          <w:highlight w:val="none"/>
          <w:u w:val="single"/>
          <w:lang w:bidi="ar"/>
        </w:rPr>
        <w:t xml:space="preserve"> </w:t>
      </w:r>
      <w:r>
        <w:rPr>
          <w:rFonts w:hint="eastAsia" w:ascii="宋体" w:hAnsi="宋体"/>
          <w:color w:val="auto"/>
          <w:sz w:val="24"/>
          <w:highlight w:val="none"/>
          <w:lang w:bidi="ar"/>
        </w:rPr>
        <w:t xml:space="preserve"> </w:t>
      </w:r>
      <w:r>
        <w:rPr>
          <w:rFonts w:ascii="宋体" w:hAnsi="宋体"/>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21</w:t>
      </w:r>
      <w:r>
        <w:rPr>
          <w:rFonts w:hint="eastAsia" w:ascii="宋体" w:hAnsi="宋体"/>
          <w:color w:val="auto"/>
          <w:sz w:val="24"/>
          <w:highlight w:val="none"/>
          <w:u w:val="single"/>
          <w:lang w:bidi="ar"/>
        </w:rPr>
        <w:t xml:space="preserve"> </w:t>
      </w:r>
      <w:r>
        <w:rPr>
          <w:rFonts w:ascii="宋体" w:hAnsi="宋体"/>
          <w:color w:val="auto"/>
          <w:sz w:val="24"/>
          <w:highlight w:val="none"/>
          <w:lang w:bidi="ar"/>
        </w:rPr>
        <w:t>日，</w:t>
      </w:r>
      <w:r>
        <w:rPr>
          <w:rFonts w:hint="eastAsia" w:ascii="宋体" w:hAnsi="宋体"/>
          <w:color w:val="auto"/>
          <w:sz w:val="24"/>
          <w:highlight w:val="none"/>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2.地点：</w:t>
      </w:r>
      <w:r>
        <w:rPr>
          <w:rFonts w:hint="eastAsia" w:ascii="宋体" w:hAnsi="宋体"/>
          <w:color w:val="auto"/>
          <w:sz w:val="24"/>
          <w:highlight w:val="none"/>
          <w:lang w:bidi="ar"/>
        </w:rPr>
        <w:t>线上邮箱报名</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lang w:bidi="ar"/>
        </w:rPr>
        <w:t>3.方式：</w:t>
      </w:r>
      <w:r>
        <w:rPr>
          <w:rFonts w:hint="eastAsia" w:ascii="宋体" w:hAnsi="宋体"/>
          <w:color w:val="auto"/>
          <w:sz w:val="24"/>
          <w:highlight w:val="none"/>
          <w:lang w:bidi="ar"/>
        </w:rPr>
        <w:t>本项目只接受电汇或网银获取标书。</w:t>
      </w:r>
      <w:r>
        <w:rPr>
          <w:rFonts w:hint="eastAsia" w:ascii="宋体" w:hAnsi="宋体"/>
          <w:color w:val="auto"/>
          <w:sz w:val="24"/>
          <w:highlight w:val="none"/>
        </w:rPr>
        <w:t>请供应商汇款时务必注明“项目编号+用途”（比如：ZC22-0339保证金或者ZC22-0339标书款），以便财务查账及汇总。电汇或网银获取标书，请将电汇底单（网银转账页面）扫描件及以下表格发邮件至bjmdzx@vip.163.com，邮件主题请务必注明“（项目编号）获取标书信息”。请相关供应商严格按照以上流程获取并提供相关资料，否则无权参与本次比选。</w:t>
      </w:r>
    </w:p>
    <w:tbl>
      <w:tblPr>
        <w:tblStyle w:val="40"/>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BMCC-</w:t>
            </w:r>
            <w:r>
              <w:rPr>
                <w:rFonts w:hint="eastAsia" w:ascii="宋体" w:hAnsi="宋体"/>
                <w:color w:val="auto"/>
                <w:sz w:val="24"/>
                <w:highlight w:val="none"/>
              </w:rPr>
              <w:t>ZC22-0339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p>
        </w:tc>
      </w:tr>
    </w:tbl>
    <w:p>
      <w:pPr>
        <w:widowControl/>
        <w:spacing w:line="360" w:lineRule="auto"/>
        <w:ind w:firstLine="566" w:firstLineChars="236"/>
        <w:jc w:val="left"/>
        <w:rPr>
          <w:rFonts w:ascii="宋体" w:hAnsi="宋体" w:cs="宋体"/>
          <w:color w:val="auto"/>
          <w:kern w:val="0"/>
          <w:sz w:val="24"/>
          <w:highlight w:val="none"/>
        </w:rPr>
      </w:pPr>
      <w:r>
        <w:rPr>
          <w:rFonts w:hint="eastAsia" w:ascii="宋体" w:hAnsi="宋体" w:cs="宋体"/>
          <w:color w:val="auto"/>
          <w:kern w:val="0"/>
          <w:sz w:val="24"/>
          <w:highlight w:val="none"/>
        </w:rPr>
        <w:t>账户名称：北京明德致信咨询有限公司</w:t>
      </w:r>
    </w:p>
    <w:p>
      <w:pPr>
        <w:spacing w:line="360" w:lineRule="auto"/>
        <w:ind w:left="495" w:firstLine="72" w:firstLineChars="30"/>
        <w:rPr>
          <w:rFonts w:ascii="宋体" w:hAnsi="宋体" w:cs="宋体"/>
          <w:color w:val="auto"/>
          <w:kern w:val="0"/>
          <w:sz w:val="24"/>
          <w:highlight w:val="none"/>
        </w:rPr>
      </w:pPr>
      <w:r>
        <w:rPr>
          <w:rFonts w:hint="eastAsia" w:ascii="宋体" w:hAnsi="宋体" w:cs="宋体"/>
          <w:color w:val="auto"/>
          <w:kern w:val="0"/>
          <w:sz w:val="24"/>
          <w:highlight w:val="none"/>
        </w:rPr>
        <w:t>开</w:t>
      </w:r>
      <w:r>
        <w:rPr>
          <w:rFonts w:ascii="宋体" w:hAnsi="宋体" w:cs="宋体"/>
          <w:color w:val="auto"/>
          <w:kern w:val="0"/>
          <w:sz w:val="24"/>
          <w:highlight w:val="none"/>
        </w:rPr>
        <w:t xml:space="preserve"> 户 行：中国工商银行股份有限公司北京东升路支行</w:t>
      </w:r>
    </w:p>
    <w:p>
      <w:pPr>
        <w:spacing w:line="360" w:lineRule="auto"/>
        <w:ind w:left="495" w:firstLine="72" w:firstLineChars="30"/>
        <w:rPr>
          <w:rFonts w:ascii="宋体" w:hAnsi="宋体" w:cs="宋体"/>
          <w:color w:val="auto"/>
          <w:kern w:val="0"/>
          <w:sz w:val="24"/>
          <w:highlight w:val="none"/>
        </w:rPr>
      </w:pPr>
      <w:r>
        <w:rPr>
          <w:rFonts w:hint="eastAsia" w:ascii="宋体" w:hAnsi="宋体" w:cs="宋体"/>
          <w:color w:val="auto"/>
          <w:kern w:val="0"/>
          <w:sz w:val="24"/>
          <w:highlight w:val="none"/>
        </w:rPr>
        <w:t>账</w:t>
      </w:r>
      <w:r>
        <w:rPr>
          <w:rFonts w:ascii="宋体" w:hAnsi="宋体" w:cs="宋体"/>
          <w:color w:val="auto"/>
          <w:kern w:val="0"/>
          <w:sz w:val="24"/>
          <w:highlight w:val="none"/>
        </w:rPr>
        <w:t xml:space="preserve">    号：0200 0062 1920 0492 968</w:t>
      </w:r>
    </w:p>
    <w:p>
      <w:pPr>
        <w:spacing w:line="360" w:lineRule="auto"/>
        <w:ind w:left="495" w:firstLine="72" w:firstLineChars="30"/>
        <w:rPr>
          <w:rFonts w:ascii="宋体" w:hAnsi="宋体"/>
          <w:color w:val="auto"/>
          <w:sz w:val="24"/>
          <w:highlight w:val="none"/>
        </w:rPr>
      </w:pPr>
      <w:r>
        <w:rPr>
          <w:rFonts w:hint="eastAsia" w:ascii="宋体" w:hAnsi="宋体"/>
          <w:color w:val="auto"/>
          <w:sz w:val="24"/>
          <w:highlight w:val="none"/>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lang w:bidi="ar"/>
        </w:rPr>
        <w:t>4.售价：</w:t>
      </w:r>
      <w:r>
        <w:rPr>
          <w:rFonts w:hint="eastAsia" w:ascii="宋体" w:hAnsi="宋体"/>
          <w:color w:val="auto"/>
          <w:sz w:val="24"/>
          <w:highlight w:val="none"/>
          <w:lang w:bidi="ar"/>
        </w:rPr>
        <w:t>人民币500元/包（售后不退）。</w:t>
      </w:r>
    </w:p>
    <w:p>
      <w:pPr>
        <w:pStyle w:val="5"/>
        <w:widowControl/>
        <w:spacing w:before="0" w:line="360" w:lineRule="auto"/>
        <w:jc w:val="left"/>
        <w:rPr>
          <w:rFonts w:ascii="宋体" w:hAnsi="宋体" w:eastAsia="宋体"/>
          <w:color w:val="auto"/>
          <w:sz w:val="24"/>
          <w:szCs w:val="24"/>
          <w:highlight w:val="none"/>
        </w:rPr>
      </w:pPr>
      <w:bookmarkStart w:id="21" w:name="_Toc28359082"/>
      <w:bookmarkStart w:id="22" w:name="_Toc28359005"/>
      <w:bookmarkStart w:id="23" w:name="_Toc35393793"/>
      <w:bookmarkStart w:id="24" w:name="_Toc35393624"/>
      <w:r>
        <w:rPr>
          <w:rFonts w:ascii="宋体" w:hAnsi="宋体" w:eastAsia="宋体"/>
          <w:color w:val="auto"/>
          <w:sz w:val="24"/>
          <w:szCs w:val="24"/>
          <w:highlight w:val="none"/>
        </w:rPr>
        <w:t>四、提交</w:t>
      </w:r>
      <w:bookmarkEnd w:id="21"/>
      <w:bookmarkEnd w:id="22"/>
      <w:r>
        <w:rPr>
          <w:rFonts w:hint="eastAsia" w:ascii="宋体" w:hAnsi="宋体" w:eastAsia="宋体"/>
          <w:color w:val="auto"/>
          <w:sz w:val="24"/>
          <w:szCs w:val="24"/>
          <w:highlight w:val="none"/>
        </w:rPr>
        <w:t>响应文件</w:t>
      </w:r>
      <w:r>
        <w:rPr>
          <w:rFonts w:ascii="宋体" w:hAnsi="宋体" w:eastAsia="宋体"/>
          <w:color w:val="auto"/>
          <w:sz w:val="24"/>
          <w:szCs w:val="24"/>
          <w:highlight w:val="none"/>
        </w:rPr>
        <w:t>截止时间、</w:t>
      </w:r>
      <w:r>
        <w:rPr>
          <w:rFonts w:hint="eastAsia" w:ascii="宋体" w:hAnsi="宋体" w:eastAsia="宋体"/>
          <w:color w:val="auto"/>
          <w:sz w:val="24"/>
          <w:szCs w:val="24"/>
          <w:highlight w:val="none"/>
        </w:rPr>
        <w:t>开选</w:t>
      </w:r>
      <w:r>
        <w:rPr>
          <w:rFonts w:ascii="宋体" w:hAnsi="宋体" w:eastAsia="宋体"/>
          <w:color w:val="auto"/>
          <w:sz w:val="24"/>
          <w:szCs w:val="24"/>
          <w:highlight w:val="none"/>
        </w:rPr>
        <w:t>时间和地点</w:t>
      </w:r>
      <w:bookmarkEnd w:id="23"/>
      <w:bookmarkEnd w:id="24"/>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lang w:bidi="ar"/>
        </w:rPr>
        <w:t>响应文件提交</w:t>
      </w:r>
      <w:r>
        <w:rPr>
          <w:rFonts w:ascii="宋体" w:hAnsi="宋体"/>
          <w:color w:val="auto"/>
          <w:sz w:val="24"/>
          <w:highlight w:val="none"/>
          <w:lang w:bidi="ar"/>
        </w:rPr>
        <w:t>截止时间、</w:t>
      </w:r>
      <w:r>
        <w:rPr>
          <w:rFonts w:hint="eastAsia" w:ascii="宋体" w:hAnsi="宋体"/>
          <w:color w:val="auto"/>
          <w:sz w:val="24"/>
          <w:highlight w:val="none"/>
          <w:lang w:bidi="ar"/>
        </w:rPr>
        <w:t>开选</w:t>
      </w:r>
      <w:r>
        <w:rPr>
          <w:rFonts w:ascii="宋体" w:hAnsi="宋体"/>
          <w:color w:val="auto"/>
          <w:sz w:val="24"/>
          <w:highlight w:val="none"/>
          <w:lang w:bidi="ar"/>
        </w:rPr>
        <w:t>时间：</w:t>
      </w:r>
      <w:r>
        <w:rPr>
          <w:rFonts w:hint="eastAsia" w:ascii="宋体" w:hAnsi="宋体"/>
          <w:color w:val="auto"/>
          <w:sz w:val="24"/>
          <w:highlight w:val="none"/>
          <w:u w:val="single"/>
          <w:lang w:bidi="ar"/>
        </w:rPr>
        <w:t>2022</w:t>
      </w:r>
      <w:r>
        <w:rPr>
          <w:rFonts w:ascii="宋体" w:hAnsi="宋体"/>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9</w:t>
      </w:r>
      <w:r>
        <w:rPr>
          <w:rFonts w:hint="eastAsia" w:ascii="宋体" w:hAnsi="宋体"/>
          <w:color w:val="auto"/>
          <w:sz w:val="24"/>
          <w:highlight w:val="none"/>
          <w:u w:val="single"/>
          <w:lang w:bidi="ar"/>
        </w:rPr>
        <w:t xml:space="preserve">  </w:t>
      </w:r>
      <w:r>
        <w:rPr>
          <w:rFonts w:ascii="宋体" w:hAnsi="宋体"/>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olor w:val="auto"/>
          <w:sz w:val="24"/>
          <w:highlight w:val="none"/>
          <w:u w:val="single"/>
          <w:lang w:val="en-US" w:eastAsia="zh-CN" w:bidi="ar"/>
        </w:rPr>
        <w:t xml:space="preserve">26 </w:t>
      </w:r>
      <w:r>
        <w:rPr>
          <w:rFonts w:hint="eastAsia" w:ascii="宋体" w:hAnsi="宋体"/>
          <w:color w:val="auto"/>
          <w:sz w:val="24"/>
          <w:highlight w:val="none"/>
          <w:u w:val="single"/>
          <w:lang w:bidi="ar"/>
        </w:rPr>
        <w:t xml:space="preserve"> </w:t>
      </w:r>
      <w:r>
        <w:rPr>
          <w:rFonts w:ascii="宋体" w:hAnsi="宋体"/>
          <w:color w:val="auto"/>
          <w:sz w:val="24"/>
          <w:highlight w:val="none"/>
          <w:lang w:bidi="ar"/>
        </w:rPr>
        <w:t>日</w:t>
      </w:r>
      <w:r>
        <w:rPr>
          <w:rFonts w:hint="eastAsia" w:ascii="宋体" w:hAnsi="宋体"/>
          <w:color w:val="auto"/>
          <w:sz w:val="24"/>
          <w:highlight w:val="none"/>
          <w:u w:val="single"/>
          <w:lang w:val="en-US" w:eastAsia="zh-CN" w:bidi="ar"/>
        </w:rPr>
        <w:t>14</w:t>
      </w:r>
      <w:r>
        <w:rPr>
          <w:rFonts w:ascii="宋体" w:hAnsi="宋体"/>
          <w:color w:val="auto"/>
          <w:sz w:val="24"/>
          <w:highlight w:val="none"/>
          <w:lang w:bidi="ar"/>
        </w:rPr>
        <w:t>点</w:t>
      </w:r>
      <w:r>
        <w:rPr>
          <w:rFonts w:hint="eastAsia" w:ascii="宋体" w:hAnsi="宋体"/>
          <w:color w:val="auto"/>
          <w:sz w:val="24"/>
          <w:highlight w:val="none"/>
          <w:u w:val="single"/>
          <w:lang w:val="en-US" w:eastAsia="zh-CN" w:bidi="ar"/>
        </w:rPr>
        <w:t>0</w:t>
      </w:r>
      <w:r>
        <w:rPr>
          <w:rFonts w:hint="eastAsia" w:ascii="宋体" w:hAnsi="宋体"/>
          <w:color w:val="auto"/>
          <w:sz w:val="24"/>
          <w:highlight w:val="none"/>
          <w:u w:val="single"/>
          <w:lang w:bidi="ar"/>
        </w:rPr>
        <w:t>0</w:t>
      </w:r>
      <w:r>
        <w:rPr>
          <w:rFonts w:ascii="宋体" w:hAnsi="宋体"/>
          <w:color w:val="auto"/>
          <w:sz w:val="24"/>
          <w:highlight w:val="none"/>
          <w:lang w:bidi="ar"/>
        </w:rPr>
        <w:t>分</w:t>
      </w:r>
      <w:r>
        <w:rPr>
          <w:rFonts w:ascii="宋体" w:hAnsi="宋体"/>
          <w:bCs/>
          <w:color w:val="auto"/>
          <w:sz w:val="24"/>
          <w:highlight w:val="none"/>
          <w:lang w:bidi="ar"/>
        </w:rPr>
        <w:t>（北京时间）</w:t>
      </w:r>
      <w:r>
        <w:rPr>
          <w:rFonts w:ascii="宋体" w:hAnsi="宋体"/>
          <w:iCs/>
          <w:color w:val="auto"/>
          <w:sz w:val="24"/>
          <w:highlight w:val="none"/>
          <w:lang w:bidi="ar"/>
        </w:rPr>
        <w:t>。</w:t>
      </w:r>
    </w:p>
    <w:p>
      <w:pPr>
        <w:spacing w:line="360" w:lineRule="auto"/>
        <w:ind w:firstLine="480" w:firstLineChars="200"/>
        <w:rPr>
          <w:rFonts w:ascii="宋体" w:hAnsi="宋体"/>
          <w:color w:val="auto"/>
          <w:sz w:val="24"/>
          <w:highlight w:val="none"/>
          <w:lang w:val="zh-TW" w:bidi="ar"/>
        </w:rPr>
      </w:pPr>
      <w:r>
        <w:rPr>
          <w:rFonts w:ascii="宋体" w:hAnsi="宋体"/>
          <w:color w:val="auto"/>
          <w:sz w:val="24"/>
          <w:highlight w:val="none"/>
          <w:lang w:bidi="ar"/>
        </w:rPr>
        <w:t>地点：</w:t>
      </w:r>
      <w:r>
        <w:rPr>
          <w:rFonts w:hint="eastAsia"/>
          <w:color w:val="auto"/>
          <w:sz w:val="24"/>
          <w:highlight w:val="none"/>
          <w:u w:val="single"/>
        </w:rPr>
        <w:t>北京市海淀区学院路30号科大天工大厦B座17层1706第</w:t>
      </w:r>
      <w:r>
        <w:rPr>
          <w:rFonts w:hint="eastAsia"/>
          <w:color w:val="auto"/>
          <w:sz w:val="24"/>
          <w:highlight w:val="none"/>
          <w:u w:val="single"/>
          <w:lang w:val="en-US" w:eastAsia="zh-CN"/>
        </w:rPr>
        <w:t>四</w:t>
      </w:r>
      <w:r>
        <w:rPr>
          <w:rFonts w:hint="eastAsia"/>
          <w:color w:val="auto"/>
          <w:sz w:val="24"/>
          <w:highlight w:val="none"/>
          <w:u w:val="single"/>
        </w:rPr>
        <w:t>会议室（提示：楼层较高，请供应商预留递交文件时间提前到场）</w:t>
      </w:r>
      <w:r>
        <w:rPr>
          <w:rFonts w:hint="eastAsia"/>
          <w:color w:val="auto"/>
          <w:sz w:val="24"/>
          <w:highlight w:val="none"/>
        </w:rPr>
        <w:t>。</w:t>
      </w:r>
    </w:p>
    <w:p>
      <w:pPr>
        <w:pStyle w:val="5"/>
        <w:spacing w:before="0" w:line="360" w:lineRule="auto"/>
        <w:jc w:val="left"/>
        <w:rPr>
          <w:rFonts w:ascii="宋体" w:hAnsi="宋体" w:eastAsia="宋体"/>
          <w:color w:val="auto"/>
          <w:sz w:val="24"/>
          <w:szCs w:val="24"/>
          <w:highlight w:val="none"/>
        </w:rPr>
      </w:pPr>
      <w:bookmarkStart w:id="25" w:name="_Toc28359084"/>
      <w:bookmarkStart w:id="26" w:name="_Toc28359007"/>
      <w:bookmarkStart w:id="27" w:name="_Toc35393794"/>
      <w:bookmarkStart w:id="28" w:name="_Toc35393625"/>
      <w:r>
        <w:rPr>
          <w:rFonts w:ascii="宋体" w:hAnsi="宋体" w:eastAsia="宋体"/>
          <w:color w:val="auto"/>
          <w:sz w:val="24"/>
          <w:szCs w:val="24"/>
          <w:highlight w:val="none"/>
        </w:rPr>
        <w:t>五、公告期限</w:t>
      </w:r>
      <w:bookmarkEnd w:id="25"/>
      <w:bookmarkEnd w:id="26"/>
      <w:bookmarkEnd w:id="27"/>
      <w:bookmarkEnd w:id="28"/>
    </w:p>
    <w:p>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自本公告发布之日起</w:t>
      </w:r>
      <w:r>
        <w:rPr>
          <w:rFonts w:hint="eastAsia" w:ascii="宋体" w:hAnsi="宋体"/>
          <w:color w:val="auto"/>
          <w:kern w:val="0"/>
          <w:sz w:val="24"/>
          <w:highlight w:val="none"/>
        </w:rPr>
        <w:t>3</w:t>
      </w:r>
      <w:r>
        <w:rPr>
          <w:rFonts w:ascii="宋体" w:hAnsi="宋体"/>
          <w:color w:val="auto"/>
          <w:kern w:val="0"/>
          <w:sz w:val="24"/>
          <w:highlight w:val="none"/>
        </w:rPr>
        <w:t>个工作日。</w:t>
      </w:r>
    </w:p>
    <w:p>
      <w:pPr>
        <w:pStyle w:val="5"/>
        <w:spacing w:before="0" w:line="360" w:lineRule="auto"/>
        <w:jc w:val="left"/>
        <w:rPr>
          <w:rFonts w:ascii="宋体" w:hAnsi="宋体" w:eastAsia="宋体"/>
          <w:color w:val="auto"/>
          <w:sz w:val="24"/>
          <w:szCs w:val="24"/>
          <w:highlight w:val="none"/>
        </w:rPr>
      </w:pPr>
      <w:bookmarkStart w:id="29" w:name="_Toc35393795"/>
      <w:bookmarkStart w:id="30" w:name="_Toc35393626"/>
      <w:r>
        <w:rPr>
          <w:rFonts w:ascii="宋体" w:hAnsi="宋体" w:eastAsia="宋体"/>
          <w:color w:val="auto"/>
          <w:sz w:val="24"/>
          <w:szCs w:val="24"/>
          <w:highlight w:val="none"/>
        </w:rPr>
        <w:t>六、其他补充事宜</w:t>
      </w:r>
      <w:bookmarkEnd w:id="29"/>
      <w:bookmarkEnd w:id="30"/>
    </w:p>
    <w:p>
      <w:pPr>
        <w:spacing w:line="360" w:lineRule="auto"/>
        <w:ind w:firstLine="480" w:firstLineChars="200"/>
        <w:rPr>
          <w:rFonts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u w:val="single"/>
          <w:lang w:bidi="ar"/>
        </w:rPr>
        <w:t>如促进中小企业、监狱企业、残疾人福利性单位发展、优先采购节能产品、环境标志产品等</w:t>
      </w:r>
      <w:r>
        <w:rPr>
          <w:rFonts w:hint="eastAsia" w:ascii="宋体" w:hAnsi="宋体"/>
          <w:color w:val="auto"/>
          <w:sz w:val="24"/>
          <w:highlight w:val="none"/>
          <w:lang w:bidi="ar"/>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2.发布公告的媒介：本公告在首都师范大学校园网发布。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color w:val="auto"/>
          <w:sz w:val="24"/>
          <w:highlight w:val="none"/>
        </w:rPr>
      </w:pPr>
      <w:r>
        <w:rPr>
          <w:rFonts w:hint="eastAsia" w:ascii="宋体" w:hAnsi="宋体"/>
          <w:color w:val="auto"/>
          <w:sz w:val="24"/>
          <w:highlight w:val="none"/>
        </w:rPr>
        <w:t>4.如本公告内容和比选文件内容不一致，以比选文件为准。</w:t>
      </w:r>
    </w:p>
    <w:p>
      <w:pPr>
        <w:pStyle w:val="34"/>
        <w:rPr>
          <w:color w:val="auto"/>
          <w:highlight w:val="none"/>
        </w:rPr>
      </w:pPr>
    </w:p>
    <w:p>
      <w:pPr>
        <w:pStyle w:val="5"/>
        <w:spacing w:before="0" w:line="360" w:lineRule="auto"/>
        <w:jc w:val="left"/>
        <w:rPr>
          <w:rFonts w:ascii="宋体" w:hAnsi="宋体" w:eastAsia="宋体"/>
          <w:color w:val="auto"/>
          <w:sz w:val="24"/>
          <w:szCs w:val="24"/>
          <w:highlight w:val="none"/>
        </w:rPr>
      </w:pPr>
      <w:bookmarkStart w:id="31" w:name="_Toc35393796"/>
      <w:bookmarkStart w:id="32" w:name="_Toc28359008"/>
      <w:bookmarkStart w:id="33" w:name="_Toc28359085"/>
      <w:bookmarkStart w:id="34" w:name="_Toc35393627"/>
      <w:r>
        <w:rPr>
          <w:rFonts w:ascii="宋体" w:hAnsi="宋体" w:eastAsia="宋体"/>
          <w:color w:val="auto"/>
          <w:sz w:val="24"/>
          <w:szCs w:val="24"/>
          <w:highlight w:val="none"/>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color w:val="auto"/>
          <w:sz w:val="24"/>
          <w:highlight w:val="none"/>
        </w:rPr>
      </w:pPr>
      <w:r>
        <w:rPr>
          <w:rFonts w:ascii="宋体" w:hAnsi="宋体"/>
          <w:b/>
          <w:color w:val="auto"/>
          <w:sz w:val="24"/>
          <w:highlight w:val="none"/>
        </w:rPr>
        <w:t>1.采购人信息</w:t>
      </w:r>
    </w:p>
    <w:p>
      <w:pPr>
        <w:spacing w:line="360" w:lineRule="auto"/>
        <w:ind w:left="1079" w:leftChars="371" w:hanging="300" w:hangingChars="125"/>
        <w:jc w:val="left"/>
        <w:rPr>
          <w:color w:val="auto"/>
          <w:sz w:val="24"/>
          <w:highlight w:val="none"/>
        </w:rPr>
      </w:pPr>
      <w:bookmarkStart w:id="35" w:name="_Toc28359086"/>
      <w:bookmarkStart w:id="36" w:name="_Toc28359009"/>
      <w:r>
        <w:rPr>
          <w:color w:val="auto"/>
          <w:sz w:val="24"/>
          <w:highlight w:val="none"/>
        </w:rPr>
        <w:t>名    称：</w:t>
      </w:r>
      <w:r>
        <w:rPr>
          <w:rFonts w:hint="eastAsia"/>
          <w:color w:val="auto"/>
          <w:sz w:val="24"/>
          <w:highlight w:val="none"/>
          <w:u w:val="single"/>
        </w:rPr>
        <w:t>首都师范大学</w:t>
      </w:r>
    </w:p>
    <w:p>
      <w:pPr>
        <w:spacing w:line="360" w:lineRule="auto"/>
        <w:ind w:left="1079" w:leftChars="371" w:hanging="300" w:hangingChars="125"/>
        <w:jc w:val="left"/>
        <w:rPr>
          <w:color w:val="auto"/>
          <w:sz w:val="24"/>
          <w:highlight w:val="none"/>
        </w:rPr>
      </w:pPr>
      <w:r>
        <w:rPr>
          <w:rFonts w:hint="eastAsia"/>
          <w:color w:val="auto"/>
          <w:sz w:val="24"/>
          <w:highlight w:val="none"/>
        </w:rPr>
        <w:t>地    址：</w:t>
      </w:r>
      <w:r>
        <w:rPr>
          <w:rFonts w:hint="eastAsia"/>
          <w:color w:val="auto"/>
          <w:sz w:val="24"/>
          <w:highlight w:val="none"/>
          <w:u w:val="single"/>
        </w:rPr>
        <w:t>北京市西三环北路105号</w:t>
      </w:r>
    </w:p>
    <w:p>
      <w:pPr>
        <w:spacing w:line="360" w:lineRule="auto"/>
        <w:ind w:left="1079" w:leftChars="371" w:hanging="300" w:hangingChars="125"/>
        <w:jc w:val="left"/>
        <w:rPr>
          <w:color w:val="auto"/>
          <w:sz w:val="24"/>
          <w:highlight w:val="none"/>
        </w:rPr>
      </w:pPr>
      <w:r>
        <w:rPr>
          <w:rFonts w:hint="eastAsia"/>
          <w:color w:val="auto"/>
          <w:sz w:val="24"/>
          <w:highlight w:val="none"/>
        </w:rPr>
        <w:t>联系方式：</w:t>
      </w:r>
      <w:r>
        <w:rPr>
          <w:rFonts w:hint="eastAsia"/>
          <w:color w:val="auto"/>
          <w:sz w:val="24"/>
          <w:highlight w:val="none"/>
          <w:u w:val="single"/>
        </w:rPr>
        <w:t xml:space="preserve">战永佳010-68902830  </w:t>
      </w:r>
    </w:p>
    <w:p>
      <w:pPr>
        <w:spacing w:line="360" w:lineRule="auto"/>
        <w:ind w:left="1080" w:leftChars="371" w:hanging="301" w:hangingChars="125"/>
        <w:jc w:val="left"/>
        <w:rPr>
          <w:rFonts w:ascii="宋体" w:hAnsi="宋体"/>
          <w:b/>
          <w:color w:val="auto"/>
          <w:sz w:val="24"/>
          <w:highlight w:val="none"/>
        </w:rPr>
      </w:pPr>
      <w:r>
        <w:rPr>
          <w:rFonts w:ascii="宋体" w:hAnsi="宋体"/>
          <w:b/>
          <w:color w:val="auto"/>
          <w:sz w:val="24"/>
          <w:highlight w:val="none"/>
        </w:rPr>
        <w:t>2.采购代理机构信息</w:t>
      </w:r>
      <w:bookmarkEnd w:id="35"/>
      <w:bookmarkEnd w:id="36"/>
    </w:p>
    <w:p>
      <w:pPr>
        <w:spacing w:line="360" w:lineRule="auto"/>
        <w:ind w:left="1076" w:leftChars="371" w:hanging="297" w:hangingChars="124"/>
        <w:jc w:val="left"/>
        <w:rPr>
          <w:color w:val="auto"/>
          <w:sz w:val="24"/>
          <w:highlight w:val="none"/>
        </w:rPr>
      </w:pPr>
      <w:bookmarkStart w:id="37" w:name="_Toc28359087"/>
      <w:bookmarkStart w:id="38" w:name="_Toc28359010"/>
      <w:r>
        <w:rPr>
          <w:color w:val="auto"/>
          <w:sz w:val="24"/>
          <w:highlight w:val="none"/>
        </w:rPr>
        <w:t>名    称：</w:t>
      </w:r>
      <w:r>
        <w:rPr>
          <w:rFonts w:hint="eastAsia"/>
          <w:color w:val="auto"/>
          <w:sz w:val="24"/>
          <w:highlight w:val="none"/>
          <w:u w:val="single"/>
        </w:rPr>
        <w:t>北京明德致信咨询有限公司</w:t>
      </w:r>
    </w:p>
    <w:p>
      <w:pPr>
        <w:spacing w:line="360" w:lineRule="auto"/>
        <w:ind w:left="1076" w:leftChars="371" w:hanging="297" w:hangingChars="124"/>
        <w:jc w:val="left"/>
        <w:rPr>
          <w:color w:val="auto"/>
          <w:sz w:val="24"/>
          <w:highlight w:val="none"/>
        </w:rPr>
      </w:pPr>
      <w:r>
        <w:rPr>
          <w:color w:val="auto"/>
          <w:sz w:val="24"/>
          <w:highlight w:val="none"/>
        </w:rPr>
        <w:t>地    址：</w:t>
      </w:r>
      <w:r>
        <w:rPr>
          <w:rFonts w:hint="eastAsia"/>
          <w:color w:val="auto"/>
          <w:sz w:val="24"/>
          <w:highlight w:val="none"/>
          <w:u w:val="single"/>
        </w:rPr>
        <w:t>北京市海淀区学院路30号科大天工大厦B座1709室</w:t>
      </w:r>
    </w:p>
    <w:p>
      <w:pPr>
        <w:spacing w:line="360" w:lineRule="auto"/>
        <w:ind w:left="1076" w:leftChars="371" w:hanging="297" w:hangingChars="124"/>
        <w:jc w:val="left"/>
        <w:rPr>
          <w:color w:val="auto"/>
          <w:sz w:val="24"/>
          <w:highlight w:val="none"/>
          <w:u w:val="single"/>
        </w:rPr>
      </w:pPr>
      <w:r>
        <w:rPr>
          <w:color w:val="auto"/>
          <w:sz w:val="24"/>
          <w:highlight w:val="none"/>
        </w:rPr>
        <w:t>联系方式：</w:t>
      </w:r>
      <w:r>
        <w:rPr>
          <w:rFonts w:hint="eastAsia"/>
          <w:color w:val="auto"/>
          <w:sz w:val="24"/>
          <w:highlight w:val="none"/>
          <w:u w:val="single"/>
        </w:rPr>
        <w:t xml:space="preserve"> 王经理、吕绍山010－82370045，13811723926</w:t>
      </w:r>
    </w:p>
    <w:p>
      <w:pPr>
        <w:spacing w:line="360" w:lineRule="auto"/>
        <w:ind w:firstLine="723" w:firstLineChars="300"/>
        <w:rPr>
          <w:rFonts w:ascii="宋体" w:hAnsi="宋体"/>
          <w:b/>
          <w:color w:val="auto"/>
          <w:sz w:val="24"/>
          <w:highlight w:val="none"/>
          <w:u w:val="single"/>
        </w:rPr>
      </w:pPr>
      <w:r>
        <w:rPr>
          <w:rFonts w:ascii="宋体" w:hAnsi="宋体"/>
          <w:b/>
          <w:color w:val="auto"/>
          <w:sz w:val="24"/>
          <w:highlight w:val="none"/>
        </w:rPr>
        <w:t>3.项目联系方式</w:t>
      </w:r>
      <w:bookmarkEnd w:id="37"/>
      <w:bookmarkEnd w:id="38"/>
    </w:p>
    <w:p>
      <w:pPr>
        <w:pStyle w:val="23"/>
        <w:spacing w:line="360" w:lineRule="auto"/>
        <w:ind w:left="1076" w:leftChars="371" w:hanging="297" w:hangingChars="124"/>
        <w:rPr>
          <w:rFonts w:hint="default" w:ascii="Times New Roman" w:hAnsi="Times New Roman"/>
          <w:color w:val="auto"/>
          <w:sz w:val="24"/>
          <w:highlight w:val="none"/>
          <w:u w:val="single"/>
        </w:rPr>
      </w:pPr>
      <w:r>
        <w:rPr>
          <w:rFonts w:hint="default" w:ascii="Times New Roman" w:hAnsi="Times New Roman"/>
          <w:color w:val="auto"/>
          <w:sz w:val="24"/>
          <w:szCs w:val="24"/>
          <w:highlight w:val="none"/>
        </w:rPr>
        <w:t>项目联系人：</w:t>
      </w:r>
      <w:r>
        <w:rPr>
          <w:color w:val="auto"/>
          <w:sz w:val="24"/>
          <w:highlight w:val="none"/>
          <w:u w:val="single"/>
        </w:rPr>
        <w:t>王经理、吕绍山</w:t>
      </w:r>
    </w:p>
    <w:p>
      <w:pPr>
        <w:pStyle w:val="23"/>
        <w:spacing w:line="360" w:lineRule="auto"/>
        <w:ind w:left="1076" w:leftChars="371" w:hanging="297" w:hangingChars="124"/>
        <w:rPr>
          <w:rFonts w:hint="default" w:ascii="Times New Roman" w:hAnsi="Times New Roman"/>
          <w:color w:val="auto"/>
          <w:sz w:val="24"/>
          <w:szCs w:val="24"/>
          <w:highlight w:val="none"/>
        </w:rPr>
      </w:pPr>
      <w:r>
        <w:rPr>
          <w:rFonts w:hint="default" w:ascii="Times New Roman" w:hAnsi="Times New Roman"/>
          <w:color w:val="auto"/>
          <w:sz w:val="24"/>
          <w:highlight w:val="none"/>
        </w:rPr>
        <w:t>电      话：</w:t>
      </w:r>
      <w:r>
        <w:rPr>
          <w:color w:val="auto"/>
          <w:sz w:val="24"/>
          <w:highlight w:val="none"/>
          <w:u w:val="single"/>
        </w:rPr>
        <w:t>010－82370045，</w:t>
      </w:r>
      <w:r>
        <w:rPr>
          <w:rFonts w:hint="eastAsia"/>
          <w:color w:val="auto"/>
          <w:sz w:val="24"/>
          <w:highlight w:val="none"/>
          <w:u w:val="single"/>
        </w:rPr>
        <w:t>13811723926</w:t>
      </w:r>
    </w:p>
    <w:p>
      <w:pPr>
        <w:spacing w:line="360" w:lineRule="auto"/>
        <w:ind w:firstLine="5880" w:firstLineChars="2450"/>
        <w:jc w:val="right"/>
        <w:rPr>
          <w:rFonts w:ascii="宋体" w:hAnsi="宋体"/>
          <w:color w:val="auto"/>
          <w:sz w:val="24"/>
          <w:highlight w:val="none"/>
        </w:rPr>
      </w:pPr>
    </w:p>
    <w:p>
      <w:pPr>
        <w:spacing w:line="360" w:lineRule="auto"/>
        <w:jc w:val="center"/>
        <w:outlineLvl w:val="0"/>
        <w:rPr>
          <w:rFonts w:ascii="宋体" w:hAnsi="宋体"/>
          <w:b/>
          <w:color w:val="auto"/>
          <w:sz w:val="32"/>
          <w:szCs w:val="32"/>
          <w:highlight w:val="none"/>
        </w:rPr>
      </w:pPr>
      <w:r>
        <w:rPr>
          <w:rFonts w:ascii="宋体" w:hAnsi="宋体"/>
          <w:color w:val="auto"/>
          <w:sz w:val="24"/>
          <w:highlight w:val="none"/>
        </w:rPr>
        <w:br w:type="page"/>
      </w:r>
      <w:bookmarkStart w:id="39" w:name="_Toc226965856"/>
      <w:bookmarkStart w:id="40" w:name="_Toc127151777"/>
      <w:bookmarkStart w:id="41" w:name="_Toc512937850"/>
      <w:bookmarkStart w:id="42" w:name="_Toc305158854"/>
      <w:bookmarkStart w:id="43" w:name="_Toc264969275"/>
      <w:bookmarkStart w:id="44" w:name="_Toc150774783"/>
      <w:bookmarkStart w:id="45" w:name="_Toc127161488"/>
      <w:bookmarkStart w:id="46" w:name="_Toc353825548"/>
      <w:bookmarkStart w:id="47" w:name="_Toc305158928"/>
      <w:bookmarkStart w:id="48" w:name="_Toc353873938"/>
      <w:bookmarkStart w:id="49" w:name="_Toc17889"/>
      <w:bookmarkStart w:id="50" w:name="_Toc265228423"/>
      <w:bookmarkStart w:id="51" w:name="_Toc195842950"/>
      <w:bookmarkStart w:id="52" w:name="_Toc5899"/>
      <w:r>
        <w:rPr>
          <w:rFonts w:ascii="宋体" w:hAnsi="宋体"/>
          <w:b/>
          <w:color w:val="auto"/>
          <w:sz w:val="36"/>
          <w:szCs w:val="36"/>
          <w:highlight w:val="none"/>
        </w:rPr>
        <w:t xml:space="preserve">第二章  </w:t>
      </w:r>
      <w:r>
        <w:rPr>
          <w:rFonts w:hint="eastAsia" w:ascii="宋体" w:hAnsi="宋体"/>
          <w:b/>
          <w:color w:val="auto"/>
          <w:sz w:val="36"/>
          <w:szCs w:val="36"/>
          <w:highlight w:val="none"/>
        </w:rPr>
        <w:t>供应商</w:t>
      </w:r>
      <w:r>
        <w:rPr>
          <w:rFonts w:ascii="宋体" w:hAnsi="宋体"/>
          <w:b/>
          <w:color w:val="auto"/>
          <w:sz w:val="36"/>
          <w:szCs w:val="36"/>
          <w:highlight w:val="none"/>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color w:val="auto"/>
          <w:sz w:val="28"/>
          <w:highlight w:val="none"/>
        </w:rPr>
      </w:pPr>
      <w:bookmarkStart w:id="53" w:name="_Toc151193617"/>
      <w:bookmarkStart w:id="54" w:name="_Toc150509270"/>
      <w:bookmarkStart w:id="55" w:name="_Toc164229214"/>
      <w:bookmarkStart w:id="56" w:name="_Toc226309763"/>
      <w:bookmarkStart w:id="57" w:name="_Toc226337215"/>
      <w:bookmarkStart w:id="58" w:name="_Toc226965792"/>
      <w:bookmarkStart w:id="59" w:name="_Toc151193907"/>
      <w:bookmarkStart w:id="60" w:name="_Toc151193833"/>
      <w:bookmarkStart w:id="61" w:name="_Toc151190146"/>
      <w:bookmarkStart w:id="62" w:name="_Toc150774619"/>
      <w:bookmarkStart w:id="63" w:name="_Toc127151519"/>
      <w:bookmarkStart w:id="64" w:name="_Toc127161433"/>
      <w:bookmarkStart w:id="65" w:name="_Toc127151720"/>
      <w:bookmarkStart w:id="66" w:name="_Toc520356144"/>
      <w:bookmarkStart w:id="67" w:name="_Toc226965709"/>
      <w:bookmarkStart w:id="68" w:name="_Toc149720812"/>
      <w:bookmarkStart w:id="69" w:name="_Toc164608633"/>
      <w:bookmarkStart w:id="70" w:name="_Toc151193761"/>
      <w:bookmarkStart w:id="71" w:name="_Toc164229360"/>
      <w:bookmarkStart w:id="72" w:name="_Toc150480757"/>
      <w:bookmarkStart w:id="73" w:name="_Toc164608788"/>
      <w:bookmarkStart w:id="74" w:name="_Toc164351613"/>
      <w:bookmarkStart w:id="75" w:name="_Toc195842884"/>
      <w:bookmarkStart w:id="76" w:name="_Toc142311021"/>
      <w:bookmarkStart w:id="77" w:name="_Toc151193689"/>
      <w:bookmarkStart w:id="78" w:name="_Toc150774724"/>
      <w:r>
        <w:rPr>
          <w:rFonts w:hint="eastAsia" w:ascii="宋体" w:hAnsi="宋体" w:eastAsia="宋体"/>
          <w:color w:val="auto"/>
          <w:sz w:val="28"/>
          <w:highlight w:val="none"/>
        </w:rPr>
        <w:t>供应商</w:t>
      </w:r>
      <w:r>
        <w:rPr>
          <w:rFonts w:ascii="宋体" w:hAnsi="宋体" w:eastAsia="宋体"/>
          <w:color w:val="auto"/>
          <w:sz w:val="28"/>
          <w:highlight w:val="none"/>
        </w:rPr>
        <w:t>须知资料表</w:t>
      </w:r>
    </w:p>
    <w:p>
      <w:pPr>
        <w:spacing w:line="360" w:lineRule="auto"/>
        <w:ind w:firstLine="480"/>
        <w:rPr>
          <w:rFonts w:ascii="宋体" w:hAnsi="宋体"/>
          <w:color w:val="auto"/>
          <w:sz w:val="24"/>
          <w:highlight w:val="none"/>
        </w:rPr>
      </w:pPr>
      <w:r>
        <w:rPr>
          <w:rFonts w:ascii="宋体" w:hAnsi="宋体"/>
          <w:color w:val="auto"/>
          <w:sz w:val="24"/>
          <w:highlight w:val="none"/>
        </w:rPr>
        <w:t>本表是对</w:t>
      </w:r>
      <w:r>
        <w:rPr>
          <w:rFonts w:hint="eastAsia" w:ascii="宋体" w:hAnsi="宋体"/>
          <w:color w:val="auto"/>
          <w:sz w:val="24"/>
          <w:highlight w:val="none"/>
        </w:rPr>
        <w:t>供应商</w:t>
      </w:r>
      <w:r>
        <w:rPr>
          <w:rFonts w:ascii="宋体" w:hAnsi="宋体"/>
          <w:color w:val="auto"/>
          <w:sz w:val="24"/>
          <w:highlight w:val="none"/>
        </w:rPr>
        <w:t>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color w:val="auto"/>
                <w:sz w:val="24"/>
                <w:highlight w:val="none"/>
              </w:rPr>
            </w:pPr>
            <w:r>
              <w:rPr>
                <w:rFonts w:ascii="宋体" w:hAnsi="宋体"/>
                <w:b/>
                <w:color w:val="auto"/>
                <w:sz w:val="24"/>
                <w:highlight w:val="none"/>
              </w:rPr>
              <w:t>条款号</w:t>
            </w:r>
          </w:p>
        </w:tc>
        <w:tc>
          <w:tcPr>
            <w:tcW w:w="1701" w:type="dxa"/>
            <w:vAlign w:val="center"/>
          </w:tcPr>
          <w:p>
            <w:pPr>
              <w:spacing w:line="288" w:lineRule="auto"/>
              <w:jc w:val="center"/>
              <w:rPr>
                <w:rFonts w:ascii="宋体" w:hAnsi="宋体"/>
                <w:b/>
                <w:bCs/>
                <w:color w:val="auto"/>
                <w:sz w:val="24"/>
                <w:highlight w:val="none"/>
              </w:rPr>
            </w:pPr>
            <w:r>
              <w:rPr>
                <w:rFonts w:ascii="宋体" w:hAnsi="宋体"/>
                <w:b/>
                <w:bCs/>
                <w:color w:val="auto"/>
                <w:sz w:val="24"/>
                <w:highlight w:val="none"/>
              </w:rPr>
              <w:t>条目</w:t>
            </w:r>
          </w:p>
        </w:tc>
        <w:tc>
          <w:tcPr>
            <w:tcW w:w="7540" w:type="dxa"/>
            <w:vAlign w:val="center"/>
          </w:tcPr>
          <w:p>
            <w:pPr>
              <w:spacing w:line="288" w:lineRule="auto"/>
              <w:jc w:val="center"/>
              <w:rPr>
                <w:rFonts w:ascii="宋体" w:hAnsi="宋体"/>
                <w:b/>
                <w:bCs/>
                <w:color w:val="auto"/>
                <w:sz w:val="24"/>
                <w:highlight w:val="none"/>
              </w:rPr>
            </w:pPr>
            <w:r>
              <w:rPr>
                <w:rFonts w:ascii="宋体" w:hAnsi="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2.2</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项目属性</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项目属性：</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服务</w:t>
            </w:r>
          </w:p>
          <w:p>
            <w:pPr>
              <w:spacing w:line="288" w:lineRule="auto"/>
              <w:jc w:val="left"/>
              <w:rPr>
                <w:rFonts w:ascii="宋体" w:hAnsi="宋体"/>
                <w:color w:val="auto"/>
                <w:sz w:val="24"/>
                <w:highlight w:val="none"/>
                <w:u w:val="single"/>
              </w:rPr>
            </w:pPr>
            <w:r>
              <w:rPr>
                <w:rFonts w:ascii="宋体" w:hAnsi="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2.3</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科研仪器设备</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是否属于科研仪器设备采购项目：</w:t>
            </w:r>
          </w:p>
          <w:p>
            <w:pPr>
              <w:spacing w:line="288" w:lineRule="auto"/>
              <w:jc w:val="left"/>
              <w:rPr>
                <w:rFonts w:ascii="宋体" w:hAnsi="宋体"/>
                <w:color w:val="auto"/>
                <w:sz w:val="24"/>
                <w:highlight w:val="none"/>
              </w:rPr>
            </w:pPr>
            <w:r>
              <w:rPr>
                <w:rFonts w:ascii="宋体" w:hAnsi="宋体"/>
                <w:color w:val="auto"/>
                <w:sz w:val="24"/>
                <w:highlight w:val="none"/>
              </w:rPr>
              <w:t>□是</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2.4</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核心产品</w:t>
            </w:r>
          </w:p>
        </w:tc>
        <w:tc>
          <w:tcPr>
            <w:tcW w:w="7540" w:type="dxa"/>
            <w:vAlign w:val="center"/>
          </w:tcPr>
          <w:p>
            <w:pPr>
              <w:pStyle w:val="23"/>
              <w:adjustRightInd w:val="0"/>
              <w:snapToGrid w:val="0"/>
              <w:spacing w:line="288" w:lineRule="auto"/>
              <w:rPr>
                <w:rFonts w:hint="default" w:hAnsi="宋体"/>
                <w:color w:val="auto"/>
                <w:sz w:val="24"/>
                <w:szCs w:val="24"/>
                <w:highlight w:val="none"/>
              </w:rPr>
            </w:pPr>
            <w:r>
              <w:rPr>
                <w:rFonts w:hAnsi="宋体"/>
                <w:b/>
                <w:color w:val="auto"/>
                <w:sz w:val="24"/>
                <w:highlight w:val="none"/>
              </w:rPr>
              <w:t>■</w:t>
            </w:r>
            <w:r>
              <w:rPr>
                <w:rFonts w:hint="default" w:hAnsi="宋体"/>
                <w:color w:val="auto"/>
                <w:sz w:val="24"/>
                <w:szCs w:val="24"/>
                <w:highlight w:val="none"/>
              </w:rPr>
              <w:t>关于核心产品本项目不适用。</w:t>
            </w:r>
          </w:p>
          <w:p>
            <w:pPr>
              <w:pStyle w:val="23"/>
              <w:adjustRightInd w:val="0"/>
              <w:snapToGrid w:val="0"/>
              <w:spacing w:line="288" w:lineRule="auto"/>
              <w:rPr>
                <w:rFonts w:hint="default" w:hAnsi="宋体"/>
                <w:color w:val="auto"/>
                <w:sz w:val="24"/>
                <w:szCs w:val="24"/>
                <w:highlight w:val="none"/>
              </w:rPr>
            </w:pPr>
            <w:r>
              <w:rPr>
                <w:rFonts w:hint="default" w:hAnsi="宋体"/>
                <w:color w:val="auto"/>
                <w:sz w:val="24"/>
                <w:szCs w:val="24"/>
                <w:highlight w:val="none"/>
              </w:rPr>
              <w:t>□</w:t>
            </w:r>
            <w:r>
              <w:rPr>
                <w:rFonts w:hAnsi="宋体"/>
                <w:color w:val="auto"/>
                <w:sz w:val="24"/>
                <w:highlight w:val="none"/>
              </w:rPr>
              <w:t>本项目为单一产品采购项目</w:t>
            </w:r>
          </w:p>
          <w:p>
            <w:pPr>
              <w:pStyle w:val="23"/>
              <w:adjustRightInd w:val="0"/>
              <w:snapToGrid w:val="0"/>
              <w:spacing w:line="288" w:lineRule="auto"/>
              <w:rPr>
                <w:rFonts w:hint="default" w:hAnsi="宋体"/>
                <w:color w:val="auto"/>
                <w:sz w:val="24"/>
                <w:szCs w:val="24"/>
                <w:highlight w:val="none"/>
              </w:rPr>
            </w:pPr>
            <w:r>
              <w:rPr>
                <w:rFonts w:hAnsi="宋体"/>
                <w:color w:val="auto"/>
                <w:sz w:val="24"/>
                <w:highlight w:val="none"/>
              </w:rPr>
              <w:t>□本项目为非单一产品采购项目，各分包的核心产品为：</w:t>
            </w:r>
            <w:r>
              <w:rPr>
                <w:rFonts w:hint="default" w:hAnsi="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3.1</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现场考察</w:t>
            </w:r>
          </w:p>
        </w:tc>
        <w:tc>
          <w:tcPr>
            <w:tcW w:w="7540" w:type="dxa"/>
            <w:vAlign w:val="center"/>
          </w:tcPr>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不组织</w:t>
            </w:r>
          </w:p>
          <w:p>
            <w:pPr>
              <w:spacing w:line="288" w:lineRule="auto"/>
              <w:jc w:val="left"/>
              <w:rPr>
                <w:rFonts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pStyle w:val="23"/>
              <w:adjustRightInd w:val="0"/>
              <w:snapToGrid w:val="0"/>
              <w:spacing w:line="288" w:lineRule="auto"/>
              <w:rPr>
                <w:rFonts w:hint="default" w:hAnsi="宋体"/>
                <w:color w:val="auto"/>
                <w:sz w:val="24"/>
                <w:szCs w:val="24"/>
                <w:highlight w:val="none"/>
              </w:rPr>
            </w:pPr>
            <w:r>
              <w:rPr>
                <w:rFonts w:hint="default" w:hAnsi="宋体"/>
                <w:color w:val="auto"/>
                <w:sz w:val="24"/>
                <w:highlight w:val="none"/>
              </w:rPr>
              <w:t>考察地点：____________</w:t>
            </w:r>
            <w:r>
              <w:rPr>
                <w:rFonts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color w:val="auto"/>
                <w:sz w:val="24"/>
                <w:szCs w:val="24"/>
                <w:highlight w:val="none"/>
              </w:rPr>
            </w:pPr>
          </w:p>
        </w:tc>
        <w:tc>
          <w:tcPr>
            <w:tcW w:w="1701" w:type="dxa"/>
            <w:vAlign w:val="center"/>
          </w:tcPr>
          <w:p>
            <w:pPr>
              <w:spacing w:line="288" w:lineRule="auto"/>
              <w:jc w:val="center"/>
              <w:rPr>
                <w:rFonts w:ascii="宋体" w:hAnsi="宋体"/>
                <w:color w:val="auto"/>
                <w:sz w:val="24"/>
                <w:highlight w:val="none"/>
              </w:rPr>
            </w:pPr>
            <w:r>
              <w:rPr>
                <w:rFonts w:hint="eastAsia" w:ascii="宋体" w:hAnsi="宋体"/>
                <w:color w:val="auto"/>
                <w:sz w:val="24"/>
                <w:highlight w:val="none"/>
              </w:rPr>
              <w:t>开选</w:t>
            </w:r>
            <w:r>
              <w:rPr>
                <w:rFonts w:ascii="宋体" w:hAnsi="宋体"/>
                <w:color w:val="auto"/>
                <w:sz w:val="24"/>
                <w:highlight w:val="none"/>
              </w:rPr>
              <w:t>前答疑会</w:t>
            </w:r>
          </w:p>
        </w:tc>
        <w:tc>
          <w:tcPr>
            <w:tcW w:w="7540" w:type="dxa"/>
            <w:vAlign w:val="center"/>
          </w:tcPr>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不召开</w:t>
            </w:r>
          </w:p>
          <w:p>
            <w:pPr>
              <w:spacing w:line="288" w:lineRule="auto"/>
              <w:jc w:val="left"/>
              <w:rPr>
                <w:rFonts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spacing w:line="288" w:lineRule="auto"/>
              <w:jc w:val="left"/>
              <w:rPr>
                <w:rFonts w:ascii="宋体" w:hAnsi="宋体"/>
                <w:color w:val="auto"/>
                <w:sz w:val="24"/>
                <w:highlight w:val="none"/>
              </w:rPr>
            </w:pPr>
            <w:r>
              <w:rPr>
                <w:rFonts w:ascii="宋体" w:hAnsi="宋体"/>
                <w:color w:val="auto"/>
                <w:sz w:val="24"/>
                <w:highlight w:val="none"/>
              </w:rPr>
              <w:t>召开地点：____________</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4.1</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样品</w:t>
            </w:r>
          </w:p>
        </w:tc>
        <w:tc>
          <w:tcPr>
            <w:tcW w:w="7540" w:type="dxa"/>
            <w:vAlign w:val="center"/>
          </w:tcPr>
          <w:p>
            <w:pPr>
              <w:spacing w:line="288" w:lineRule="auto"/>
              <w:jc w:val="left"/>
              <w:rPr>
                <w:rFonts w:ascii="宋体" w:hAnsi="宋体"/>
                <w:color w:val="auto"/>
                <w:sz w:val="24"/>
                <w:highlight w:val="none"/>
              </w:rPr>
            </w:pPr>
            <w:r>
              <w:rPr>
                <w:rFonts w:hint="eastAsia" w:ascii="宋体" w:hAnsi="宋体"/>
                <w:color w:val="auto"/>
                <w:sz w:val="24"/>
                <w:highlight w:val="none"/>
              </w:rPr>
              <w:t>响应</w:t>
            </w:r>
            <w:r>
              <w:rPr>
                <w:rFonts w:ascii="宋体" w:hAnsi="宋体"/>
                <w:color w:val="auto"/>
                <w:sz w:val="24"/>
                <w:highlight w:val="none"/>
              </w:rPr>
              <w:t>样品递交：</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p>
            <w:pPr>
              <w:spacing w:line="288" w:lineRule="auto"/>
              <w:jc w:val="left"/>
              <w:rPr>
                <w:rFonts w:ascii="宋体" w:hAnsi="宋体"/>
                <w:color w:val="auto"/>
                <w:sz w:val="24"/>
                <w:highlight w:val="none"/>
              </w:rPr>
            </w:pPr>
            <w:r>
              <w:rPr>
                <w:rFonts w:ascii="宋体" w:hAnsi="宋体"/>
                <w:color w:val="auto"/>
                <w:sz w:val="24"/>
                <w:highlight w:val="none"/>
              </w:rPr>
              <w:t>□需要，具体要求如下：</w:t>
            </w:r>
          </w:p>
          <w:p>
            <w:pPr>
              <w:spacing w:line="288" w:lineRule="auto"/>
              <w:jc w:val="left"/>
              <w:rPr>
                <w:rFonts w:ascii="宋体" w:hAnsi="宋体"/>
                <w:color w:val="auto"/>
                <w:sz w:val="24"/>
                <w:highlight w:val="none"/>
                <w:u w:val="single"/>
              </w:rPr>
            </w:pPr>
            <w:r>
              <w:rPr>
                <w:rFonts w:ascii="宋体" w:hAnsi="宋体"/>
                <w:color w:val="auto"/>
                <w:sz w:val="24"/>
                <w:highlight w:val="none"/>
              </w:rPr>
              <w:t>（1）样品制作的标准和要求：____；</w:t>
            </w:r>
          </w:p>
          <w:p>
            <w:pPr>
              <w:spacing w:line="288" w:lineRule="auto"/>
              <w:jc w:val="left"/>
              <w:rPr>
                <w:rFonts w:ascii="宋体" w:hAnsi="宋体"/>
                <w:color w:val="auto"/>
                <w:sz w:val="24"/>
                <w:highlight w:val="none"/>
              </w:rPr>
            </w:pPr>
            <w:r>
              <w:rPr>
                <w:rFonts w:ascii="宋体" w:hAnsi="宋体"/>
                <w:color w:val="auto"/>
                <w:sz w:val="24"/>
                <w:highlight w:val="none"/>
              </w:rPr>
              <w:t>（2）是否需要随样品提交相关检测报告：</w:t>
            </w:r>
          </w:p>
          <w:p>
            <w:pPr>
              <w:spacing w:line="288" w:lineRule="auto"/>
              <w:ind w:firstLine="602" w:firstLineChars="250"/>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p>
            <w:pPr>
              <w:spacing w:line="288" w:lineRule="auto"/>
              <w:ind w:firstLine="600" w:firstLineChars="250"/>
              <w:jc w:val="left"/>
              <w:rPr>
                <w:rFonts w:ascii="宋体" w:hAnsi="宋体"/>
                <w:color w:val="auto"/>
                <w:sz w:val="24"/>
                <w:highlight w:val="none"/>
              </w:rPr>
            </w:pPr>
            <w:r>
              <w:rPr>
                <w:rFonts w:ascii="宋体" w:hAnsi="宋体"/>
                <w:color w:val="auto"/>
                <w:sz w:val="24"/>
                <w:highlight w:val="none"/>
              </w:rPr>
              <w:t>□需要</w:t>
            </w:r>
          </w:p>
          <w:p>
            <w:pPr>
              <w:spacing w:line="288" w:lineRule="auto"/>
              <w:jc w:val="left"/>
              <w:rPr>
                <w:rFonts w:ascii="宋体" w:hAnsi="宋体"/>
                <w:color w:val="auto"/>
                <w:sz w:val="24"/>
                <w:highlight w:val="none"/>
              </w:rPr>
            </w:pPr>
            <w:r>
              <w:rPr>
                <w:rFonts w:ascii="宋体" w:hAnsi="宋体"/>
                <w:color w:val="auto"/>
                <w:sz w:val="24"/>
                <w:highlight w:val="none"/>
              </w:rPr>
              <w:t>（3）样品递交要求：__</w:t>
            </w:r>
            <w:r>
              <w:rPr>
                <w:rFonts w:hint="eastAsia" w:ascii="宋体" w:hAnsi="宋体"/>
                <w:color w:val="auto"/>
                <w:sz w:val="24"/>
                <w:highlight w:val="none"/>
              </w:rPr>
              <w:t xml:space="preserve">  </w:t>
            </w:r>
            <w:r>
              <w:rPr>
                <w:rFonts w:ascii="宋体" w:hAnsi="宋体"/>
                <w:color w:val="auto"/>
                <w:sz w:val="24"/>
                <w:highlight w:val="none"/>
              </w:rPr>
              <w:t>_；</w:t>
            </w:r>
          </w:p>
          <w:p>
            <w:pPr>
              <w:spacing w:line="288" w:lineRule="auto"/>
              <w:jc w:val="left"/>
              <w:rPr>
                <w:rFonts w:ascii="宋体" w:hAnsi="宋体"/>
                <w:color w:val="auto"/>
                <w:sz w:val="24"/>
                <w:highlight w:val="none"/>
              </w:rPr>
            </w:pPr>
            <w:r>
              <w:rPr>
                <w:rFonts w:ascii="宋体" w:hAnsi="宋体"/>
                <w:color w:val="auto"/>
                <w:sz w:val="24"/>
                <w:highlight w:val="none"/>
              </w:rPr>
              <w:t>（4）未</w:t>
            </w:r>
            <w:r>
              <w:rPr>
                <w:rFonts w:hint="eastAsia" w:ascii="宋体" w:hAnsi="宋体"/>
                <w:color w:val="auto"/>
                <w:sz w:val="24"/>
                <w:highlight w:val="none"/>
              </w:rPr>
              <w:t>成交人</w:t>
            </w:r>
            <w:r>
              <w:rPr>
                <w:rFonts w:ascii="宋体" w:hAnsi="宋体"/>
                <w:color w:val="auto"/>
                <w:sz w:val="24"/>
                <w:highlight w:val="none"/>
              </w:rPr>
              <w:t>样品退还：__</w:t>
            </w:r>
            <w:r>
              <w:rPr>
                <w:rFonts w:hint="eastAsia" w:ascii="宋体" w:hAnsi="宋体"/>
                <w:color w:val="auto"/>
                <w:sz w:val="24"/>
                <w:highlight w:val="none"/>
              </w:rPr>
              <w:t xml:space="preserve">   </w:t>
            </w:r>
            <w:r>
              <w:rPr>
                <w:rFonts w:ascii="宋体" w:hAnsi="宋体"/>
                <w:color w:val="auto"/>
                <w:sz w:val="24"/>
                <w:highlight w:val="none"/>
              </w:rPr>
              <w:t>；</w:t>
            </w:r>
          </w:p>
          <w:p>
            <w:pPr>
              <w:spacing w:line="288" w:lineRule="auto"/>
              <w:jc w:val="left"/>
              <w:rPr>
                <w:rFonts w:ascii="宋体" w:hAnsi="宋体"/>
                <w:color w:val="auto"/>
                <w:sz w:val="24"/>
                <w:highlight w:val="none"/>
                <w:u w:val="single"/>
              </w:rPr>
            </w:pPr>
            <w:r>
              <w:rPr>
                <w:rFonts w:ascii="宋体" w:hAnsi="宋体"/>
                <w:color w:val="auto"/>
                <w:sz w:val="24"/>
                <w:highlight w:val="none"/>
              </w:rPr>
              <w:t>（5）</w:t>
            </w:r>
            <w:r>
              <w:rPr>
                <w:rFonts w:hint="eastAsia" w:ascii="宋体" w:hAnsi="宋体"/>
                <w:color w:val="auto"/>
                <w:sz w:val="24"/>
                <w:highlight w:val="none"/>
              </w:rPr>
              <w:t>成交人</w:t>
            </w:r>
            <w:r>
              <w:rPr>
                <w:rFonts w:ascii="宋体" w:hAnsi="宋体"/>
                <w:color w:val="auto"/>
                <w:sz w:val="24"/>
                <w:highlight w:val="none"/>
              </w:rPr>
              <w:t>样品保管、封存及退还：______；</w:t>
            </w:r>
          </w:p>
          <w:p>
            <w:pPr>
              <w:spacing w:line="288" w:lineRule="auto"/>
              <w:jc w:val="left"/>
              <w:rPr>
                <w:rFonts w:ascii="宋体" w:hAnsi="宋体"/>
                <w:color w:val="auto"/>
                <w:sz w:val="24"/>
                <w:highlight w:val="none"/>
              </w:rPr>
            </w:pPr>
            <w:r>
              <w:rPr>
                <w:rFonts w:ascii="宋体" w:hAnsi="宋体"/>
                <w:color w:val="auto"/>
                <w:sz w:val="24"/>
                <w:highlight w:val="none"/>
              </w:rPr>
              <w:t>（6）其他要求：</w:t>
            </w:r>
            <w:r>
              <w:rPr>
                <w:rFonts w:hint="eastAsia" w:ascii="宋体" w:hAnsi="宋体"/>
                <w:color w:val="auto"/>
                <w:sz w:val="24"/>
                <w:highlight w:val="none"/>
                <w:u w:val="single"/>
              </w:rPr>
              <w:t xml:space="preserve"> /  </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5.2.5</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标的所属行业</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rFonts w:hint="eastAsia"/>
                      <w:bCs/>
                      <w:color w:val="auto"/>
                      <w:sz w:val="24"/>
                      <w:highlight w:val="none"/>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color w:val="auto"/>
                      <w:sz w:val="24"/>
                      <w:highlight w:val="none"/>
                    </w:rPr>
                  </w:pPr>
                  <w:r>
                    <w:rPr>
                      <w:bCs/>
                      <w:color w:val="auto"/>
                      <w:sz w:val="24"/>
                      <w:highlight w:val="none"/>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color w:val="auto"/>
                      <w:sz w:val="24"/>
                      <w:highlight w:val="none"/>
                    </w:rPr>
                  </w:pPr>
                  <w:r>
                    <w:rPr>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color w:val="auto"/>
                      <w:szCs w:val="21"/>
                      <w:highlight w:val="none"/>
                    </w:rPr>
                  </w:pPr>
                  <w:r>
                    <w:rPr>
                      <w:bCs/>
                      <w:color w:val="auto"/>
                      <w:szCs w:val="21"/>
                      <w:highlight w:val="none"/>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color w:val="auto"/>
                      <w:kern w:val="0"/>
                      <w:sz w:val="24"/>
                      <w:highlight w:val="none"/>
                    </w:rPr>
                  </w:pPr>
                  <w:r>
                    <w:rPr>
                      <w:rFonts w:hint="eastAsia"/>
                      <w:color w:val="auto"/>
                      <w:kern w:val="0"/>
                      <w:sz w:val="24"/>
                      <w:highlight w:val="none"/>
                    </w:rPr>
                    <w:t>物业服务</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color w:val="auto"/>
                      <w:kern w:val="0"/>
                      <w:sz w:val="24"/>
                      <w:highlight w:val="none"/>
                    </w:rPr>
                  </w:pPr>
                  <w:r>
                    <w:rPr>
                      <w:rFonts w:hint="eastAsia"/>
                      <w:color w:val="auto"/>
                      <w:kern w:val="0"/>
                      <w:sz w:val="24"/>
                      <w:highlight w:val="none"/>
                    </w:rPr>
                    <w:t>物业管理</w:t>
                  </w:r>
                </w:p>
              </w:tc>
            </w:tr>
          </w:tbl>
          <w:p>
            <w:pPr>
              <w:spacing w:line="288"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Ansi="宋体"/>
                <w:color w:val="auto"/>
                <w:sz w:val="24"/>
                <w:szCs w:val="24"/>
                <w:highlight w:val="none"/>
              </w:rPr>
              <w:t>1</w:t>
            </w:r>
            <w:r>
              <w:rPr>
                <w:rFonts w:hint="default" w:hAnsi="宋体"/>
                <w:color w:val="auto"/>
                <w:sz w:val="24"/>
                <w:szCs w:val="24"/>
                <w:highlight w:val="none"/>
              </w:rPr>
              <w:t>1.2</w:t>
            </w:r>
          </w:p>
        </w:tc>
        <w:tc>
          <w:tcPr>
            <w:tcW w:w="1701" w:type="dxa"/>
            <w:vAlign w:val="center"/>
          </w:tcPr>
          <w:p>
            <w:pPr>
              <w:spacing w:line="288" w:lineRule="auto"/>
              <w:jc w:val="center"/>
              <w:rPr>
                <w:rFonts w:ascii="宋体" w:hAnsi="宋体"/>
                <w:color w:val="auto"/>
                <w:sz w:val="24"/>
                <w:highlight w:val="none"/>
              </w:rPr>
            </w:pPr>
            <w:r>
              <w:rPr>
                <w:rFonts w:hint="eastAsia" w:ascii="宋体" w:hAnsi="宋体"/>
                <w:color w:val="auto"/>
                <w:sz w:val="24"/>
                <w:highlight w:val="none"/>
              </w:rPr>
              <w:t>响应报价</w:t>
            </w:r>
          </w:p>
        </w:tc>
        <w:tc>
          <w:tcPr>
            <w:tcW w:w="7540" w:type="dxa"/>
            <w:vAlign w:val="center"/>
          </w:tcPr>
          <w:p>
            <w:pPr>
              <w:spacing w:line="288" w:lineRule="auto"/>
              <w:jc w:val="left"/>
              <w:rPr>
                <w:rFonts w:ascii="宋体" w:hAnsi="宋体"/>
                <w:color w:val="auto"/>
                <w:sz w:val="24"/>
                <w:highlight w:val="none"/>
              </w:rPr>
            </w:pPr>
            <w:r>
              <w:rPr>
                <w:rFonts w:hint="eastAsia" w:ascii="宋体" w:hAnsi="宋体"/>
                <w:color w:val="auto"/>
                <w:sz w:val="24"/>
                <w:highlight w:val="none"/>
              </w:rPr>
              <w:t>响应报价的特殊规定：</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无</w:t>
            </w:r>
          </w:p>
          <w:p>
            <w:pPr>
              <w:spacing w:line="288" w:lineRule="auto"/>
              <w:jc w:val="left"/>
              <w:rPr>
                <w:rFonts w:ascii="宋体" w:hAnsi="宋体"/>
                <w:color w:val="auto"/>
                <w:sz w:val="24"/>
                <w:highlight w:val="none"/>
                <w:u w:val="single"/>
              </w:rPr>
            </w:pPr>
            <w:r>
              <w:rPr>
                <w:rFonts w:ascii="宋体" w:hAnsi="宋体"/>
                <w:color w:val="auto"/>
                <w:sz w:val="24"/>
                <w:highlight w:val="none"/>
              </w:rPr>
              <w:t xml:space="preserve">□有，具体情形：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12.1</w:t>
            </w:r>
          </w:p>
        </w:tc>
        <w:tc>
          <w:tcPr>
            <w:tcW w:w="1701" w:type="dxa"/>
            <w:vMerge w:val="restart"/>
            <w:vAlign w:val="center"/>
          </w:tcPr>
          <w:p>
            <w:pPr>
              <w:spacing w:line="288" w:lineRule="auto"/>
              <w:jc w:val="center"/>
              <w:rPr>
                <w:rFonts w:ascii="宋体" w:hAnsi="宋体"/>
                <w:color w:val="auto"/>
                <w:sz w:val="24"/>
                <w:highlight w:val="none"/>
              </w:rPr>
            </w:pPr>
            <w:r>
              <w:rPr>
                <w:rFonts w:hint="eastAsia" w:ascii="宋体" w:hAnsi="宋体"/>
                <w:color w:val="auto"/>
                <w:sz w:val="24"/>
                <w:highlight w:val="none"/>
              </w:rPr>
              <w:t>报价保证金</w:t>
            </w:r>
          </w:p>
        </w:tc>
        <w:tc>
          <w:tcPr>
            <w:tcW w:w="7540" w:type="dxa"/>
            <w:vAlign w:val="center"/>
          </w:tcPr>
          <w:p>
            <w:pPr>
              <w:pStyle w:val="23"/>
              <w:adjustRightInd w:val="0"/>
              <w:snapToGrid w:val="0"/>
              <w:spacing w:line="288" w:lineRule="auto"/>
              <w:rPr>
                <w:rFonts w:hint="default" w:hAnsi="宋体"/>
                <w:color w:val="auto"/>
                <w:sz w:val="24"/>
                <w:szCs w:val="24"/>
                <w:highlight w:val="none"/>
              </w:rPr>
            </w:pPr>
            <w:r>
              <w:rPr>
                <w:rFonts w:hAnsi="宋体"/>
                <w:color w:val="auto"/>
                <w:sz w:val="24"/>
                <w:szCs w:val="24"/>
                <w:highlight w:val="none"/>
              </w:rPr>
              <w:t>报价保证金</w:t>
            </w:r>
            <w:r>
              <w:rPr>
                <w:rFonts w:hint="default" w:hAnsi="宋体"/>
                <w:color w:val="auto"/>
                <w:sz w:val="24"/>
                <w:szCs w:val="24"/>
                <w:highlight w:val="none"/>
              </w:rPr>
              <w:t>金额：</w:t>
            </w:r>
          </w:p>
          <w:p>
            <w:pPr>
              <w:pStyle w:val="23"/>
              <w:adjustRightInd w:val="0"/>
              <w:snapToGrid w:val="0"/>
              <w:spacing w:line="288" w:lineRule="auto"/>
              <w:rPr>
                <w:rFonts w:hint="default" w:hAnsi="宋体"/>
                <w:color w:val="auto"/>
                <w:sz w:val="24"/>
                <w:szCs w:val="24"/>
                <w:highlight w:val="none"/>
              </w:rPr>
            </w:pPr>
            <w:r>
              <w:rPr>
                <w:rFonts w:hint="default" w:hAnsi="宋体"/>
                <w:color w:val="auto"/>
                <w:sz w:val="24"/>
                <w:szCs w:val="24"/>
                <w:highlight w:val="none"/>
              </w:rPr>
              <w:t>01包：</w:t>
            </w:r>
            <w:r>
              <w:rPr>
                <w:rFonts w:hAnsi="宋体"/>
                <w:color w:val="auto"/>
                <w:sz w:val="24"/>
                <w:highlight w:val="none"/>
                <w:u w:val="single"/>
              </w:rPr>
              <w:t>人民币38250</w:t>
            </w:r>
            <w:r>
              <w:rPr>
                <w:rFonts w:hAnsi="宋体"/>
                <w:color w:val="auto"/>
                <w:sz w:val="24"/>
                <w:highlight w:val="none"/>
              </w:rPr>
              <w:t>元</w:t>
            </w:r>
            <w:r>
              <w:rPr>
                <w:rFonts w:hint="default" w:hAnsi="宋体"/>
                <w:color w:val="auto"/>
                <w:sz w:val="24"/>
                <w:szCs w:val="24"/>
                <w:highlight w:val="none"/>
              </w:rPr>
              <w:t>；</w:t>
            </w:r>
          </w:p>
          <w:p>
            <w:pPr>
              <w:spacing w:line="288" w:lineRule="auto"/>
              <w:jc w:val="left"/>
              <w:rPr>
                <w:rFonts w:ascii="宋体" w:hAnsi="宋体"/>
                <w:color w:val="auto"/>
                <w:sz w:val="24"/>
                <w:highlight w:val="none"/>
                <w:u w:val="single"/>
              </w:rPr>
            </w:pPr>
            <w:r>
              <w:rPr>
                <w:rFonts w:hint="eastAsia" w:ascii="宋体" w:hAnsi="宋体"/>
                <w:color w:val="auto"/>
                <w:sz w:val="24"/>
                <w:highlight w:val="none"/>
              </w:rPr>
              <w:t>报价保证金</w:t>
            </w:r>
            <w:r>
              <w:rPr>
                <w:rFonts w:ascii="宋体" w:hAnsi="宋体"/>
                <w:color w:val="auto"/>
                <w:sz w:val="24"/>
                <w:highlight w:val="none"/>
              </w:rPr>
              <w:t>收受人信息：</w:t>
            </w:r>
          </w:p>
          <w:p>
            <w:pPr>
              <w:spacing w:line="288" w:lineRule="auto"/>
              <w:jc w:val="left"/>
              <w:rPr>
                <w:color w:val="auto"/>
                <w:sz w:val="24"/>
                <w:highlight w:val="none"/>
              </w:rPr>
            </w:pPr>
            <w:r>
              <w:rPr>
                <w:rFonts w:hint="eastAsia"/>
                <w:color w:val="auto"/>
                <w:sz w:val="24"/>
                <w:highlight w:val="none"/>
              </w:rPr>
              <w:t>账户名称：北京明德致信咨询有限公司</w:t>
            </w:r>
          </w:p>
          <w:p>
            <w:pPr>
              <w:spacing w:line="288" w:lineRule="auto"/>
              <w:jc w:val="left"/>
              <w:rPr>
                <w:color w:val="auto"/>
                <w:sz w:val="24"/>
                <w:highlight w:val="none"/>
              </w:rPr>
            </w:pPr>
            <w:r>
              <w:rPr>
                <w:rFonts w:hint="eastAsia"/>
                <w:color w:val="auto"/>
                <w:sz w:val="24"/>
                <w:highlight w:val="none"/>
              </w:rPr>
              <w:t>开 户 行：中国工商银行股份有限公司北京东升路支行</w:t>
            </w:r>
          </w:p>
          <w:p>
            <w:pPr>
              <w:spacing w:line="288" w:lineRule="auto"/>
              <w:jc w:val="left"/>
              <w:rPr>
                <w:color w:val="auto"/>
                <w:sz w:val="24"/>
                <w:highlight w:val="none"/>
              </w:rPr>
            </w:pPr>
            <w:r>
              <w:rPr>
                <w:rFonts w:hint="eastAsia"/>
                <w:color w:val="auto"/>
                <w:sz w:val="24"/>
                <w:highlight w:val="none"/>
              </w:rPr>
              <w:t>账    号：0200 0062 1920 0492 968</w:t>
            </w:r>
            <w:r>
              <w:rPr>
                <w:color w:val="auto"/>
                <w:sz w:val="24"/>
                <w:highlight w:val="none"/>
              </w:rPr>
              <w:t xml:space="preserve"> </w:t>
            </w:r>
          </w:p>
          <w:p>
            <w:pPr>
              <w:spacing w:line="288" w:lineRule="auto"/>
              <w:jc w:val="left"/>
              <w:rPr>
                <w:rFonts w:ascii="宋体" w:hAnsi="宋体"/>
                <w:color w:val="auto"/>
                <w:sz w:val="24"/>
                <w:highlight w:val="none"/>
              </w:rPr>
            </w:pPr>
            <w:r>
              <w:rPr>
                <w:rFonts w:hint="eastAsia" w:ascii="宋体" w:hAnsi="宋体"/>
                <w:color w:val="auto"/>
                <w:sz w:val="24"/>
                <w:highlight w:val="none"/>
              </w:rPr>
              <w:t>注：汇款或转账时请务必附言“项目编号+用途”，例如：ZC22-0339保证金。</w:t>
            </w:r>
            <w:r>
              <w:rPr>
                <w:rFonts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12.7.2</w:t>
            </w:r>
          </w:p>
        </w:tc>
        <w:tc>
          <w:tcPr>
            <w:tcW w:w="1701" w:type="dxa"/>
            <w:vMerge w:val="continue"/>
            <w:vAlign w:val="center"/>
          </w:tcPr>
          <w:p>
            <w:pPr>
              <w:spacing w:line="288" w:lineRule="auto"/>
              <w:jc w:val="center"/>
              <w:rPr>
                <w:rFonts w:ascii="宋体" w:hAnsi="宋体"/>
                <w:color w:val="auto"/>
                <w:sz w:val="24"/>
                <w:highlight w:val="none"/>
              </w:rPr>
            </w:pPr>
          </w:p>
        </w:tc>
        <w:tc>
          <w:tcPr>
            <w:tcW w:w="7540" w:type="dxa"/>
            <w:vAlign w:val="center"/>
          </w:tcPr>
          <w:p>
            <w:pPr>
              <w:spacing w:line="288" w:lineRule="auto"/>
              <w:jc w:val="left"/>
              <w:rPr>
                <w:rFonts w:ascii="宋体" w:hAnsi="宋体"/>
                <w:color w:val="auto"/>
                <w:sz w:val="24"/>
                <w:highlight w:val="none"/>
              </w:rPr>
            </w:pPr>
            <w:r>
              <w:rPr>
                <w:rFonts w:hint="eastAsia" w:ascii="宋体" w:hAnsi="宋体"/>
                <w:color w:val="auto"/>
                <w:sz w:val="24"/>
                <w:highlight w:val="none"/>
              </w:rPr>
              <w:t>报价保证金</w:t>
            </w:r>
            <w:r>
              <w:rPr>
                <w:rFonts w:ascii="宋体" w:hAnsi="宋体"/>
                <w:color w:val="auto"/>
                <w:sz w:val="24"/>
                <w:highlight w:val="none"/>
              </w:rPr>
              <w:t>可以不予退还的其他情形：</w:t>
            </w:r>
          </w:p>
          <w:p>
            <w:pPr>
              <w:spacing w:line="288" w:lineRule="auto"/>
              <w:jc w:val="left"/>
              <w:rPr>
                <w:rFonts w:ascii="宋体" w:hAnsi="宋体"/>
                <w:color w:val="auto"/>
                <w:sz w:val="24"/>
                <w:highlight w:val="none"/>
              </w:rPr>
            </w:pPr>
            <w:r>
              <w:rPr>
                <w:rFonts w:ascii="宋体" w:hAnsi="宋体"/>
                <w:color w:val="auto"/>
                <w:sz w:val="24"/>
                <w:highlight w:val="none"/>
              </w:rPr>
              <w:t>□无</w:t>
            </w:r>
          </w:p>
          <w:p>
            <w:pPr>
              <w:pStyle w:val="23"/>
              <w:adjustRightInd w:val="0"/>
              <w:snapToGrid w:val="0"/>
              <w:spacing w:line="288" w:lineRule="auto"/>
              <w:rPr>
                <w:rFonts w:hint="default" w:hAnsi="宋体"/>
                <w:color w:val="auto"/>
                <w:sz w:val="24"/>
                <w:szCs w:val="24"/>
                <w:highlight w:val="none"/>
              </w:rPr>
            </w:pPr>
            <w:r>
              <w:rPr>
                <w:rFonts w:hAnsi="宋体"/>
                <w:b/>
                <w:color w:val="auto"/>
                <w:sz w:val="24"/>
                <w:szCs w:val="24"/>
                <w:highlight w:val="none"/>
              </w:rPr>
              <w:t>■</w:t>
            </w:r>
            <w:r>
              <w:rPr>
                <w:rFonts w:hint="default" w:hAnsi="宋体"/>
                <w:color w:val="auto"/>
                <w:sz w:val="24"/>
                <w:szCs w:val="24"/>
                <w:highlight w:val="none"/>
              </w:rPr>
              <w:t>有，具体情形：</w:t>
            </w:r>
          </w:p>
          <w:p>
            <w:pPr>
              <w:pStyle w:val="23"/>
              <w:tabs>
                <w:tab w:val="left" w:pos="2240"/>
              </w:tabs>
              <w:spacing w:line="360" w:lineRule="auto"/>
              <w:rPr>
                <w:rFonts w:hint="default" w:hAnsi="宋体"/>
                <w:color w:val="auto"/>
                <w:sz w:val="24"/>
                <w:szCs w:val="24"/>
                <w:highlight w:val="none"/>
              </w:rPr>
            </w:pPr>
            <w:r>
              <w:rPr>
                <w:rFonts w:hAnsi="宋体"/>
                <w:color w:val="auto"/>
                <w:sz w:val="24"/>
                <w:szCs w:val="24"/>
                <w:highlight w:val="none"/>
              </w:rPr>
              <w:t>（1）在开选之日后到报价有效期满前，供应商因自身原因撤回响应文件的；</w:t>
            </w:r>
          </w:p>
          <w:p>
            <w:pPr>
              <w:pStyle w:val="23"/>
              <w:tabs>
                <w:tab w:val="left" w:pos="2240"/>
              </w:tabs>
              <w:spacing w:line="360" w:lineRule="auto"/>
              <w:rPr>
                <w:rFonts w:hint="default" w:hAnsi="宋体"/>
                <w:color w:val="auto"/>
                <w:sz w:val="24"/>
                <w:szCs w:val="24"/>
                <w:highlight w:val="none"/>
              </w:rPr>
            </w:pPr>
            <w:r>
              <w:rPr>
                <w:rFonts w:hAnsi="宋体"/>
                <w:color w:val="auto"/>
                <w:sz w:val="24"/>
                <w:szCs w:val="24"/>
                <w:highlight w:val="none"/>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color w:val="auto"/>
                <w:sz w:val="24"/>
                <w:szCs w:val="24"/>
                <w:highlight w:val="none"/>
              </w:rPr>
            </w:pPr>
            <w:r>
              <w:rPr>
                <w:rFonts w:hAnsi="宋体"/>
                <w:color w:val="auto"/>
                <w:sz w:val="24"/>
                <w:szCs w:val="24"/>
                <w:highlight w:val="none"/>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color w:val="auto"/>
                <w:sz w:val="24"/>
                <w:szCs w:val="24"/>
                <w:highlight w:val="none"/>
              </w:rPr>
            </w:pPr>
            <w:r>
              <w:rPr>
                <w:rFonts w:hAnsi="宋体"/>
                <w:color w:val="auto"/>
                <w:sz w:val="24"/>
                <w:szCs w:val="24"/>
                <w:highlight w:val="none"/>
              </w:rPr>
              <w:t>（4）成交人未按比选文件规定缴纳成交服务费的；</w:t>
            </w:r>
          </w:p>
          <w:p>
            <w:pPr>
              <w:pStyle w:val="23"/>
              <w:tabs>
                <w:tab w:val="left" w:pos="2240"/>
              </w:tabs>
              <w:spacing w:line="360" w:lineRule="auto"/>
              <w:rPr>
                <w:rFonts w:hint="default" w:hAnsi="宋体"/>
                <w:color w:val="auto"/>
                <w:sz w:val="24"/>
                <w:szCs w:val="24"/>
                <w:highlight w:val="none"/>
              </w:rPr>
            </w:pPr>
            <w:r>
              <w:rPr>
                <w:rFonts w:hAnsi="宋体"/>
                <w:color w:val="auto"/>
                <w:sz w:val="24"/>
                <w:szCs w:val="24"/>
                <w:highlight w:val="none"/>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13.1</w:t>
            </w:r>
          </w:p>
        </w:tc>
        <w:tc>
          <w:tcPr>
            <w:tcW w:w="1701" w:type="dxa"/>
            <w:vAlign w:val="center"/>
          </w:tcPr>
          <w:p>
            <w:pPr>
              <w:spacing w:line="288" w:lineRule="auto"/>
              <w:jc w:val="center"/>
              <w:rPr>
                <w:rFonts w:ascii="宋体" w:hAnsi="宋体"/>
                <w:color w:val="auto"/>
                <w:sz w:val="24"/>
                <w:highlight w:val="none"/>
              </w:rPr>
            </w:pPr>
            <w:r>
              <w:rPr>
                <w:rFonts w:hint="eastAsia" w:ascii="宋体" w:hAnsi="宋体"/>
                <w:color w:val="auto"/>
                <w:sz w:val="24"/>
                <w:highlight w:val="none"/>
              </w:rPr>
              <w:t>报价有效期</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自提交</w:t>
            </w:r>
            <w:r>
              <w:rPr>
                <w:rFonts w:hint="eastAsia" w:ascii="宋体" w:hAnsi="宋体"/>
                <w:color w:val="auto"/>
                <w:sz w:val="24"/>
                <w:highlight w:val="none"/>
              </w:rPr>
              <w:t>响应文件</w:t>
            </w:r>
            <w:r>
              <w:rPr>
                <w:rFonts w:ascii="宋体" w:hAnsi="宋体"/>
                <w:color w:val="auto"/>
                <w:sz w:val="24"/>
                <w:highlight w:val="none"/>
              </w:rPr>
              <w:t>的截止之日起算</w:t>
            </w:r>
            <w:r>
              <w:rPr>
                <w:rFonts w:ascii="宋体" w:hAnsi="宋体"/>
                <w:color w:val="auto"/>
                <w:sz w:val="24"/>
                <w:highlight w:val="none"/>
                <w:u w:val="single"/>
              </w:rPr>
              <w:t>90</w:t>
            </w:r>
            <w:r>
              <w:rPr>
                <w:rFonts w:ascii="宋体" w:hAnsi="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Ansi="宋体"/>
                <w:color w:val="auto"/>
                <w:sz w:val="24"/>
                <w:szCs w:val="24"/>
                <w:highlight w:val="none"/>
              </w:rPr>
              <w:t>1</w:t>
            </w:r>
            <w:r>
              <w:rPr>
                <w:rFonts w:hint="default" w:hAnsi="宋体"/>
                <w:color w:val="auto"/>
                <w:sz w:val="24"/>
                <w:szCs w:val="24"/>
                <w:highlight w:val="none"/>
              </w:rPr>
              <w:t>4.1</w:t>
            </w:r>
          </w:p>
        </w:tc>
        <w:tc>
          <w:tcPr>
            <w:tcW w:w="1701" w:type="dxa"/>
            <w:vAlign w:val="center"/>
          </w:tcPr>
          <w:p>
            <w:pPr>
              <w:spacing w:line="288" w:lineRule="auto"/>
              <w:jc w:val="center"/>
              <w:rPr>
                <w:rFonts w:ascii="宋体" w:hAnsi="宋体"/>
                <w:color w:val="auto"/>
                <w:sz w:val="24"/>
                <w:highlight w:val="none"/>
              </w:rPr>
            </w:pPr>
            <w:r>
              <w:rPr>
                <w:rFonts w:hint="eastAsia" w:ascii="宋体" w:hAnsi="宋体"/>
                <w:color w:val="auto"/>
                <w:sz w:val="24"/>
                <w:highlight w:val="none"/>
              </w:rPr>
              <w:t>响应文件份数</w:t>
            </w:r>
          </w:p>
        </w:tc>
        <w:tc>
          <w:tcPr>
            <w:tcW w:w="7540"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响应文件：正本：</w:t>
            </w:r>
            <w:r>
              <w:rPr>
                <w:rFonts w:ascii="宋体" w:hAnsi="宋体"/>
                <w:color w:val="auto"/>
                <w:sz w:val="24"/>
                <w:highlight w:val="none"/>
              </w:rPr>
              <w:t>1份；副本：</w:t>
            </w:r>
            <w:r>
              <w:rPr>
                <w:rFonts w:hint="eastAsia" w:ascii="宋体" w:hAnsi="宋体"/>
                <w:color w:val="auto"/>
                <w:sz w:val="24"/>
                <w:highlight w:val="none"/>
              </w:rPr>
              <w:t>2</w:t>
            </w:r>
            <w:r>
              <w:rPr>
                <w:rFonts w:ascii="宋体" w:hAnsi="宋体"/>
                <w:color w:val="auto"/>
                <w:sz w:val="24"/>
                <w:highlight w:val="none"/>
              </w:rPr>
              <w:t>份；电子版：1份</w:t>
            </w:r>
            <w:r>
              <w:rPr>
                <w:rFonts w:hint="eastAsia" w:ascii="宋体" w:hAnsi="宋体"/>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电子版内容为响应文件的word格式可编辑版本和正本盖章后扫描的PDF文本格式，电子版响应文件以U盘形式提交。</w:t>
            </w:r>
          </w:p>
          <w:p>
            <w:pPr>
              <w:spacing w:line="360" w:lineRule="auto"/>
              <w:rPr>
                <w:rFonts w:ascii="宋体" w:hAnsi="宋体"/>
                <w:color w:val="auto"/>
                <w:sz w:val="24"/>
                <w:highlight w:val="none"/>
              </w:rPr>
            </w:pPr>
            <w:r>
              <w:rPr>
                <w:rFonts w:hint="eastAsia" w:ascii="宋体" w:hAnsi="宋体"/>
                <w:color w:val="auto"/>
                <w:sz w:val="24"/>
                <w:highlight w:val="none"/>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22.1</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确定</w:t>
            </w:r>
            <w:r>
              <w:rPr>
                <w:rFonts w:hint="eastAsia" w:ascii="宋体" w:hAnsi="宋体"/>
                <w:color w:val="auto"/>
                <w:sz w:val="24"/>
                <w:highlight w:val="none"/>
              </w:rPr>
              <w:t>成交人</w:t>
            </w:r>
          </w:p>
        </w:tc>
        <w:tc>
          <w:tcPr>
            <w:tcW w:w="7540" w:type="dxa"/>
            <w:vAlign w:val="center"/>
          </w:tcPr>
          <w:p>
            <w:pPr>
              <w:pStyle w:val="23"/>
              <w:adjustRightInd w:val="0"/>
              <w:snapToGrid w:val="0"/>
              <w:spacing w:line="288" w:lineRule="auto"/>
              <w:rPr>
                <w:rFonts w:hint="default" w:hAnsi="宋体"/>
                <w:color w:val="auto"/>
                <w:sz w:val="24"/>
                <w:szCs w:val="24"/>
                <w:highlight w:val="none"/>
              </w:rPr>
            </w:pPr>
            <w:r>
              <w:rPr>
                <w:rFonts w:hAnsi="宋体"/>
                <w:color w:val="auto"/>
                <w:sz w:val="24"/>
                <w:szCs w:val="24"/>
                <w:highlight w:val="none"/>
              </w:rPr>
              <w:t>成交</w:t>
            </w:r>
            <w:r>
              <w:rPr>
                <w:rFonts w:hint="default" w:hAnsi="宋体"/>
                <w:color w:val="auto"/>
                <w:sz w:val="24"/>
                <w:szCs w:val="24"/>
                <w:highlight w:val="none"/>
              </w:rPr>
              <w:t>候选人并列的，采购人是否委托评标委员会确定</w:t>
            </w:r>
            <w:r>
              <w:rPr>
                <w:rFonts w:hAnsi="宋体"/>
                <w:color w:val="auto"/>
                <w:sz w:val="24"/>
                <w:szCs w:val="24"/>
                <w:highlight w:val="none"/>
              </w:rPr>
              <w:t>成交人</w:t>
            </w:r>
            <w:r>
              <w:rPr>
                <w:rFonts w:hint="default" w:hAnsi="宋体"/>
                <w:color w:val="auto"/>
                <w:sz w:val="24"/>
                <w:szCs w:val="24"/>
                <w:highlight w:val="none"/>
              </w:rPr>
              <w:t>：</w:t>
            </w:r>
          </w:p>
          <w:p>
            <w:pPr>
              <w:pStyle w:val="23"/>
              <w:adjustRightInd w:val="0"/>
              <w:snapToGrid w:val="0"/>
              <w:spacing w:line="288" w:lineRule="auto"/>
              <w:rPr>
                <w:rFonts w:hint="default" w:hAnsi="宋体"/>
                <w:color w:val="auto"/>
                <w:sz w:val="24"/>
                <w:szCs w:val="24"/>
                <w:highlight w:val="none"/>
              </w:rPr>
            </w:pPr>
            <w:r>
              <w:rPr>
                <w:rFonts w:hAnsi="宋体"/>
                <w:b/>
                <w:color w:val="auto"/>
                <w:sz w:val="24"/>
                <w:szCs w:val="24"/>
                <w:highlight w:val="none"/>
              </w:rPr>
              <w:t>■</w:t>
            </w:r>
            <w:r>
              <w:rPr>
                <w:rFonts w:hint="default" w:hAnsi="宋体"/>
                <w:color w:val="auto"/>
                <w:sz w:val="24"/>
                <w:szCs w:val="24"/>
                <w:highlight w:val="none"/>
              </w:rPr>
              <w:t>否</w:t>
            </w:r>
          </w:p>
          <w:p>
            <w:pPr>
              <w:pStyle w:val="23"/>
              <w:adjustRightInd w:val="0"/>
              <w:snapToGrid w:val="0"/>
              <w:spacing w:line="288" w:lineRule="auto"/>
              <w:rPr>
                <w:rFonts w:hint="default" w:hAnsi="宋体"/>
                <w:color w:val="auto"/>
                <w:sz w:val="24"/>
                <w:szCs w:val="24"/>
                <w:highlight w:val="none"/>
              </w:rPr>
            </w:pPr>
            <w:r>
              <w:rPr>
                <w:rFonts w:hint="default" w:hAnsi="宋体"/>
                <w:color w:val="auto"/>
                <w:sz w:val="24"/>
                <w:szCs w:val="24"/>
                <w:highlight w:val="none"/>
              </w:rPr>
              <w:t>□是</w:t>
            </w:r>
          </w:p>
          <w:p>
            <w:pPr>
              <w:pStyle w:val="23"/>
              <w:adjustRightInd w:val="0"/>
              <w:snapToGrid w:val="0"/>
              <w:spacing w:line="288" w:lineRule="auto"/>
              <w:rPr>
                <w:rFonts w:hint="default" w:hAnsi="宋体"/>
                <w:color w:val="auto"/>
                <w:sz w:val="24"/>
                <w:szCs w:val="24"/>
                <w:highlight w:val="none"/>
              </w:rPr>
            </w:pPr>
            <w:r>
              <w:rPr>
                <w:rFonts w:hAnsi="宋体"/>
                <w:color w:val="auto"/>
                <w:sz w:val="24"/>
                <w:szCs w:val="24"/>
                <w:highlight w:val="none"/>
              </w:rPr>
              <w:t>成交</w:t>
            </w:r>
            <w:r>
              <w:rPr>
                <w:rFonts w:hint="default" w:hAnsi="宋体"/>
                <w:color w:val="auto"/>
                <w:sz w:val="24"/>
                <w:szCs w:val="24"/>
                <w:highlight w:val="none"/>
              </w:rPr>
              <w:t>候选人并列的，按照以下方式确定</w:t>
            </w:r>
            <w:r>
              <w:rPr>
                <w:rFonts w:hAnsi="宋体"/>
                <w:color w:val="auto"/>
                <w:sz w:val="24"/>
                <w:szCs w:val="24"/>
                <w:highlight w:val="none"/>
              </w:rPr>
              <w:t>成交人</w:t>
            </w:r>
            <w:r>
              <w:rPr>
                <w:rFonts w:hint="default" w:hAnsi="宋体"/>
                <w:color w:val="auto"/>
                <w:sz w:val="24"/>
                <w:szCs w:val="24"/>
                <w:highlight w:val="none"/>
              </w:rPr>
              <w:t>：</w:t>
            </w:r>
          </w:p>
          <w:p>
            <w:pPr>
              <w:pStyle w:val="23"/>
              <w:adjustRightInd w:val="0"/>
              <w:snapToGrid w:val="0"/>
              <w:spacing w:line="288" w:lineRule="auto"/>
              <w:rPr>
                <w:rFonts w:hint="default" w:hAnsi="宋体"/>
                <w:color w:val="auto"/>
                <w:sz w:val="24"/>
                <w:szCs w:val="24"/>
                <w:highlight w:val="none"/>
              </w:rPr>
            </w:pPr>
            <w:r>
              <w:rPr>
                <w:rFonts w:hAnsi="宋体"/>
                <w:b/>
                <w:color w:val="auto"/>
                <w:sz w:val="24"/>
                <w:highlight w:val="none"/>
              </w:rPr>
              <w:t>■</w:t>
            </w:r>
            <w:r>
              <w:rPr>
                <w:rFonts w:hint="default" w:hAnsi="宋体"/>
                <w:color w:val="auto"/>
                <w:sz w:val="24"/>
                <w:szCs w:val="24"/>
                <w:highlight w:val="none"/>
              </w:rPr>
              <w:t>得分且</w:t>
            </w:r>
            <w:r>
              <w:rPr>
                <w:rFonts w:hAnsi="宋体"/>
                <w:color w:val="auto"/>
                <w:sz w:val="24"/>
                <w:szCs w:val="24"/>
                <w:highlight w:val="none"/>
              </w:rPr>
              <w:t>响应</w:t>
            </w:r>
            <w:r>
              <w:rPr>
                <w:rFonts w:hint="default" w:hAnsi="宋体"/>
                <w:color w:val="auto"/>
                <w:sz w:val="24"/>
                <w:szCs w:val="24"/>
                <w:highlight w:val="none"/>
              </w:rPr>
              <w:t>报价均相同的，以</w:t>
            </w:r>
            <w:r>
              <w:rPr>
                <w:rFonts w:hAnsi="宋体"/>
                <w:color w:val="auto"/>
                <w:sz w:val="24"/>
                <w:szCs w:val="24"/>
                <w:highlight w:val="none"/>
                <w:u w:val="single"/>
              </w:rPr>
              <w:t>技术部分</w:t>
            </w:r>
            <w:r>
              <w:rPr>
                <w:rFonts w:hint="default" w:hAnsi="宋体"/>
                <w:color w:val="auto"/>
                <w:sz w:val="24"/>
                <w:szCs w:val="24"/>
                <w:highlight w:val="none"/>
              </w:rPr>
              <w:t>得分高者为</w:t>
            </w:r>
            <w:r>
              <w:rPr>
                <w:rFonts w:hAnsi="宋体"/>
                <w:color w:val="auto"/>
                <w:sz w:val="24"/>
                <w:szCs w:val="24"/>
                <w:highlight w:val="none"/>
              </w:rPr>
              <w:t>成交人</w:t>
            </w:r>
          </w:p>
          <w:p>
            <w:pPr>
              <w:spacing w:line="288" w:lineRule="auto"/>
              <w:jc w:val="left"/>
              <w:rPr>
                <w:rFonts w:ascii="宋体" w:hAnsi="宋体"/>
                <w:color w:val="auto"/>
                <w:sz w:val="24"/>
                <w:highlight w:val="none"/>
                <w:u w:val="single"/>
              </w:rPr>
            </w:pPr>
            <w:r>
              <w:rPr>
                <w:rFonts w:ascii="宋体" w:hAnsi="宋体"/>
                <w:color w:val="auto"/>
                <w:sz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25.5</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分包</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 xml:space="preserve">本项目的非主体、非关键性工作是否允许分包： </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不允许</w:t>
            </w:r>
          </w:p>
          <w:p>
            <w:pPr>
              <w:spacing w:line="288" w:lineRule="auto"/>
              <w:jc w:val="left"/>
              <w:rPr>
                <w:rFonts w:ascii="宋体" w:hAnsi="宋体"/>
                <w:color w:val="auto"/>
                <w:sz w:val="24"/>
                <w:highlight w:val="none"/>
              </w:rPr>
            </w:pPr>
            <w:r>
              <w:rPr>
                <w:rFonts w:ascii="宋体" w:hAnsi="宋体"/>
                <w:color w:val="auto"/>
                <w:sz w:val="24"/>
                <w:highlight w:val="none"/>
              </w:rPr>
              <w:t>□允许，具体要求：</w:t>
            </w:r>
          </w:p>
          <w:p>
            <w:pPr>
              <w:spacing w:line="288" w:lineRule="auto"/>
              <w:jc w:val="left"/>
              <w:rPr>
                <w:rFonts w:ascii="宋体" w:hAnsi="宋体"/>
                <w:color w:val="auto"/>
                <w:sz w:val="24"/>
                <w:highlight w:val="none"/>
              </w:rPr>
            </w:pPr>
            <w:r>
              <w:rPr>
                <w:rFonts w:ascii="宋体" w:hAnsi="宋体"/>
                <w:color w:val="auto"/>
                <w:sz w:val="24"/>
                <w:highlight w:val="none"/>
              </w:rPr>
              <w:t>（1）可以分包履行的具体内容：_____；</w:t>
            </w:r>
          </w:p>
          <w:p>
            <w:pPr>
              <w:spacing w:line="288" w:lineRule="auto"/>
              <w:jc w:val="left"/>
              <w:rPr>
                <w:rFonts w:ascii="宋体" w:hAnsi="宋体"/>
                <w:color w:val="auto"/>
                <w:sz w:val="24"/>
                <w:highlight w:val="none"/>
              </w:rPr>
            </w:pPr>
            <w:r>
              <w:rPr>
                <w:rFonts w:ascii="宋体" w:hAnsi="宋体"/>
                <w:color w:val="auto"/>
                <w:sz w:val="24"/>
                <w:highlight w:val="none"/>
              </w:rPr>
              <w:t>（2）允许分包的金额或者比例：_____；</w:t>
            </w:r>
          </w:p>
          <w:p>
            <w:pPr>
              <w:spacing w:line="288" w:lineRule="auto"/>
              <w:jc w:val="left"/>
              <w:rPr>
                <w:rFonts w:ascii="宋体" w:hAnsi="宋体"/>
                <w:color w:val="auto"/>
                <w:sz w:val="24"/>
                <w:highlight w:val="none"/>
                <w:u w:val="single"/>
              </w:rPr>
            </w:pPr>
            <w:r>
              <w:rPr>
                <w:rFonts w:ascii="宋体" w:hAnsi="宋体"/>
                <w:color w:val="auto"/>
                <w:sz w:val="24"/>
                <w:highlight w:val="none"/>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26.1.1</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询问</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26.3</w:t>
            </w:r>
          </w:p>
        </w:tc>
        <w:tc>
          <w:tcPr>
            <w:tcW w:w="1701" w:type="dxa"/>
            <w:vAlign w:val="center"/>
          </w:tcPr>
          <w:p>
            <w:pPr>
              <w:spacing w:line="288" w:lineRule="auto"/>
              <w:jc w:val="center"/>
              <w:rPr>
                <w:rFonts w:ascii="宋体" w:hAnsi="宋体"/>
                <w:color w:val="auto"/>
                <w:sz w:val="24"/>
                <w:highlight w:val="none"/>
              </w:rPr>
            </w:pPr>
            <w:r>
              <w:rPr>
                <w:rFonts w:ascii="宋体" w:hAnsi="宋体"/>
                <w:color w:val="auto"/>
                <w:sz w:val="24"/>
                <w:highlight w:val="none"/>
              </w:rPr>
              <w:t>联系方式</w:t>
            </w:r>
          </w:p>
        </w:tc>
        <w:tc>
          <w:tcPr>
            <w:tcW w:w="7540" w:type="dxa"/>
            <w:vAlign w:val="center"/>
          </w:tcPr>
          <w:p>
            <w:pPr>
              <w:spacing w:line="288" w:lineRule="auto"/>
              <w:jc w:val="left"/>
              <w:rPr>
                <w:rFonts w:ascii="宋体" w:hAnsi="宋体"/>
                <w:color w:val="auto"/>
                <w:sz w:val="24"/>
                <w:highlight w:val="none"/>
              </w:rPr>
            </w:pPr>
            <w:r>
              <w:rPr>
                <w:rFonts w:ascii="宋体" w:hAnsi="宋体"/>
                <w:color w:val="auto"/>
                <w:sz w:val="24"/>
                <w:highlight w:val="none"/>
              </w:rPr>
              <w:t>接收询问和质疑的联系方式</w:t>
            </w:r>
          </w:p>
          <w:p>
            <w:pPr>
              <w:jc w:val="left"/>
              <w:rPr>
                <w:color w:val="auto"/>
                <w:sz w:val="24"/>
                <w:highlight w:val="none"/>
              </w:rPr>
            </w:pPr>
            <w:r>
              <w:rPr>
                <w:color w:val="auto"/>
                <w:sz w:val="24"/>
                <w:highlight w:val="none"/>
              </w:rPr>
              <w:t>联系部门：</w:t>
            </w:r>
            <w:r>
              <w:rPr>
                <w:rFonts w:hint="eastAsia"/>
                <w:color w:val="auto"/>
                <w:sz w:val="24"/>
                <w:highlight w:val="none"/>
                <w:u w:val="single"/>
              </w:rPr>
              <w:t>北京明德致信咨询有限公司</w:t>
            </w:r>
            <w:r>
              <w:rPr>
                <w:color w:val="auto"/>
                <w:sz w:val="24"/>
                <w:highlight w:val="none"/>
              </w:rPr>
              <w:t>；</w:t>
            </w:r>
          </w:p>
          <w:p>
            <w:pPr>
              <w:jc w:val="left"/>
              <w:rPr>
                <w:color w:val="auto"/>
                <w:sz w:val="24"/>
                <w:highlight w:val="none"/>
              </w:rPr>
            </w:pPr>
            <w:r>
              <w:rPr>
                <w:color w:val="auto"/>
                <w:sz w:val="24"/>
                <w:highlight w:val="none"/>
              </w:rPr>
              <w:t>联系电话：</w:t>
            </w:r>
            <w:r>
              <w:rPr>
                <w:rFonts w:hint="eastAsia"/>
                <w:color w:val="auto"/>
                <w:sz w:val="24"/>
                <w:highlight w:val="none"/>
                <w:u w:val="single"/>
              </w:rPr>
              <w:t xml:space="preserve">82370045 </w:t>
            </w:r>
            <w:r>
              <w:rPr>
                <w:color w:val="auto"/>
                <w:sz w:val="24"/>
                <w:highlight w:val="none"/>
              </w:rPr>
              <w:t>；</w:t>
            </w:r>
          </w:p>
          <w:p>
            <w:pPr>
              <w:spacing w:line="288" w:lineRule="auto"/>
              <w:jc w:val="left"/>
              <w:rPr>
                <w:rFonts w:ascii="宋体" w:hAnsi="宋体"/>
                <w:color w:val="auto"/>
                <w:sz w:val="24"/>
                <w:highlight w:val="none"/>
              </w:rPr>
            </w:pPr>
            <w:r>
              <w:rPr>
                <w:color w:val="auto"/>
                <w:sz w:val="24"/>
                <w:highlight w:val="none"/>
              </w:rPr>
              <w:t>通讯地址：</w:t>
            </w:r>
            <w:r>
              <w:rPr>
                <w:rFonts w:hint="eastAsia"/>
                <w:color w:val="auto"/>
                <w:sz w:val="24"/>
                <w:highlight w:val="none"/>
                <w:u w:val="single"/>
              </w:rPr>
              <w:t>北京市海淀区学院路30号科大天工大厦B座1709</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auto"/>
                <w:sz w:val="24"/>
                <w:szCs w:val="24"/>
                <w:highlight w:val="none"/>
              </w:rPr>
            </w:pPr>
            <w:r>
              <w:rPr>
                <w:rFonts w:hint="default" w:hAnsi="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olor w:val="auto"/>
                <w:sz w:val="24"/>
                <w:highlight w:val="none"/>
              </w:rPr>
            </w:pPr>
            <w:r>
              <w:rPr>
                <w:rFonts w:ascii="宋体" w:hAnsi="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color w:val="auto"/>
                <w:sz w:val="24"/>
                <w:highlight w:val="none"/>
              </w:rPr>
            </w:pPr>
            <w:r>
              <w:rPr>
                <w:rFonts w:ascii="宋体" w:hAnsi="宋体"/>
                <w:color w:val="auto"/>
                <w:sz w:val="24"/>
                <w:highlight w:val="none"/>
              </w:rPr>
              <w:t>收费对象：</w:t>
            </w:r>
          </w:p>
          <w:p>
            <w:pPr>
              <w:spacing w:line="288" w:lineRule="auto"/>
              <w:jc w:val="left"/>
              <w:rPr>
                <w:rFonts w:ascii="宋体" w:hAnsi="宋体"/>
                <w:color w:val="auto"/>
                <w:sz w:val="24"/>
                <w:highlight w:val="none"/>
              </w:rPr>
            </w:pPr>
            <w:r>
              <w:rPr>
                <w:rFonts w:ascii="宋体" w:hAnsi="宋体"/>
                <w:color w:val="auto"/>
                <w:sz w:val="24"/>
                <w:highlight w:val="none"/>
              </w:rPr>
              <w:t>□采购人</w:t>
            </w:r>
          </w:p>
          <w:p>
            <w:pPr>
              <w:spacing w:line="288" w:lineRule="auto"/>
              <w:jc w:val="left"/>
              <w:rPr>
                <w:rFonts w:ascii="宋体" w:hAnsi="宋体"/>
                <w:color w:val="auto"/>
                <w:sz w:val="24"/>
                <w:highlight w:val="none"/>
              </w:rPr>
            </w:pPr>
            <w:r>
              <w:rPr>
                <w:rFonts w:ascii="宋体" w:hAnsi="宋体"/>
                <w:b/>
                <w:color w:val="auto"/>
                <w:sz w:val="24"/>
                <w:highlight w:val="none"/>
              </w:rPr>
              <w:t>■</w:t>
            </w:r>
            <w:r>
              <w:rPr>
                <w:rFonts w:hint="eastAsia" w:ascii="宋体" w:hAnsi="宋体"/>
                <w:color w:val="auto"/>
                <w:sz w:val="24"/>
                <w:highlight w:val="none"/>
              </w:rPr>
              <w:t>成交人</w:t>
            </w:r>
          </w:p>
          <w:p>
            <w:pPr>
              <w:spacing w:line="288" w:lineRule="auto"/>
              <w:jc w:val="left"/>
              <w:rPr>
                <w:rFonts w:ascii="宋体" w:hAnsi="宋体"/>
                <w:color w:val="auto"/>
                <w:sz w:val="24"/>
                <w:highlight w:val="none"/>
              </w:rPr>
            </w:pPr>
            <w:r>
              <w:rPr>
                <w:rFonts w:ascii="宋体" w:hAnsi="宋体"/>
                <w:color w:val="auto"/>
                <w:sz w:val="24"/>
                <w:highlight w:val="none"/>
              </w:rPr>
              <w:t>收费标准：</w:t>
            </w:r>
            <w:r>
              <w:rPr>
                <w:rFonts w:hint="eastAsia" w:ascii="宋体" w:hAnsi="宋体"/>
                <w:color w:val="auto"/>
                <w:sz w:val="24"/>
                <w:highlight w:val="none"/>
                <w:u w:val="single"/>
              </w:rPr>
              <w:t>参照《招标代理服务收费管理暂行办法》（计价格[2002]1980号）及《国家发展改革委办公厅关于招标代理服务收费有关问题的通知》（发改办价格[2003]857号）执行，按成交金额差额定率累进法计算</w:t>
            </w:r>
            <w:r>
              <w:rPr>
                <w:rFonts w:ascii="宋体" w:hAnsi="宋体"/>
                <w:color w:val="auto"/>
                <w:sz w:val="24"/>
                <w:highlight w:val="none"/>
              </w:rPr>
              <w:t>；</w:t>
            </w:r>
          </w:p>
          <w:p>
            <w:pPr>
              <w:spacing w:line="288" w:lineRule="auto"/>
              <w:jc w:val="left"/>
              <w:rPr>
                <w:rFonts w:ascii="宋体" w:hAnsi="宋体"/>
                <w:color w:val="auto"/>
                <w:sz w:val="24"/>
                <w:highlight w:val="none"/>
              </w:rPr>
            </w:pPr>
            <w:r>
              <w:rPr>
                <w:rFonts w:ascii="宋体" w:hAnsi="宋体"/>
                <w:color w:val="auto"/>
                <w:sz w:val="24"/>
                <w:highlight w:val="none"/>
              </w:rPr>
              <w:t>缴纳时间：</w:t>
            </w:r>
            <w:r>
              <w:rPr>
                <w:rFonts w:hint="eastAsia" w:ascii="宋体" w:hAnsi="宋体"/>
                <w:color w:val="auto"/>
                <w:sz w:val="24"/>
                <w:highlight w:val="none"/>
                <w:u w:val="single"/>
              </w:rPr>
              <w:t>成交人在领取成交通知书时须向采购代理机构缴纳成交服务费</w:t>
            </w:r>
            <w:r>
              <w:rPr>
                <w:rFonts w:ascii="宋体" w:hAnsi="宋体"/>
                <w:color w:val="auto"/>
                <w:sz w:val="24"/>
                <w:highlight w:val="none"/>
              </w:rPr>
              <w:t>。</w:t>
            </w:r>
          </w:p>
        </w:tc>
      </w:tr>
    </w:tbl>
    <w:p>
      <w:pPr>
        <w:tabs>
          <w:tab w:val="left" w:pos="5580"/>
        </w:tabs>
        <w:adjustRightInd w:val="0"/>
        <w:spacing w:line="360" w:lineRule="auto"/>
        <w:jc w:val="distribute"/>
        <w:rPr>
          <w:rFonts w:ascii="宋体" w:hAnsi="宋体"/>
          <w:color w:val="auto"/>
          <w:sz w:val="24"/>
          <w:highlight w:val="none"/>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color w:val="auto"/>
          <w:sz w:val="28"/>
          <w:szCs w:val="28"/>
          <w:highlight w:val="none"/>
        </w:rPr>
      </w:pPr>
      <w:bookmarkStart w:id="79" w:name="_Toc142311019"/>
      <w:bookmarkStart w:id="80" w:name="_Toc195842882"/>
      <w:bookmarkStart w:id="81" w:name="_Toc305158785"/>
      <w:bookmarkStart w:id="82" w:name="_Toc150774722"/>
      <w:bookmarkStart w:id="83" w:name="_Toc264969207"/>
      <w:bookmarkStart w:id="84" w:name="_Toc226337213"/>
      <w:bookmarkStart w:id="85" w:name="_Toc353825542"/>
      <w:bookmarkStart w:id="86" w:name="_Toc226965790"/>
      <w:bookmarkStart w:id="87" w:name="_Toc150480755"/>
      <w:bookmarkStart w:id="88" w:name="_Toc353873932"/>
      <w:bookmarkStart w:id="89" w:name="_Toc305158859"/>
      <w:bookmarkStart w:id="90" w:name="_Toc127151517"/>
      <w:bookmarkStart w:id="91" w:name="_Toc265228355"/>
      <w:bookmarkStart w:id="92" w:name="_Toc353873662"/>
      <w:r>
        <w:rPr>
          <w:rFonts w:hint="eastAsia" w:ascii="宋体" w:hAnsi="宋体"/>
          <w:b/>
          <w:color w:val="auto"/>
          <w:sz w:val="28"/>
          <w:szCs w:val="28"/>
          <w:highlight w:val="none"/>
        </w:rPr>
        <w:t>供应商</w:t>
      </w:r>
      <w:r>
        <w:rPr>
          <w:rFonts w:ascii="宋体" w:hAnsi="宋体"/>
          <w:b/>
          <w:color w:val="auto"/>
          <w:sz w:val="28"/>
          <w:szCs w:val="28"/>
          <w:highlight w:val="none"/>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color w:val="auto"/>
          <w:sz w:val="28"/>
          <w:highlight w:val="none"/>
        </w:rPr>
      </w:pPr>
      <w:bookmarkStart w:id="93" w:name="_Toc150774618"/>
      <w:bookmarkStart w:id="94" w:name="_Toc151193760"/>
      <w:bookmarkStart w:id="95" w:name="_Toc151193616"/>
      <w:bookmarkStart w:id="96" w:name="_Toc151193688"/>
      <w:bookmarkStart w:id="97" w:name="_Toc264969208"/>
      <w:bookmarkStart w:id="98" w:name="_Toc265228356"/>
      <w:bookmarkStart w:id="99" w:name="_Toc226337214"/>
      <w:bookmarkStart w:id="100" w:name="_Toc150480756"/>
      <w:bookmarkStart w:id="101" w:name="_Toc520356143"/>
      <w:bookmarkStart w:id="102" w:name="_Toc195842883"/>
      <w:bookmarkStart w:id="103" w:name="_Toc150774723"/>
      <w:bookmarkStart w:id="104" w:name="_Toc305158786"/>
      <w:bookmarkStart w:id="105" w:name="_Toc127151518"/>
      <w:bookmarkStart w:id="106" w:name="_Toc226309762"/>
      <w:bookmarkStart w:id="107" w:name="_Toc305158860"/>
      <w:bookmarkStart w:id="108" w:name="_Toc150509269"/>
      <w:bookmarkStart w:id="109" w:name="_Toc151193906"/>
      <w:bookmarkStart w:id="110" w:name="_Toc142311020"/>
      <w:bookmarkStart w:id="111" w:name="_Toc226965791"/>
      <w:bookmarkStart w:id="112" w:name="_Toc151193832"/>
      <w:bookmarkStart w:id="113" w:name="_Toc226965708"/>
      <w:bookmarkStart w:id="114" w:name="_Toc151190145"/>
      <w:r>
        <w:rPr>
          <w:rFonts w:ascii="宋体" w:hAnsi="宋体" w:eastAsia="宋体"/>
          <w:color w:val="auto"/>
          <w:sz w:val="28"/>
          <w:highlight w:val="none"/>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color w:val="auto"/>
          <w:sz w:val="24"/>
          <w:highlight w:val="none"/>
        </w:rPr>
      </w:pPr>
      <w:bookmarkStart w:id="115" w:name="_Toc305158787"/>
      <w:bookmarkStart w:id="116" w:name="_Toc265228357"/>
      <w:bookmarkStart w:id="117" w:name="_Toc305158861"/>
      <w:bookmarkStart w:id="118" w:name="_Toc264969209"/>
      <w:r>
        <w:rPr>
          <w:rFonts w:ascii="宋体" w:hAnsi="宋体"/>
          <w:color w:val="auto"/>
          <w:sz w:val="24"/>
          <w:highlight w:val="none"/>
        </w:rPr>
        <w:t>采购人、采购代理机构、</w:t>
      </w:r>
      <w:bookmarkEnd w:id="115"/>
      <w:bookmarkEnd w:id="116"/>
      <w:bookmarkEnd w:id="117"/>
      <w:bookmarkEnd w:id="118"/>
      <w:r>
        <w:rPr>
          <w:rFonts w:hint="eastAsia" w:ascii="宋体" w:hAnsi="宋体"/>
          <w:color w:val="auto"/>
          <w:sz w:val="24"/>
          <w:highlight w:val="none"/>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w:t>
      </w:r>
      <w:r>
        <w:rPr>
          <w:rFonts w:hint="eastAsia" w:ascii="宋体" w:hAnsi="宋体"/>
          <w:color w:val="auto"/>
          <w:sz w:val="24"/>
          <w:highlight w:val="none"/>
        </w:rPr>
        <w:t>比选邀请</w:t>
      </w:r>
      <w:r>
        <w:rPr>
          <w:rFonts w:ascii="宋体" w:hAnsi="宋体"/>
          <w:color w:val="auto"/>
          <w:sz w:val="24"/>
          <w:highlight w:val="none"/>
        </w:rPr>
        <w:t>》。</w:t>
      </w:r>
    </w:p>
    <w:p>
      <w:pPr>
        <w:numPr>
          <w:ilvl w:val="1"/>
          <w:numId w:val="8"/>
        </w:numPr>
        <w:tabs>
          <w:tab w:val="left" w:pos="1080"/>
          <w:tab w:val="left" w:pos="2014"/>
          <w:tab w:val="left" w:pos="5521"/>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（也称</w:t>
      </w:r>
      <w:r>
        <w:rPr>
          <w:rFonts w:hint="eastAsia" w:ascii="宋体" w:hAnsi="宋体"/>
          <w:color w:val="auto"/>
          <w:sz w:val="24"/>
          <w:highlight w:val="none"/>
        </w:rPr>
        <w:t>“供应商”、“</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color w:val="auto"/>
          <w:sz w:val="24"/>
          <w:highlight w:val="none"/>
        </w:rPr>
      </w:pPr>
      <w:bookmarkStart w:id="119" w:name="_Toc164351614"/>
      <w:bookmarkStart w:id="120" w:name="_Toc226965793"/>
      <w:bookmarkStart w:id="121" w:name="_Toc127151520"/>
      <w:bookmarkStart w:id="122" w:name="_Toc164608634"/>
      <w:bookmarkStart w:id="123" w:name="_Toc195842885"/>
      <w:bookmarkStart w:id="124" w:name="_Toc151193618"/>
      <w:bookmarkStart w:id="125" w:name="_Toc226337216"/>
      <w:bookmarkStart w:id="126" w:name="_Toc164229361"/>
      <w:bookmarkStart w:id="127" w:name="_Toc264969210"/>
      <w:bookmarkStart w:id="128" w:name="_Toc150480758"/>
      <w:bookmarkStart w:id="129" w:name="_Toc164608789"/>
      <w:bookmarkStart w:id="130" w:name="_Toc151190147"/>
      <w:bookmarkStart w:id="131" w:name="_Toc226965710"/>
      <w:bookmarkStart w:id="132" w:name="_Toc151193762"/>
      <w:bookmarkStart w:id="133" w:name="_Toc150774620"/>
      <w:bookmarkStart w:id="134" w:name="_Toc305158862"/>
      <w:bookmarkStart w:id="135" w:name="_Toc150774725"/>
      <w:bookmarkStart w:id="136" w:name="_Toc149720813"/>
      <w:bookmarkStart w:id="137" w:name="_Toc151193908"/>
      <w:bookmarkStart w:id="138" w:name="_Toc305158788"/>
      <w:bookmarkStart w:id="139" w:name="_Toc164229215"/>
      <w:bookmarkStart w:id="140" w:name="_Toc226309764"/>
      <w:bookmarkStart w:id="141" w:name="_Toc151193834"/>
      <w:bookmarkStart w:id="142" w:name="_Toc151193690"/>
      <w:bookmarkStart w:id="143" w:name="_Toc150509271"/>
      <w:bookmarkStart w:id="144" w:name="_Toc127151721"/>
      <w:bookmarkStart w:id="145" w:name="_Toc127161434"/>
      <w:bookmarkStart w:id="146" w:name="_Toc265228358"/>
      <w:bookmarkStart w:id="147" w:name="_Toc142311022"/>
      <w:r>
        <w:rPr>
          <w:rFonts w:ascii="宋体" w:hAnsi="宋体"/>
          <w:color w:val="auto"/>
          <w:sz w:val="24"/>
          <w:highlight w:val="none"/>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color w:val="auto"/>
          <w:sz w:val="24"/>
          <w:highlight w:val="none"/>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资金来源为财政性资金</w:t>
      </w:r>
      <w:r>
        <w:rPr>
          <w:rFonts w:hint="eastAsia" w:ascii="宋体" w:hAnsi="宋体"/>
          <w:color w:val="auto"/>
          <w:sz w:val="24"/>
          <w:highlight w:val="none"/>
        </w:rPr>
        <w:t>，项目预算未达政府采购限额</w:t>
      </w:r>
      <w:r>
        <w:rPr>
          <w:rFonts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项目属性见《</w:t>
      </w:r>
      <w:r>
        <w:rPr>
          <w:rFonts w:hint="eastAsia" w:ascii="宋体" w:hAnsi="宋体"/>
          <w:color w:val="auto"/>
          <w:sz w:val="24"/>
          <w:highlight w:val="none"/>
        </w:rPr>
        <w:t>供应商</w:t>
      </w:r>
      <w:r>
        <w:rPr>
          <w:rFonts w:ascii="宋体" w:hAnsi="宋体"/>
          <w:color w:val="auto"/>
          <w:sz w:val="24"/>
          <w:highlight w:val="none"/>
        </w:rPr>
        <w:t>须知资料表》。</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是否属于科研仪器设备采购见《</w:t>
      </w:r>
      <w:r>
        <w:rPr>
          <w:rFonts w:hint="eastAsia" w:ascii="宋体" w:hAnsi="宋体"/>
          <w:color w:val="auto"/>
          <w:sz w:val="24"/>
          <w:highlight w:val="none"/>
        </w:rPr>
        <w:t>供应商</w:t>
      </w:r>
      <w:r>
        <w:rPr>
          <w:rFonts w:ascii="宋体" w:hAnsi="宋体"/>
          <w:color w:val="auto"/>
          <w:sz w:val="24"/>
          <w:highlight w:val="none"/>
        </w:rPr>
        <w:t>须知资料表》。</w:t>
      </w:r>
    </w:p>
    <w:p>
      <w:pPr>
        <w:numPr>
          <w:ilvl w:val="1"/>
          <w:numId w:val="8"/>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核心产品见《</w:t>
      </w:r>
      <w:r>
        <w:rPr>
          <w:rFonts w:hint="eastAsia" w:ascii="宋体" w:hAnsi="宋体"/>
          <w:color w:val="auto"/>
          <w:sz w:val="24"/>
          <w:highlight w:val="none"/>
        </w:rPr>
        <w:t>供应商</w:t>
      </w:r>
      <w:r>
        <w:rPr>
          <w:rFonts w:ascii="宋体" w:hAnsi="宋体"/>
          <w:color w:val="auto"/>
          <w:sz w:val="24"/>
          <w:highlight w:val="none"/>
        </w:rPr>
        <w:t>须知资料表》。</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现场考察、</w:t>
      </w:r>
      <w:r>
        <w:rPr>
          <w:rFonts w:hint="eastAsia" w:ascii="宋体" w:hAnsi="宋体"/>
          <w:color w:val="auto"/>
          <w:sz w:val="24"/>
          <w:highlight w:val="none"/>
        </w:rPr>
        <w:t>开选</w:t>
      </w:r>
      <w:r>
        <w:rPr>
          <w:rFonts w:ascii="宋体" w:hAnsi="宋体"/>
          <w:color w:val="auto"/>
          <w:sz w:val="24"/>
          <w:highlight w:val="none"/>
        </w:rPr>
        <w:t>前答疑会</w:t>
      </w:r>
    </w:p>
    <w:p>
      <w:pPr>
        <w:numPr>
          <w:ilvl w:val="1"/>
          <w:numId w:val="8"/>
        </w:numPr>
        <w:tabs>
          <w:tab w:val="left" w:pos="1080"/>
          <w:tab w:val="left" w:pos="2014"/>
        </w:tabs>
        <w:snapToGrid w:val="0"/>
        <w:spacing w:line="360" w:lineRule="auto"/>
        <w:ind w:left="1080" w:hanging="720"/>
        <w:rPr>
          <w:rFonts w:ascii="宋体" w:hAnsi="宋体"/>
          <w:color w:val="auto"/>
          <w:sz w:val="28"/>
          <w:highlight w:val="none"/>
        </w:rPr>
      </w:pPr>
      <w:r>
        <w:rPr>
          <w:rFonts w:ascii="宋体" w:hAnsi="宋体"/>
          <w:color w:val="auto"/>
          <w:sz w:val="24"/>
          <w:highlight w:val="none"/>
        </w:rPr>
        <w:t>若《</w:t>
      </w:r>
      <w:r>
        <w:rPr>
          <w:rFonts w:hint="eastAsia" w:ascii="宋体" w:hAnsi="宋体"/>
          <w:color w:val="auto"/>
          <w:sz w:val="24"/>
          <w:highlight w:val="none"/>
        </w:rPr>
        <w:t>供应商</w:t>
      </w:r>
      <w:r>
        <w:rPr>
          <w:rFonts w:ascii="宋体" w:hAnsi="宋体"/>
          <w:color w:val="auto"/>
          <w:sz w:val="24"/>
          <w:highlight w:val="none"/>
        </w:rPr>
        <w:t>须知资料表》中规定了组织现场考察、召开</w:t>
      </w:r>
      <w:r>
        <w:rPr>
          <w:rFonts w:hint="eastAsia" w:ascii="宋体" w:hAnsi="宋体"/>
          <w:color w:val="auto"/>
          <w:sz w:val="24"/>
          <w:highlight w:val="none"/>
        </w:rPr>
        <w:t>开选</w:t>
      </w:r>
      <w:r>
        <w:rPr>
          <w:rFonts w:ascii="宋体" w:hAnsi="宋体"/>
          <w:color w:val="auto"/>
          <w:sz w:val="24"/>
          <w:highlight w:val="none"/>
        </w:rPr>
        <w:t>前答疑会，则</w:t>
      </w:r>
      <w:r>
        <w:rPr>
          <w:rFonts w:hint="eastAsia" w:ascii="宋体" w:hAnsi="宋体"/>
          <w:color w:val="auto"/>
          <w:sz w:val="24"/>
          <w:highlight w:val="none"/>
        </w:rPr>
        <w:t>供应商</w:t>
      </w:r>
      <w:r>
        <w:rPr>
          <w:rFonts w:ascii="宋体" w:hAnsi="宋体"/>
          <w:color w:val="auto"/>
          <w:sz w:val="24"/>
          <w:highlight w:val="none"/>
        </w:rPr>
        <w:t>应按要求在规定的时间和地点参加。</w:t>
      </w:r>
      <w:bookmarkStart w:id="148" w:name="_Toc264969212"/>
      <w:bookmarkStart w:id="149" w:name="_Toc151193910"/>
      <w:bookmarkStart w:id="150" w:name="_Toc150480760"/>
      <w:bookmarkStart w:id="151" w:name="_Toc226965795"/>
      <w:bookmarkStart w:id="152" w:name="_Toc150774727"/>
      <w:bookmarkStart w:id="153" w:name="_Toc151193764"/>
      <w:bookmarkStart w:id="154" w:name="_Toc151193620"/>
      <w:bookmarkStart w:id="155" w:name="_Toc520356146"/>
      <w:bookmarkStart w:id="156" w:name="_Toc151193836"/>
      <w:bookmarkStart w:id="157" w:name="_Toc151193692"/>
      <w:bookmarkStart w:id="158" w:name="_Toc226309766"/>
      <w:bookmarkStart w:id="159" w:name="_Toc305158864"/>
      <w:bookmarkStart w:id="160" w:name="_Toc226965712"/>
      <w:bookmarkStart w:id="161" w:name="_Toc150774622"/>
      <w:bookmarkStart w:id="162" w:name="_Toc150509273"/>
      <w:bookmarkStart w:id="163" w:name="_Toc265228360"/>
      <w:bookmarkStart w:id="164" w:name="_Toc226337218"/>
      <w:bookmarkStart w:id="165" w:name="_Toc142311024"/>
      <w:bookmarkStart w:id="166" w:name="_Toc127151522"/>
      <w:bookmarkStart w:id="167" w:name="_Toc305158790"/>
      <w:bookmarkStart w:id="168" w:name="_Toc151190149"/>
      <w:bookmarkStart w:id="169" w:name="_Toc195842887"/>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由于未参加现场考察或</w:t>
      </w:r>
      <w:r>
        <w:rPr>
          <w:rFonts w:hint="eastAsia" w:ascii="宋体" w:hAnsi="宋体"/>
          <w:color w:val="auto"/>
          <w:sz w:val="24"/>
          <w:highlight w:val="none"/>
        </w:rPr>
        <w:t>开选</w:t>
      </w:r>
      <w:r>
        <w:rPr>
          <w:rFonts w:ascii="宋体" w:hAnsi="宋体"/>
          <w:color w:val="auto"/>
          <w:sz w:val="24"/>
          <w:highlight w:val="none"/>
        </w:rPr>
        <w:t>前答疑会而导致对项目实际情况不了解，影响</w:t>
      </w:r>
      <w:r>
        <w:rPr>
          <w:rFonts w:hint="eastAsia" w:ascii="宋体" w:hAnsi="宋体"/>
          <w:color w:val="auto"/>
          <w:sz w:val="24"/>
          <w:highlight w:val="none"/>
        </w:rPr>
        <w:t>响应文件</w:t>
      </w:r>
      <w:r>
        <w:rPr>
          <w:rFonts w:ascii="宋体" w:hAnsi="宋体"/>
          <w:color w:val="auto"/>
          <w:sz w:val="24"/>
          <w:highlight w:val="none"/>
        </w:rPr>
        <w:t>编制、</w:t>
      </w:r>
      <w:r>
        <w:rPr>
          <w:rFonts w:hint="eastAsia" w:ascii="宋体" w:hAnsi="宋体"/>
          <w:color w:val="auto"/>
          <w:sz w:val="24"/>
          <w:highlight w:val="none"/>
        </w:rPr>
        <w:t>响应</w:t>
      </w:r>
      <w:r>
        <w:rPr>
          <w:rFonts w:ascii="宋体" w:hAnsi="宋体"/>
          <w:color w:val="auto"/>
          <w:sz w:val="24"/>
          <w:highlight w:val="none"/>
        </w:rPr>
        <w:t>报价准确性、综合因素响应不全面等问题的，由</w:t>
      </w:r>
      <w:r>
        <w:rPr>
          <w:rFonts w:hint="eastAsia" w:ascii="宋体" w:hAnsi="宋体"/>
          <w:color w:val="auto"/>
          <w:sz w:val="24"/>
          <w:highlight w:val="none"/>
        </w:rPr>
        <w:t>供应商</w:t>
      </w:r>
      <w:r>
        <w:rPr>
          <w:rFonts w:ascii="宋体" w:hAnsi="宋体"/>
          <w:color w:val="auto"/>
          <w:sz w:val="24"/>
          <w:highlight w:val="none"/>
        </w:rPr>
        <w:t>自行承担不利评审后果。</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样品</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本项目是否要求</w:t>
      </w:r>
      <w:r>
        <w:rPr>
          <w:rFonts w:hint="eastAsia" w:ascii="宋体" w:hAnsi="宋体"/>
          <w:color w:val="auto"/>
          <w:sz w:val="24"/>
          <w:highlight w:val="none"/>
        </w:rPr>
        <w:t>供应商</w:t>
      </w:r>
      <w:r>
        <w:rPr>
          <w:rFonts w:ascii="宋体" w:hAnsi="宋体"/>
          <w:color w:val="auto"/>
          <w:sz w:val="24"/>
          <w:highlight w:val="none"/>
        </w:rPr>
        <w:t>提供样品，以及样品制作的标准和要求、是否需要随样品提交相关检测报告、样品的递交与退还等要求见《</w:t>
      </w:r>
      <w:r>
        <w:rPr>
          <w:rFonts w:hint="eastAsia" w:ascii="宋体" w:hAnsi="宋体"/>
          <w:color w:val="auto"/>
          <w:sz w:val="24"/>
          <w:highlight w:val="none"/>
        </w:rPr>
        <w:t>供应商</w:t>
      </w:r>
      <w:r>
        <w:rPr>
          <w:rFonts w:ascii="宋体" w:hAnsi="宋体"/>
          <w:color w:val="auto"/>
          <w:sz w:val="24"/>
          <w:highlight w:val="none"/>
        </w:rPr>
        <w:t>须知资料表》</w:t>
      </w:r>
      <w:r>
        <w:rPr>
          <w:rFonts w:hint="eastAsia"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进口产品</w:t>
      </w:r>
    </w:p>
    <w:p>
      <w:pPr>
        <w:numPr>
          <w:ilvl w:val="2"/>
          <w:numId w:val="8"/>
        </w:numPr>
        <w:tabs>
          <w:tab w:val="left" w:pos="2014"/>
        </w:tabs>
        <w:snapToGrid w:val="0"/>
        <w:spacing w:line="360" w:lineRule="auto"/>
        <w:rPr>
          <w:rFonts w:ascii="宋体" w:hAnsi="宋体"/>
          <w:color w:val="auto"/>
          <w:sz w:val="24"/>
          <w:highlight w:val="none"/>
        </w:rPr>
      </w:pPr>
      <w:r>
        <w:rPr>
          <w:rFonts w:ascii="宋体" w:hAnsi="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color w:val="auto"/>
          <w:sz w:val="24"/>
          <w:highlight w:val="none"/>
        </w:rPr>
      </w:pPr>
      <w:r>
        <w:rPr>
          <w:rFonts w:ascii="宋体" w:hAnsi="宋体"/>
          <w:color w:val="auto"/>
          <w:sz w:val="24"/>
          <w:highlight w:val="none"/>
        </w:rPr>
        <w:t>本项目是否接受进口产品见</w:t>
      </w:r>
      <w:r>
        <w:rPr>
          <w:rFonts w:hint="eastAsia" w:ascii="宋体" w:hAnsi="宋体"/>
          <w:color w:val="auto"/>
          <w:sz w:val="24"/>
          <w:highlight w:val="none"/>
        </w:rPr>
        <w:t>第四章《采购需求》</w:t>
      </w:r>
      <w:r>
        <w:rPr>
          <w:rFonts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中小企业、监狱企业及残疾人福利性单位</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中小企业定义：</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供应商提供的货物、工程或者服务符合下列情形的，享受中小企业扶持政策：</w:t>
      </w:r>
    </w:p>
    <w:p>
      <w:pPr>
        <w:tabs>
          <w:tab w:val="left" w:pos="1980"/>
        </w:tabs>
        <w:snapToGrid w:val="0"/>
        <w:spacing w:line="360" w:lineRule="auto"/>
        <w:ind w:left="2887"/>
        <w:rPr>
          <w:rFonts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87"/>
        <w:rPr>
          <w:rFonts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auto"/>
          <w:sz w:val="24"/>
          <w:highlight w:val="none"/>
        </w:rPr>
      </w:pP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本项目是否专门面向中小企业预留采购份额见第一章《</w:t>
      </w:r>
      <w:r>
        <w:rPr>
          <w:rFonts w:hint="eastAsia" w:ascii="宋体" w:hAnsi="宋体"/>
          <w:color w:val="auto"/>
          <w:sz w:val="24"/>
          <w:highlight w:val="none"/>
        </w:rPr>
        <w:t>比选邀请</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采购标的对应的中小企业划分标准所属行业见《</w:t>
      </w:r>
      <w:r>
        <w:rPr>
          <w:rFonts w:hint="eastAsia" w:ascii="宋体" w:hAnsi="宋体"/>
          <w:color w:val="auto"/>
          <w:sz w:val="24"/>
          <w:highlight w:val="none"/>
        </w:rPr>
        <w:t>供应商</w:t>
      </w:r>
      <w:r>
        <w:rPr>
          <w:rFonts w:ascii="宋体" w:hAnsi="宋体"/>
          <w:color w:val="auto"/>
          <w:sz w:val="24"/>
          <w:highlight w:val="none"/>
        </w:rPr>
        <w:t>须知资料表》。</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政府采购节能产品、环境标志产品</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如本项目采购产品属于实施政府强制采购品目清单范围的节能产品，则</w:t>
      </w:r>
      <w:r>
        <w:rPr>
          <w:rFonts w:hint="eastAsia" w:ascii="宋体" w:hAnsi="宋体"/>
          <w:color w:val="auto"/>
          <w:sz w:val="24"/>
          <w:highlight w:val="none"/>
        </w:rPr>
        <w:t>供应商</w:t>
      </w:r>
      <w:r>
        <w:rPr>
          <w:rFonts w:ascii="宋体" w:hAnsi="宋体"/>
          <w:color w:val="auto"/>
          <w:sz w:val="24"/>
          <w:highlight w:val="none"/>
        </w:rPr>
        <w:t>所报产品必须获得国家确定的认证机构出具的、处于有效期之内的节能产品认证证书，</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支持乡村产业振兴管理</w:t>
      </w:r>
    </w:p>
    <w:p>
      <w:pPr>
        <w:numPr>
          <w:ilvl w:val="2"/>
          <w:numId w:val="8"/>
        </w:numPr>
        <w:tabs>
          <w:tab w:val="left" w:pos="2014"/>
        </w:tabs>
        <w:snapToGrid w:val="0"/>
        <w:spacing w:line="360" w:lineRule="auto"/>
        <w:rPr>
          <w:rFonts w:ascii="宋体" w:hAnsi="宋体"/>
          <w:color w:val="auto"/>
          <w:sz w:val="24"/>
          <w:highlight w:val="none"/>
        </w:rPr>
      </w:pPr>
      <w:r>
        <w:rPr>
          <w:rFonts w:ascii="宋体" w:hAnsi="宋体"/>
          <w:color w:val="auto"/>
          <w:sz w:val="24"/>
          <w:highlight w:val="none"/>
        </w:rPr>
        <w:t>为落实《关于运用政府采购政策支持乡村产业振兴的通知》（财库〔2021〕19号）有关要求，做好支持脱贫攻坚工作，本项目采购活动中对于支持乡村振兴管理的相关要求见</w:t>
      </w:r>
      <w:r>
        <w:rPr>
          <w:rFonts w:hint="eastAsia" w:ascii="宋体" w:hAnsi="宋体"/>
          <w:color w:val="auto"/>
          <w:sz w:val="24"/>
          <w:highlight w:val="none"/>
        </w:rPr>
        <w:t>第四章《采购需求》</w:t>
      </w:r>
      <w:r>
        <w:rPr>
          <w:rFonts w:ascii="宋体" w:hAnsi="宋体"/>
          <w:color w:val="auto"/>
          <w:sz w:val="24"/>
          <w:highlight w:val="none"/>
        </w:rPr>
        <w:t>（如涉及）。</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正版软件</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信息安全产品</w:t>
      </w:r>
    </w:p>
    <w:p>
      <w:pPr>
        <w:numPr>
          <w:ilvl w:val="2"/>
          <w:numId w:val="8"/>
        </w:numPr>
        <w:tabs>
          <w:tab w:val="left" w:pos="2014"/>
        </w:tabs>
        <w:snapToGrid w:val="0"/>
        <w:spacing w:line="360" w:lineRule="auto"/>
        <w:rPr>
          <w:rFonts w:ascii="宋体" w:hAnsi="宋体"/>
          <w:color w:val="auto"/>
          <w:sz w:val="24"/>
          <w:highlight w:val="none"/>
        </w:rPr>
      </w:pPr>
      <w:r>
        <w:rPr>
          <w:rFonts w:ascii="宋体" w:hAnsi="宋体"/>
          <w:color w:val="auto"/>
          <w:sz w:val="24"/>
          <w:highlight w:val="none"/>
        </w:rPr>
        <w:t>所投产品属于《关于调整信息安全产品强制性认证实施要求的公告》（2009 年第33 号）范围的，采购经国家认证的信息安全产品，</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sz w:val="24"/>
          <w:highlight w:val="none"/>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推广使用低挥发性有机化合物（VOCs）</w:t>
      </w:r>
    </w:p>
    <w:p>
      <w:pPr>
        <w:numPr>
          <w:ilvl w:val="2"/>
          <w:numId w:val="8"/>
        </w:numPr>
        <w:tabs>
          <w:tab w:val="left" w:pos="2014"/>
        </w:tabs>
        <w:snapToGrid w:val="0"/>
        <w:spacing w:line="360" w:lineRule="auto"/>
        <w:rPr>
          <w:rFonts w:ascii="宋体" w:hAnsi="宋体"/>
          <w:color w:val="auto"/>
          <w:sz w:val="24"/>
          <w:highlight w:val="none"/>
        </w:rPr>
      </w:pPr>
      <w:r>
        <w:rPr>
          <w:rFonts w:ascii="宋体" w:hAnsi="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color w:val="auto"/>
          <w:sz w:val="24"/>
          <w:highlight w:val="none"/>
        </w:rPr>
        <w:t>第四章《采购需求》</w:t>
      </w:r>
      <w:r>
        <w:rPr>
          <w:rFonts w:ascii="宋体" w:hAnsi="宋体"/>
          <w:color w:val="auto"/>
          <w:sz w:val="24"/>
          <w:highlight w:val="none"/>
        </w:rPr>
        <w:t>），</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sz w:val="24"/>
          <w:highlight w:val="none"/>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响应</w:t>
      </w:r>
      <w:r>
        <w:rPr>
          <w:rFonts w:ascii="宋体" w:hAnsi="宋体"/>
          <w:color w:val="auto"/>
          <w:sz w:val="24"/>
          <w:highlight w:val="none"/>
        </w:rPr>
        <w:t>费用</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应自行承担所有与准备和参加</w:t>
      </w:r>
      <w:r>
        <w:rPr>
          <w:rFonts w:hint="eastAsia" w:ascii="宋体" w:hAnsi="宋体"/>
          <w:color w:val="auto"/>
          <w:sz w:val="24"/>
          <w:highlight w:val="none"/>
        </w:rPr>
        <w:t>响应</w:t>
      </w:r>
      <w:r>
        <w:rPr>
          <w:rFonts w:ascii="宋体" w:hAnsi="宋体"/>
          <w:color w:val="auto"/>
          <w:sz w:val="24"/>
          <w:highlight w:val="none"/>
        </w:rPr>
        <w:t>有关的费用，无论</w:t>
      </w:r>
      <w:r>
        <w:rPr>
          <w:rFonts w:hint="eastAsia" w:ascii="宋体" w:hAnsi="宋体"/>
          <w:color w:val="auto"/>
          <w:sz w:val="24"/>
          <w:highlight w:val="none"/>
        </w:rPr>
        <w:t>响应</w:t>
      </w:r>
      <w:r>
        <w:rPr>
          <w:rFonts w:ascii="宋体" w:hAnsi="宋体"/>
          <w:color w:val="auto"/>
          <w:sz w:val="24"/>
          <w:highlight w:val="none"/>
        </w:rPr>
        <w:t>的结果如何，采购人或采购代理机构在任何情况下均无承担这些费用的义务和责任。</w:t>
      </w:r>
    </w:p>
    <w:p>
      <w:pPr>
        <w:pStyle w:val="5"/>
        <w:spacing w:before="0" w:line="360" w:lineRule="auto"/>
        <w:rPr>
          <w:rFonts w:ascii="宋体" w:hAnsi="宋体" w:eastAsia="宋体"/>
          <w:color w:val="auto"/>
          <w:sz w:val="28"/>
          <w:highlight w:val="none"/>
        </w:rPr>
      </w:pPr>
      <w:bookmarkStart w:id="170" w:name="_1.8_计量单位"/>
      <w:bookmarkEnd w:id="170"/>
      <w:r>
        <w:rPr>
          <w:rFonts w:ascii="宋体" w:hAnsi="宋体" w:eastAsia="宋体"/>
          <w:color w:val="auto"/>
          <w:sz w:val="28"/>
          <w:highlight w:val="none"/>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color w:val="auto"/>
          <w:sz w:val="28"/>
          <w:highlight w:val="none"/>
        </w:rPr>
        <w:t>比选文件</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171" w:name="_Toc151193693"/>
      <w:bookmarkStart w:id="172" w:name="_Toc195842888"/>
      <w:bookmarkStart w:id="173" w:name="_Toc226337219"/>
      <w:bookmarkStart w:id="174" w:name="_Toc127161437"/>
      <w:bookmarkStart w:id="175" w:name="_Toc150509274"/>
      <w:bookmarkStart w:id="176" w:name="_Toc520356147"/>
      <w:bookmarkStart w:id="177" w:name="_Toc305158791"/>
      <w:bookmarkStart w:id="178" w:name="_Toc226965796"/>
      <w:bookmarkStart w:id="179" w:name="_Toc226965713"/>
      <w:bookmarkStart w:id="180" w:name="_Toc127151724"/>
      <w:bookmarkStart w:id="181" w:name="_Toc226309767"/>
      <w:bookmarkStart w:id="182" w:name="_Toc127151523"/>
      <w:bookmarkStart w:id="183" w:name="_Toc151193837"/>
      <w:bookmarkStart w:id="184" w:name="_Toc151193621"/>
      <w:bookmarkStart w:id="185" w:name="_Toc151193911"/>
      <w:bookmarkStart w:id="186" w:name="_Toc150774728"/>
      <w:bookmarkStart w:id="187" w:name="_Toc151190150"/>
      <w:bookmarkStart w:id="188" w:name="_Toc164229218"/>
      <w:bookmarkStart w:id="189" w:name="_Toc149720816"/>
      <w:bookmarkStart w:id="190" w:name="_Toc164608792"/>
      <w:bookmarkStart w:id="191" w:name="_Toc150480761"/>
      <w:bookmarkStart w:id="192" w:name="_Toc164229364"/>
      <w:bookmarkStart w:id="193" w:name="_Toc164608637"/>
      <w:bookmarkStart w:id="194" w:name="_Toc142311025"/>
      <w:bookmarkStart w:id="195" w:name="_Toc151193765"/>
      <w:bookmarkStart w:id="196" w:name="_Toc305158865"/>
      <w:bookmarkStart w:id="197" w:name="_Toc150774623"/>
      <w:bookmarkStart w:id="198" w:name="_Toc164351617"/>
      <w:bookmarkStart w:id="199" w:name="_Toc265228361"/>
      <w:bookmarkStart w:id="200" w:name="_Toc264969213"/>
      <w:r>
        <w:rPr>
          <w:rFonts w:hint="eastAsia" w:ascii="宋体" w:hAnsi="宋体"/>
          <w:color w:val="auto"/>
          <w:sz w:val="24"/>
          <w:highlight w:val="none"/>
        </w:rPr>
        <w:t>比选文件</w:t>
      </w:r>
      <w:r>
        <w:rPr>
          <w:rFonts w:ascii="宋体" w:hAnsi="宋体"/>
          <w:color w:val="auto"/>
          <w:sz w:val="24"/>
          <w:highlight w:val="none"/>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color w:val="auto"/>
          <w:sz w:val="24"/>
          <w:highlight w:val="none"/>
        </w:rPr>
        <w:t>成</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要求提供货物与服务的内容及详细技术需求、响应须知和合同条件等在比选文件中均有说明。比选文件</w:t>
      </w:r>
      <w:r>
        <w:rPr>
          <w:rFonts w:ascii="宋体" w:hAnsi="宋体"/>
          <w:color w:val="auto"/>
          <w:sz w:val="24"/>
          <w:highlight w:val="none"/>
        </w:rPr>
        <w:t>包括以下部分：</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hint="eastAsia" w:ascii="宋体" w:hAnsi="宋体"/>
          <w:color w:val="auto"/>
          <w:sz w:val="24"/>
          <w:highlight w:val="none"/>
        </w:rPr>
        <w:t>比选邀请</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须知</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资格审查</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评标程序、评标方法和评标</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采购需求</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拟签订的合同文本</w:t>
      </w:r>
    </w:p>
    <w:p>
      <w:pPr>
        <w:numPr>
          <w:ilvl w:val="0"/>
          <w:numId w:val="9"/>
        </w:numPr>
        <w:tabs>
          <w:tab w:val="left" w:pos="1980"/>
          <w:tab w:val="left" w:pos="2520"/>
        </w:tabs>
        <w:snapToGrid w:val="0"/>
        <w:spacing w:line="360" w:lineRule="auto"/>
        <w:ind w:left="1440" w:firstLine="5"/>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格式</w:t>
      </w:r>
    </w:p>
    <w:p>
      <w:pPr>
        <w:numPr>
          <w:ilvl w:val="1"/>
          <w:numId w:val="8"/>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供应商</w:t>
      </w:r>
      <w:r>
        <w:rPr>
          <w:color w:val="auto"/>
          <w:sz w:val="24"/>
          <w:highlight w:val="none"/>
        </w:rPr>
        <w:t>应认真阅读</w:t>
      </w:r>
      <w:r>
        <w:rPr>
          <w:rFonts w:hint="eastAsia"/>
          <w:color w:val="auto"/>
          <w:sz w:val="24"/>
          <w:highlight w:val="none"/>
        </w:rPr>
        <w:t>比选文件</w:t>
      </w:r>
      <w:r>
        <w:rPr>
          <w:color w:val="auto"/>
          <w:sz w:val="24"/>
          <w:highlight w:val="none"/>
        </w:rPr>
        <w:t>的全部内容。</w:t>
      </w:r>
      <w:r>
        <w:rPr>
          <w:rFonts w:hint="eastAsia"/>
          <w:color w:val="auto"/>
          <w:sz w:val="24"/>
          <w:highlight w:val="none"/>
        </w:rPr>
        <w:t>供应商</w:t>
      </w:r>
      <w:r>
        <w:rPr>
          <w:color w:val="auto"/>
          <w:sz w:val="24"/>
          <w:highlight w:val="none"/>
        </w:rPr>
        <w:t>应按照</w:t>
      </w:r>
      <w:r>
        <w:rPr>
          <w:rFonts w:hint="eastAsia"/>
          <w:color w:val="auto"/>
          <w:sz w:val="24"/>
          <w:highlight w:val="none"/>
        </w:rPr>
        <w:t>比选文件</w:t>
      </w:r>
      <w:r>
        <w:rPr>
          <w:color w:val="auto"/>
          <w:sz w:val="24"/>
          <w:highlight w:val="none"/>
        </w:rPr>
        <w:t>要求提交</w:t>
      </w:r>
      <w:r>
        <w:rPr>
          <w:rFonts w:hint="eastAsia"/>
          <w:color w:val="auto"/>
          <w:sz w:val="24"/>
          <w:highlight w:val="none"/>
        </w:rPr>
        <w:t>响应文件</w:t>
      </w:r>
      <w:r>
        <w:rPr>
          <w:color w:val="auto"/>
          <w:sz w:val="24"/>
          <w:highlight w:val="none"/>
        </w:rPr>
        <w:t>并保证所提供的全部资料的真实性，并对</w:t>
      </w:r>
      <w:r>
        <w:rPr>
          <w:rFonts w:hint="eastAsia"/>
          <w:color w:val="auto"/>
          <w:sz w:val="24"/>
          <w:highlight w:val="none"/>
        </w:rPr>
        <w:t>比选文件</w:t>
      </w:r>
      <w:r>
        <w:rPr>
          <w:color w:val="auto"/>
          <w:sz w:val="24"/>
          <w:highlight w:val="none"/>
        </w:rPr>
        <w:t>做出实质性响应，否则</w:t>
      </w:r>
      <w:r>
        <w:rPr>
          <w:rFonts w:hint="eastAsia"/>
          <w:b/>
          <w:color w:val="auto"/>
          <w:sz w:val="24"/>
          <w:highlight w:val="none"/>
        </w:rPr>
        <w:t>响应</w:t>
      </w:r>
      <w:r>
        <w:rPr>
          <w:b/>
          <w:color w:val="auto"/>
          <w:sz w:val="24"/>
          <w:highlight w:val="none"/>
        </w:rPr>
        <w:t>无效</w:t>
      </w:r>
      <w:r>
        <w:rPr>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color w:val="auto"/>
          <w:sz w:val="24"/>
          <w:highlight w:val="none"/>
        </w:rPr>
        <w:t>《采购需求》</w:t>
      </w:r>
      <w:r>
        <w:rPr>
          <w:rFonts w:hint="eastAsia" w:ascii="宋体" w:hAnsi="宋体"/>
          <w:color w:val="auto"/>
          <w:sz w:val="24"/>
          <w:highlight w:val="none"/>
        </w:rPr>
        <w:t>的要求。</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对</w:t>
      </w:r>
      <w:r>
        <w:rPr>
          <w:rFonts w:hint="eastAsia" w:ascii="宋体" w:hAnsi="宋体"/>
          <w:color w:val="auto"/>
          <w:sz w:val="24"/>
          <w:highlight w:val="none"/>
        </w:rPr>
        <w:t>比选文件</w:t>
      </w:r>
      <w:r>
        <w:rPr>
          <w:rFonts w:ascii="宋体" w:hAnsi="宋体"/>
          <w:color w:val="auto"/>
          <w:sz w:val="24"/>
          <w:highlight w:val="none"/>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采购人或采购代理机构对已发出的</w:t>
      </w:r>
      <w:r>
        <w:rPr>
          <w:rFonts w:hint="eastAsia" w:ascii="宋体" w:hAnsi="宋体"/>
          <w:color w:val="auto"/>
          <w:sz w:val="24"/>
          <w:highlight w:val="none"/>
        </w:rPr>
        <w:t>比选文件</w:t>
      </w:r>
      <w:r>
        <w:rPr>
          <w:rFonts w:ascii="宋体" w:hAnsi="宋体"/>
          <w:color w:val="auto"/>
          <w:sz w:val="24"/>
          <w:highlight w:val="none"/>
        </w:rPr>
        <w:t>进行必要澄清或者修改的，将在原公告发布媒体上发布更正公告，并以书面形式通知所有获取</w:t>
      </w:r>
      <w:r>
        <w:rPr>
          <w:rFonts w:hint="eastAsia" w:ascii="宋体" w:hAnsi="宋体"/>
          <w:color w:val="auto"/>
          <w:sz w:val="24"/>
          <w:highlight w:val="none"/>
        </w:rPr>
        <w:t>比选文件</w:t>
      </w:r>
      <w:r>
        <w:rPr>
          <w:rFonts w:ascii="宋体" w:hAnsi="宋体"/>
          <w:color w:val="auto"/>
          <w:sz w:val="24"/>
          <w:highlight w:val="none"/>
        </w:rPr>
        <w:t>的潜在</w:t>
      </w:r>
      <w:r>
        <w:rPr>
          <w:rFonts w:hint="eastAsia" w:ascii="宋体" w:hAnsi="宋体"/>
          <w:color w:val="auto"/>
          <w:sz w:val="24"/>
          <w:highlight w:val="none"/>
        </w:rPr>
        <w:t>供应商</w:t>
      </w:r>
      <w:r>
        <w:rPr>
          <w:rFonts w:ascii="宋体" w:hAnsi="宋体"/>
          <w:color w:val="auto"/>
          <w:sz w:val="24"/>
          <w:highlight w:val="none"/>
        </w:rPr>
        <w:t>。</w:t>
      </w:r>
    </w:p>
    <w:p>
      <w:pPr>
        <w:numPr>
          <w:ilvl w:val="1"/>
          <w:numId w:val="8"/>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上述书面通知，按照获取</w:t>
      </w:r>
      <w:r>
        <w:rPr>
          <w:rFonts w:hint="eastAsia" w:ascii="宋体" w:hAnsi="宋体"/>
          <w:color w:val="auto"/>
          <w:sz w:val="24"/>
          <w:highlight w:val="none"/>
        </w:rPr>
        <w:t>比选文件</w:t>
      </w:r>
      <w:r>
        <w:rPr>
          <w:rFonts w:ascii="宋体" w:hAnsi="宋体"/>
          <w:color w:val="auto"/>
          <w:sz w:val="24"/>
          <w:highlight w:val="none"/>
        </w:rPr>
        <w:t>的潜在</w:t>
      </w:r>
      <w:r>
        <w:rPr>
          <w:rFonts w:hint="eastAsia" w:ascii="宋体" w:hAnsi="宋体"/>
          <w:color w:val="auto"/>
          <w:sz w:val="24"/>
          <w:highlight w:val="none"/>
        </w:rPr>
        <w:t>供应商</w:t>
      </w:r>
      <w:r>
        <w:rPr>
          <w:rFonts w:ascii="宋体" w:hAnsi="宋体"/>
          <w:color w:val="auto"/>
          <w:sz w:val="24"/>
          <w:highlight w:val="none"/>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澄清或者修改的内容为</w:t>
      </w:r>
      <w:r>
        <w:rPr>
          <w:rFonts w:hint="eastAsia" w:ascii="宋体" w:hAnsi="宋体"/>
          <w:color w:val="auto"/>
          <w:sz w:val="24"/>
          <w:highlight w:val="none"/>
        </w:rPr>
        <w:t>比选文件</w:t>
      </w:r>
      <w:r>
        <w:rPr>
          <w:rFonts w:ascii="宋体" w:hAnsi="宋体"/>
          <w:color w:val="auto"/>
          <w:sz w:val="24"/>
          <w:highlight w:val="none"/>
        </w:rPr>
        <w:t>的组成部分，并对所有获取</w:t>
      </w:r>
      <w:r>
        <w:rPr>
          <w:rFonts w:hint="eastAsia" w:ascii="宋体" w:hAnsi="宋体"/>
          <w:color w:val="auto"/>
          <w:sz w:val="24"/>
          <w:highlight w:val="none"/>
        </w:rPr>
        <w:t>比选文件</w:t>
      </w:r>
      <w:r>
        <w:rPr>
          <w:rFonts w:ascii="宋体" w:hAnsi="宋体"/>
          <w:color w:val="auto"/>
          <w:sz w:val="24"/>
          <w:highlight w:val="none"/>
        </w:rPr>
        <w:t>的潜在</w:t>
      </w:r>
      <w:r>
        <w:rPr>
          <w:rFonts w:hint="eastAsia" w:ascii="宋体" w:hAnsi="宋体"/>
          <w:color w:val="auto"/>
          <w:sz w:val="24"/>
          <w:highlight w:val="none"/>
        </w:rPr>
        <w:t>供应商</w:t>
      </w:r>
      <w:r>
        <w:rPr>
          <w:rFonts w:ascii="宋体" w:hAnsi="宋体"/>
          <w:color w:val="auto"/>
          <w:sz w:val="24"/>
          <w:highlight w:val="none"/>
        </w:rPr>
        <w:t>具有约束力。澄清或者修改的内容可能影响</w:t>
      </w:r>
      <w:r>
        <w:rPr>
          <w:rFonts w:hint="eastAsia" w:ascii="宋体" w:hAnsi="宋体"/>
          <w:color w:val="auto"/>
          <w:sz w:val="24"/>
          <w:highlight w:val="none"/>
        </w:rPr>
        <w:t>响应文件</w:t>
      </w:r>
      <w:r>
        <w:rPr>
          <w:rFonts w:ascii="宋体" w:hAnsi="宋体"/>
          <w:color w:val="auto"/>
          <w:sz w:val="24"/>
          <w:highlight w:val="none"/>
        </w:rPr>
        <w:t>编制的，将在</w:t>
      </w:r>
      <w:r>
        <w:rPr>
          <w:rFonts w:hint="eastAsia" w:ascii="宋体" w:hAnsi="宋体"/>
          <w:color w:val="auto"/>
          <w:sz w:val="24"/>
          <w:highlight w:val="none"/>
        </w:rPr>
        <w:t>响应</w:t>
      </w:r>
      <w:r>
        <w:rPr>
          <w:rFonts w:ascii="宋体" w:hAnsi="宋体"/>
          <w:color w:val="auto"/>
          <w:sz w:val="24"/>
          <w:highlight w:val="none"/>
        </w:rPr>
        <w:t>截止时间至少</w:t>
      </w:r>
      <w:r>
        <w:rPr>
          <w:rFonts w:hint="eastAsia" w:ascii="宋体" w:hAnsi="宋体"/>
          <w:color w:val="auto"/>
          <w:sz w:val="24"/>
          <w:highlight w:val="none"/>
        </w:rPr>
        <w:t>3</w:t>
      </w:r>
      <w:r>
        <w:rPr>
          <w:rFonts w:ascii="宋体" w:hAnsi="宋体"/>
          <w:color w:val="auto"/>
          <w:sz w:val="24"/>
          <w:highlight w:val="none"/>
        </w:rPr>
        <w:t>日前，以书面形式通知所有获取</w:t>
      </w:r>
      <w:r>
        <w:rPr>
          <w:rFonts w:hint="eastAsia" w:ascii="宋体" w:hAnsi="宋体"/>
          <w:color w:val="auto"/>
          <w:sz w:val="24"/>
          <w:highlight w:val="none"/>
        </w:rPr>
        <w:t>比选文件</w:t>
      </w:r>
      <w:r>
        <w:rPr>
          <w:rFonts w:ascii="宋体" w:hAnsi="宋体"/>
          <w:color w:val="auto"/>
          <w:sz w:val="24"/>
          <w:highlight w:val="none"/>
        </w:rPr>
        <w:t>的潜在</w:t>
      </w:r>
      <w:r>
        <w:rPr>
          <w:rFonts w:hint="eastAsia" w:ascii="宋体" w:hAnsi="宋体"/>
          <w:color w:val="auto"/>
          <w:sz w:val="24"/>
          <w:highlight w:val="none"/>
        </w:rPr>
        <w:t>供应商</w:t>
      </w:r>
      <w:r>
        <w:rPr>
          <w:rFonts w:ascii="宋体" w:hAnsi="宋体"/>
          <w:color w:val="auto"/>
          <w:sz w:val="24"/>
          <w:highlight w:val="none"/>
        </w:rPr>
        <w:t>；不足</w:t>
      </w:r>
      <w:r>
        <w:rPr>
          <w:rFonts w:hint="eastAsia" w:ascii="宋体" w:hAnsi="宋体"/>
          <w:color w:val="auto"/>
          <w:sz w:val="24"/>
          <w:highlight w:val="none"/>
        </w:rPr>
        <w:t>3</w:t>
      </w:r>
      <w:r>
        <w:rPr>
          <w:rFonts w:ascii="宋体" w:hAnsi="宋体"/>
          <w:color w:val="auto"/>
          <w:sz w:val="24"/>
          <w:highlight w:val="none"/>
        </w:rPr>
        <w:t>日的，将顺延提交</w:t>
      </w:r>
      <w:r>
        <w:rPr>
          <w:rFonts w:hint="eastAsia" w:ascii="宋体" w:hAnsi="宋体"/>
          <w:color w:val="auto"/>
          <w:sz w:val="24"/>
          <w:highlight w:val="none"/>
        </w:rPr>
        <w:t>响应文件</w:t>
      </w:r>
      <w:r>
        <w:rPr>
          <w:rFonts w:ascii="宋体" w:hAnsi="宋体"/>
          <w:color w:val="auto"/>
          <w:sz w:val="24"/>
          <w:highlight w:val="none"/>
        </w:rPr>
        <w:t>的截止时间和</w:t>
      </w:r>
      <w:r>
        <w:rPr>
          <w:rFonts w:hint="eastAsia" w:ascii="宋体" w:hAnsi="宋体"/>
          <w:color w:val="auto"/>
          <w:sz w:val="24"/>
          <w:highlight w:val="none"/>
        </w:rPr>
        <w:t>开选</w:t>
      </w:r>
      <w:r>
        <w:rPr>
          <w:rFonts w:ascii="宋体" w:hAnsi="宋体"/>
          <w:color w:val="auto"/>
          <w:sz w:val="24"/>
          <w:highlight w:val="none"/>
        </w:rPr>
        <w:t>时间。</w:t>
      </w:r>
      <w:bookmarkStart w:id="201" w:name="_Toc516367020"/>
      <w:bookmarkStart w:id="202" w:name="_Toc150774731"/>
      <w:bookmarkStart w:id="203" w:name="_Toc264969216"/>
      <w:bookmarkStart w:id="204" w:name="_Toc151193840"/>
      <w:bookmarkStart w:id="205" w:name="_Toc305158794"/>
      <w:bookmarkStart w:id="206" w:name="_Toc226337222"/>
      <w:bookmarkStart w:id="207" w:name="_Toc265228364"/>
      <w:bookmarkStart w:id="208" w:name="_Toc151193624"/>
      <w:bookmarkStart w:id="209" w:name="_Toc127151526"/>
      <w:bookmarkStart w:id="210" w:name="_Toc151190153"/>
      <w:bookmarkStart w:id="211" w:name="_Toc226965716"/>
      <w:bookmarkStart w:id="212" w:name="_Toc151193768"/>
      <w:bookmarkStart w:id="213" w:name="_Toc151193696"/>
      <w:bookmarkStart w:id="214" w:name="_Toc195842891"/>
      <w:bookmarkStart w:id="215" w:name="_Toc150774626"/>
      <w:bookmarkStart w:id="216" w:name="_Toc226309770"/>
      <w:bookmarkStart w:id="217" w:name="_Toc142311028"/>
      <w:bookmarkStart w:id="218" w:name="_Toc150480764"/>
      <w:bookmarkStart w:id="219" w:name="_Toc151193914"/>
      <w:bookmarkStart w:id="220" w:name="_Toc226965799"/>
      <w:bookmarkStart w:id="221" w:name="_Toc520356150"/>
      <w:bookmarkStart w:id="222" w:name="_Toc305158868"/>
      <w:bookmarkStart w:id="223" w:name="_Toc150509277"/>
    </w:p>
    <w:p>
      <w:pPr>
        <w:numPr>
          <w:ilvl w:val="1"/>
          <w:numId w:val="8"/>
        </w:numPr>
        <w:tabs>
          <w:tab w:val="left" w:pos="1080"/>
          <w:tab w:val="left" w:pos="1561"/>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供应商在收到澄清或修改的书面通知后，应在一个工作日内向</w:t>
      </w:r>
      <w:r>
        <w:rPr>
          <w:rFonts w:ascii="宋体" w:hAnsi="宋体"/>
          <w:color w:val="auto"/>
          <w:sz w:val="24"/>
          <w:highlight w:val="none"/>
        </w:rPr>
        <w:t>采购代理机构</w:t>
      </w:r>
      <w:r>
        <w:rPr>
          <w:rFonts w:hint="eastAsia" w:ascii="宋体" w:hAnsi="宋体"/>
          <w:color w:val="auto"/>
          <w:sz w:val="24"/>
          <w:highlight w:val="none"/>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任何要求对比选文件进行澄清的供应商，均应以书面形式通知</w:t>
      </w:r>
      <w:r>
        <w:rPr>
          <w:rFonts w:ascii="宋体" w:hAnsi="宋体"/>
          <w:color w:val="auto"/>
          <w:sz w:val="24"/>
          <w:highlight w:val="none"/>
        </w:rPr>
        <w:t>采购代理机构</w:t>
      </w:r>
      <w:r>
        <w:rPr>
          <w:rFonts w:hint="eastAsia" w:ascii="宋体" w:hAnsi="宋体"/>
          <w:color w:val="auto"/>
          <w:sz w:val="24"/>
          <w:highlight w:val="none"/>
        </w:rPr>
        <w:t>。</w:t>
      </w:r>
      <w:r>
        <w:rPr>
          <w:rFonts w:ascii="宋体" w:hAnsi="宋体"/>
          <w:color w:val="auto"/>
          <w:sz w:val="24"/>
          <w:highlight w:val="none"/>
        </w:rPr>
        <w:t>采购人或采购代理机构</w:t>
      </w:r>
      <w:r>
        <w:rPr>
          <w:rFonts w:hint="eastAsia" w:ascii="宋体" w:hAnsi="宋体"/>
          <w:color w:val="auto"/>
          <w:sz w:val="24"/>
          <w:highlight w:val="none"/>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color w:val="auto"/>
          <w:sz w:val="28"/>
          <w:highlight w:val="none"/>
        </w:rPr>
      </w:pPr>
      <w:r>
        <w:rPr>
          <w:rFonts w:ascii="宋体" w:hAnsi="宋体" w:eastAsia="宋体"/>
          <w:color w:val="auto"/>
          <w:sz w:val="28"/>
          <w:highlight w:val="none"/>
        </w:rPr>
        <w:t xml:space="preserve">三  </w:t>
      </w:r>
      <w:bookmarkEnd w:id="201"/>
      <w:r>
        <w:rPr>
          <w:rFonts w:hint="eastAsia" w:ascii="宋体" w:hAnsi="宋体" w:eastAsia="宋体"/>
          <w:color w:val="auto"/>
          <w:sz w:val="28"/>
          <w:highlight w:val="none"/>
        </w:rPr>
        <w:t>响应文件</w:t>
      </w:r>
      <w:r>
        <w:rPr>
          <w:rFonts w:ascii="宋体" w:hAnsi="宋体" w:eastAsia="宋体"/>
          <w:color w:val="auto"/>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224" w:name="_Toc516367021"/>
      <w:bookmarkStart w:id="225" w:name="_Toc151193769"/>
      <w:bookmarkStart w:id="226" w:name="_Toc195842892"/>
      <w:bookmarkStart w:id="227" w:name="_Toc150480765"/>
      <w:bookmarkStart w:id="228" w:name="_Toc164229368"/>
      <w:bookmarkStart w:id="229" w:name="_Toc151193915"/>
      <w:bookmarkStart w:id="230" w:name="_Toc127161441"/>
      <w:bookmarkStart w:id="231" w:name="_Toc151193841"/>
      <w:bookmarkStart w:id="232" w:name="_Toc164608641"/>
      <w:bookmarkStart w:id="233" w:name="_Toc520356151"/>
      <w:bookmarkStart w:id="234" w:name="_Toc150509278"/>
      <w:bookmarkStart w:id="235" w:name="_Toc305158869"/>
      <w:bookmarkStart w:id="236" w:name="_Toc305158795"/>
      <w:bookmarkStart w:id="237" w:name="_Toc265228365"/>
      <w:bookmarkStart w:id="238" w:name="_Toc164229222"/>
      <w:bookmarkStart w:id="239" w:name="_Toc127151728"/>
      <w:bookmarkStart w:id="240" w:name="_Toc226965717"/>
      <w:bookmarkStart w:id="241" w:name="_Toc226965800"/>
      <w:bookmarkStart w:id="242" w:name="_Toc150774732"/>
      <w:bookmarkStart w:id="243" w:name="_Toc151190154"/>
      <w:bookmarkStart w:id="244" w:name="_Toc164608796"/>
      <w:bookmarkStart w:id="245" w:name="_Toc164351621"/>
      <w:bookmarkStart w:id="246" w:name="_Toc151193625"/>
      <w:bookmarkStart w:id="247" w:name="_Toc226337223"/>
      <w:bookmarkStart w:id="248" w:name="_Toc142311029"/>
      <w:bookmarkStart w:id="249" w:name="_Toc149720820"/>
      <w:bookmarkStart w:id="250" w:name="_Toc150774627"/>
      <w:bookmarkStart w:id="251" w:name="_Toc127151527"/>
      <w:bookmarkStart w:id="252" w:name="_Toc151193697"/>
      <w:bookmarkStart w:id="253" w:name="_Toc226309771"/>
      <w:bookmarkStart w:id="254" w:name="_Toc264969217"/>
      <w:r>
        <w:rPr>
          <w:rFonts w:hint="eastAsia" w:ascii="宋体" w:hAnsi="宋体"/>
          <w:color w:val="auto"/>
          <w:sz w:val="24"/>
          <w:highlight w:val="none"/>
        </w:rPr>
        <w:t>响应</w:t>
      </w:r>
      <w:r>
        <w:rPr>
          <w:rFonts w:ascii="宋体" w:hAnsi="宋体"/>
          <w:color w:val="auto"/>
          <w:sz w:val="24"/>
          <w:highlight w:val="none"/>
        </w:rPr>
        <w:t>范围、</w:t>
      </w:r>
      <w:r>
        <w:rPr>
          <w:rFonts w:hint="eastAsia" w:ascii="宋体" w:hAnsi="宋体"/>
          <w:color w:val="auto"/>
          <w:sz w:val="24"/>
          <w:highlight w:val="none"/>
        </w:rPr>
        <w:t>响应文件</w:t>
      </w:r>
      <w:r>
        <w:rPr>
          <w:rFonts w:ascii="宋体" w:hAnsi="宋体"/>
          <w:color w:val="auto"/>
          <w:sz w:val="24"/>
          <w:highlight w:val="none"/>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color w:val="auto"/>
          <w:sz w:val="24"/>
          <w:highlight w:val="none"/>
        </w:rPr>
        <w:t>及</w:t>
      </w:r>
      <w:r>
        <w:rPr>
          <w:rFonts w:hint="eastAsia" w:ascii="宋体" w:hAnsi="宋体"/>
          <w:color w:val="auto"/>
          <w:sz w:val="24"/>
          <w:highlight w:val="none"/>
        </w:rPr>
        <w:t>响应</w:t>
      </w:r>
      <w:r>
        <w:rPr>
          <w:rFonts w:ascii="宋体" w:hAnsi="宋体"/>
          <w:color w:val="auto"/>
          <w:sz w:val="24"/>
          <w:highlight w:val="none"/>
        </w:rPr>
        <w:t>语言</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本项目如划分采购包，</w:t>
      </w:r>
      <w:r>
        <w:rPr>
          <w:rFonts w:hint="eastAsia" w:ascii="宋体" w:hAnsi="宋体"/>
          <w:color w:val="auto"/>
          <w:sz w:val="24"/>
          <w:highlight w:val="none"/>
        </w:rPr>
        <w:t>供应商</w:t>
      </w:r>
      <w:r>
        <w:rPr>
          <w:rFonts w:ascii="宋体" w:hAnsi="宋体"/>
          <w:color w:val="auto"/>
          <w:sz w:val="24"/>
          <w:highlight w:val="none"/>
        </w:rPr>
        <w:t>可以对本项目的其中一个采购包进行</w:t>
      </w:r>
      <w:r>
        <w:rPr>
          <w:rFonts w:hint="eastAsia" w:ascii="宋体" w:hAnsi="宋体"/>
          <w:color w:val="auto"/>
          <w:sz w:val="24"/>
          <w:highlight w:val="none"/>
        </w:rPr>
        <w:t>响应</w:t>
      </w:r>
      <w:r>
        <w:rPr>
          <w:rFonts w:ascii="宋体" w:hAnsi="宋体"/>
          <w:color w:val="auto"/>
          <w:sz w:val="24"/>
          <w:highlight w:val="none"/>
        </w:rPr>
        <w:t>，也可同时对多个采购包进行</w:t>
      </w:r>
      <w:r>
        <w:rPr>
          <w:rFonts w:hint="eastAsia" w:ascii="宋体" w:hAnsi="宋体"/>
          <w:color w:val="auto"/>
          <w:sz w:val="24"/>
          <w:highlight w:val="none"/>
        </w:rPr>
        <w:t>响应</w:t>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应当对所投采购包对应</w:t>
      </w:r>
      <w:r>
        <w:rPr>
          <w:rFonts w:hint="eastAsia" w:ascii="宋体" w:hAnsi="宋体"/>
          <w:color w:val="auto"/>
          <w:sz w:val="24"/>
          <w:highlight w:val="none"/>
        </w:rPr>
        <w:t>第四章《采购需求》</w:t>
      </w:r>
      <w:r>
        <w:rPr>
          <w:rFonts w:ascii="宋体" w:hAnsi="宋体"/>
          <w:color w:val="auto"/>
          <w:sz w:val="24"/>
          <w:highlight w:val="none"/>
        </w:rPr>
        <w:t>所列的全部内容进行</w:t>
      </w:r>
      <w:r>
        <w:rPr>
          <w:rFonts w:hint="eastAsia" w:ascii="宋体" w:hAnsi="宋体"/>
          <w:color w:val="auto"/>
          <w:sz w:val="24"/>
          <w:highlight w:val="none"/>
        </w:rPr>
        <w:t>响应</w:t>
      </w:r>
      <w:r>
        <w:rPr>
          <w:rFonts w:ascii="宋体" w:hAnsi="宋体"/>
          <w:color w:val="auto"/>
          <w:sz w:val="24"/>
          <w:highlight w:val="none"/>
        </w:rPr>
        <w:t>，不得将一个采购包中的内容拆开</w:t>
      </w:r>
      <w:r>
        <w:rPr>
          <w:rFonts w:hint="eastAsia" w:ascii="宋体" w:hAnsi="宋体"/>
          <w:color w:val="auto"/>
          <w:sz w:val="24"/>
          <w:highlight w:val="none"/>
        </w:rPr>
        <w:t>响应</w:t>
      </w:r>
      <w:r>
        <w:rPr>
          <w:rFonts w:ascii="宋体" w:hAnsi="宋体"/>
          <w:color w:val="auto"/>
          <w:sz w:val="24"/>
          <w:highlight w:val="none"/>
        </w:rPr>
        <w:t>，否则其对该采购包的</w:t>
      </w:r>
      <w:r>
        <w:rPr>
          <w:rFonts w:hint="eastAsia" w:ascii="宋体" w:hAnsi="宋体"/>
          <w:color w:val="auto"/>
          <w:sz w:val="24"/>
          <w:highlight w:val="none"/>
        </w:rPr>
        <w:t>响应</w:t>
      </w:r>
      <w:r>
        <w:rPr>
          <w:rFonts w:ascii="宋体" w:hAnsi="宋体"/>
          <w:color w:val="auto"/>
          <w:sz w:val="24"/>
          <w:highlight w:val="none"/>
        </w:rPr>
        <w:t>将被认定为</w:t>
      </w:r>
      <w:r>
        <w:rPr>
          <w:rFonts w:ascii="宋体" w:hAnsi="宋体"/>
          <w:b/>
          <w:color w:val="auto"/>
          <w:sz w:val="24"/>
          <w:highlight w:val="none"/>
        </w:rPr>
        <w:t>无效</w:t>
      </w:r>
      <w:r>
        <w:rPr>
          <w:rFonts w:hint="eastAsia" w:ascii="宋体" w:hAnsi="宋体"/>
          <w:b/>
          <w:color w:val="auto"/>
          <w:sz w:val="24"/>
          <w:highlight w:val="none"/>
        </w:rPr>
        <w:t>响应</w:t>
      </w:r>
      <w:r>
        <w:rPr>
          <w:rFonts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w:t>
      </w:r>
      <w:r>
        <w:rPr>
          <w:rFonts w:hint="eastAsia" w:ascii="宋体" w:hAnsi="宋体"/>
          <w:color w:val="auto"/>
          <w:sz w:val="24"/>
          <w:highlight w:val="none"/>
        </w:rPr>
        <w:t>比选文件</w:t>
      </w:r>
      <w:r>
        <w:rPr>
          <w:rFonts w:ascii="宋体" w:hAnsi="宋体"/>
          <w:color w:val="auto"/>
          <w:sz w:val="24"/>
          <w:highlight w:val="none"/>
        </w:rPr>
        <w:t>有特殊要求外，本项目</w:t>
      </w:r>
      <w:r>
        <w:rPr>
          <w:rFonts w:hint="eastAsia" w:ascii="宋体" w:hAnsi="宋体"/>
          <w:color w:val="auto"/>
          <w:sz w:val="24"/>
          <w:highlight w:val="none"/>
        </w:rPr>
        <w:t>响应</w:t>
      </w:r>
      <w:r>
        <w:rPr>
          <w:rFonts w:ascii="宋体" w:hAnsi="宋体"/>
          <w:color w:val="auto"/>
          <w:sz w:val="24"/>
          <w:highlight w:val="none"/>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除专用术语外，</w:t>
      </w:r>
      <w:r>
        <w:rPr>
          <w:rFonts w:hint="eastAsia" w:ascii="宋体" w:hAnsi="宋体"/>
          <w:color w:val="auto"/>
          <w:sz w:val="24"/>
          <w:highlight w:val="none"/>
        </w:rPr>
        <w:t>响应文件</w:t>
      </w:r>
      <w:r>
        <w:rPr>
          <w:rFonts w:ascii="宋体" w:hAnsi="宋体"/>
          <w:color w:val="auto"/>
          <w:sz w:val="24"/>
          <w:highlight w:val="none"/>
        </w:rPr>
        <w:t>及来往函电均应使用中文书写。必要时专用术语应附有中文解释。</w:t>
      </w:r>
      <w:r>
        <w:rPr>
          <w:rFonts w:hint="eastAsia" w:ascii="宋体" w:hAnsi="宋体"/>
          <w:color w:val="auto"/>
          <w:sz w:val="24"/>
          <w:highlight w:val="none"/>
        </w:rPr>
        <w:t>供应商</w:t>
      </w:r>
      <w:r>
        <w:rPr>
          <w:rFonts w:ascii="宋体" w:hAnsi="宋体"/>
          <w:color w:val="auto"/>
          <w:sz w:val="24"/>
          <w:highlight w:val="none"/>
        </w:rPr>
        <w:t>提交的支持资料和已印制的文献可以用外文，但相应内容应附有中文翻译本，在解释</w:t>
      </w:r>
      <w:r>
        <w:rPr>
          <w:rFonts w:hint="eastAsia" w:ascii="宋体" w:hAnsi="宋体"/>
          <w:color w:val="auto"/>
          <w:sz w:val="24"/>
          <w:highlight w:val="none"/>
        </w:rPr>
        <w:t>响应文件</w:t>
      </w:r>
      <w:r>
        <w:rPr>
          <w:rFonts w:ascii="宋体" w:hAnsi="宋体"/>
          <w:color w:val="auto"/>
          <w:sz w:val="24"/>
          <w:highlight w:val="none"/>
        </w:rPr>
        <w:t>时以中文翻译本为准。未附中文翻译本或翻译本中文内容明显与外文内容不一致的，其不利后果由</w:t>
      </w:r>
      <w:r>
        <w:rPr>
          <w:rFonts w:hint="eastAsia" w:ascii="宋体" w:hAnsi="宋体"/>
          <w:color w:val="auto"/>
          <w:sz w:val="24"/>
          <w:highlight w:val="none"/>
        </w:rPr>
        <w:t>供应商</w:t>
      </w:r>
      <w:r>
        <w:rPr>
          <w:rFonts w:ascii="宋体" w:hAnsi="宋体"/>
          <w:color w:val="auto"/>
          <w:sz w:val="24"/>
          <w:highlight w:val="none"/>
        </w:rPr>
        <w:t>自行承担。</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255" w:name="_Toc150774733"/>
      <w:bookmarkStart w:id="256" w:name="_Toc305158870"/>
      <w:bookmarkStart w:id="257" w:name="_Toc150509279"/>
      <w:bookmarkStart w:id="258" w:name="_Toc127161442"/>
      <w:bookmarkStart w:id="259" w:name="_Toc150774628"/>
      <w:bookmarkStart w:id="260" w:name="_Toc151193842"/>
      <w:bookmarkStart w:id="261" w:name="_Toc142311030"/>
      <w:bookmarkStart w:id="262" w:name="_Toc226965718"/>
      <w:bookmarkStart w:id="263" w:name="_Toc226309772"/>
      <w:bookmarkStart w:id="264" w:name="_Toc164229369"/>
      <w:bookmarkStart w:id="265" w:name="_Toc151193698"/>
      <w:bookmarkStart w:id="266" w:name="_Toc127151729"/>
      <w:bookmarkStart w:id="267" w:name="_Toc151193916"/>
      <w:bookmarkStart w:id="268" w:name="_Toc264969218"/>
      <w:bookmarkStart w:id="269" w:name="_Toc127151528"/>
      <w:bookmarkStart w:id="270" w:name="_Toc226337224"/>
      <w:bookmarkStart w:id="271" w:name="_Toc149720821"/>
      <w:bookmarkStart w:id="272" w:name="_Toc265228366"/>
      <w:bookmarkStart w:id="273" w:name="_Toc520356152"/>
      <w:bookmarkStart w:id="274" w:name="_Toc164608797"/>
      <w:bookmarkStart w:id="275" w:name="_Toc164229223"/>
      <w:bookmarkStart w:id="276" w:name="_Toc305158796"/>
      <w:bookmarkStart w:id="277" w:name="_Toc226965801"/>
      <w:bookmarkStart w:id="278" w:name="_Toc151190155"/>
      <w:bookmarkStart w:id="279" w:name="_Toc164608642"/>
      <w:bookmarkStart w:id="280" w:name="_Toc151193770"/>
      <w:bookmarkStart w:id="281" w:name="_Toc150480766"/>
      <w:bookmarkStart w:id="282" w:name="_Toc164351622"/>
      <w:bookmarkStart w:id="283" w:name="_Toc195842893"/>
      <w:bookmarkStart w:id="284" w:name="_Toc151193626"/>
      <w:r>
        <w:rPr>
          <w:rFonts w:hint="eastAsia" w:ascii="宋体" w:hAnsi="宋体"/>
          <w:color w:val="auto"/>
          <w:sz w:val="24"/>
          <w:highlight w:val="none"/>
        </w:rPr>
        <w:t>响应文件</w:t>
      </w:r>
      <w:r>
        <w:rPr>
          <w:rFonts w:ascii="宋体" w:hAnsi="宋体"/>
          <w:color w:val="auto"/>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285" w:name="_Ref467052588"/>
      <w:r>
        <w:rPr>
          <w:rFonts w:hint="eastAsia" w:ascii="宋体" w:hAnsi="宋体"/>
          <w:color w:val="auto"/>
          <w:sz w:val="24"/>
          <w:highlight w:val="none"/>
        </w:rPr>
        <w:t>供应商</w:t>
      </w:r>
      <w:r>
        <w:rPr>
          <w:rFonts w:ascii="宋体" w:hAnsi="宋体"/>
          <w:color w:val="auto"/>
          <w:sz w:val="24"/>
          <w:highlight w:val="none"/>
        </w:rPr>
        <w:t>应当按照</w:t>
      </w:r>
      <w:r>
        <w:rPr>
          <w:rFonts w:hint="eastAsia" w:ascii="宋体" w:hAnsi="宋体"/>
          <w:color w:val="auto"/>
          <w:sz w:val="24"/>
          <w:highlight w:val="none"/>
        </w:rPr>
        <w:t>比选文件</w:t>
      </w:r>
      <w:r>
        <w:rPr>
          <w:rFonts w:ascii="宋体" w:hAnsi="宋体"/>
          <w:color w:val="auto"/>
          <w:sz w:val="24"/>
          <w:highlight w:val="none"/>
        </w:rPr>
        <w:t>的要求编制</w:t>
      </w:r>
      <w:r>
        <w:rPr>
          <w:rFonts w:hint="eastAsia" w:ascii="宋体" w:hAnsi="宋体"/>
          <w:color w:val="auto"/>
          <w:sz w:val="24"/>
          <w:highlight w:val="none"/>
        </w:rPr>
        <w:t>响应文件</w:t>
      </w:r>
      <w:r>
        <w:rPr>
          <w:rFonts w:ascii="宋体" w:hAnsi="宋体"/>
          <w:color w:val="auto"/>
          <w:sz w:val="24"/>
          <w:highlight w:val="none"/>
        </w:rPr>
        <w:t>。</w:t>
      </w:r>
      <w:r>
        <w:rPr>
          <w:rFonts w:hint="eastAsia" w:ascii="宋体" w:hAnsi="宋体"/>
          <w:color w:val="auto"/>
          <w:sz w:val="24"/>
          <w:highlight w:val="none"/>
        </w:rPr>
        <w:t>响应文件</w:t>
      </w:r>
      <w:r>
        <w:rPr>
          <w:rFonts w:ascii="宋体" w:hAnsi="宋体"/>
          <w:color w:val="auto"/>
          <w:sz w:val="24"/>
          <w:highlight w:val="none"/>
        </w:rPr>
        <w:t>应由《资格证明文件》、《商务技术文件》两部分构成。</w:t>
      </w:r>
      <w:r>
        <w:rPr>
          <w:rFonts w:hint="eastAsia" w:ascii="宋体" w:hAnsi="宋体"/>
          <w:color w:val="auto"/>
          <w:sz w:val="24"/>
          <w:highlight w:val="none"/>
        </w:rPr>
        <w:t>响应文件</w:t>
      </w:r>
      <w:r>
        <w:rPr>
          <w:rFonts w:ascii="宋体" w:hAnsi="宋体"/>
          <w:color w:val="auto"/>
          <w:sz w:val="24"/>
          <w:highlight w:val="none"/>
        </w:rPr>
        <w:t>的部分格式要求，见第七章《</w:t>
      </w:r>
      <w:r>
        <w:rPr>
          <w:rFonts w:hint="eastAsia" w:ascii="宋体" w:hAnsi="宋体"/>
          <w:color w:val="auto"/>
          <w:sz w:val="24"/>
          <w:highlight w:val="none"/>
        </w:rPr>
        <w:t>响应文件</w:t>
      </w:r>
      <w:r>
        <w:rPr>
          <w:rFonts w:ascii="宋体" w:hAnsi="宋体"/>
          <w:color w:val="auto"/>
          <w:sz w:val="24"/>
          <w:highlight w:val="none"/>
        </w:rPr>
        <w:t>格式》。</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kern w:val="0"/>
          <w:sz w:val="24"/>
          <w:highlight w:val="none"/>
        </w:rPr>
        <w:t>对于</w:t>
      </w:r>
      <w:r>
        <w:rPr>
          <w:rFonts w:hint="eastAsia" w:ascii="宋体" w:hAnsi="宋体"/>
          <w:color w:val="auto"/>
          <w:kern w:val="0"/>
          <w:sz w:val="24"/>
          <w:highlight w:val="none"/>
        </w:rPr>
        <w:t>比选文件成交</w:t>
      </w:r>
      <w:r>
        <w:rPr>
          <w:rFonts w:ascii="宋体" w:hAnsi="宋体"/>
          <w:color w:val="auto"/>
          <w:kern w:val="0"/>
          <w:sz w:val="24"/>
          <w:highlight w:val="none"/>
        </w:rPr>
        <w:t>记了“实质性格式”文件的，</w:t>
      </w:r>
      <w:r>
        <w:rPr>
          <w:rFonts w:hint="eastAsia" w:ascii="宋体" w:hAnsi="宋体"/>
          <w:color w:val="auto"/>
          <w:sz w:val="24"/>
          <w:highlight w:val="none"/>
        </w:rPr>
        <w:t>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kern w:val="0"/>
          <w:sz w:val="24"/>
          <w:highlight w:val="none"/>
        </w:rPr>
        <w:t>。未标记“实质性格式”的文件和</w:t>
      </w:r>
      <w:r>
        <w:rPr>
          <w:rFonts w:hint="eastAsia" w:ascii="宋体" w:hAnsi="宋体"/>
          <w:color w:val="auto"/>
          <w:kern w:val="0"/>
          <w:sz w:val="24"/>
          <w:highlight w:val="none"/>
        </w:rPr>
        <w:t>比选文件</w:t>
      </w:r>
      <w:r>
        <w:rPr>
          <w:rFonts w:ascii="宋体" w:hAnsi="宋体"/>
          <w:color w:val="auto"/>
          <w:kern w:val="0"/>
          <w:sz w:val="24"/>
          <w:highlight w:val="none"/>
        </w:rPr>
        <w:t>未提供格式的内容，可由</w:t>
      </w:r>
      <w:r>
        <w:rPr>
          <w:rFonts w:hint="eastAsia" w:ascii="宋体" w:hAnsi="宋体"/>
          <w:color w:val="auto"/>
          <w:kern w:val="0"/>
          <w:sz w:val="24"/>
          <w:highlight w:val="none"/>
        </w:rPr>
        <w:t>供应商</w:t>
      </w:r>
      <w:r>
        <w:rPr>
          <w:rFonts w:ascii="宋体" w:hAnsi="宋体"/>
          <w:color w:val="auto"/>
          <w:kern w:val="0"/>
          <w:sz w:val="24"/>
          <w:highlight w:val="none"/>
        </w:rPr>
        <w:t>自行编写。</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对照</w:t>
      </w:r>
      <w:r>
        <w:rPr>
          <w:rFonts w:hint="eastAsia" w:ascii="宋体" w:hAnsi="宋体"/>
          <w:color w:val="auto"/>
          <w:sz w:val="24"/>
          <w:highlight w:val="none"/>
        </w:rPr>
        <w:t>第四章《采购需求》</w:t>
      </w:r>
      <w:r>
        <w:rPr>
          <w:rFonts w:ascii="宋体" w:hAnsi="宋体"/>
          <w:color w:val="auto"/>
          <w:sz w:val="24"/>
          <w:highlight w:val="none"/>
        </w:rPr>
        <w:t>，说明所提供货物和服务已对</w:t>
      </w:r>
      <w:r>
        <w:rPr>
          <w:rFonts w:hint="eastAsia" w:ascii="宋体" w:hAnsi="宋体"/>
          <w:color w:val="auto"/>
          <w:sz w:val="24"/>
          <w:highlight w:val="none"/>
        </w:rPr>
        <w:t>第四章《采购需求》</w:t>
      </w:r>
      <w:r>
        <w:rPr>
          <w:rFonts w:ascii="宋体" w:hAnsi="宋体"/>
          <w:color w:val="auto"/>
          <w:sz w:val="24"/>
          <w:highlight w:val="none"/>
        </w:rPr>
        <w:t>做出了响应，或申明与</w:t>
      </w:r>
      <w:r>
        <w:rPr>
          <w:rFonts w:hint="eastAsia" w:ascii="宋体" w:hAnsi="宋体"/>
          <w:color w:val="auto"/>
          <w:sz w:val="24"/>
          <w:highlight w:val="none"/>
        </w:rPr>
        <w:t>第四章《采购需求》</w:t>
      </w:r>
      <w:r>
        <w:rPr>
          <w:rFonts w:ascii="宋体" w:hAnsi="宋体"/>
          <w:color w:val="auto"/>
          <w:sz w:val="24"/>
          <w:highlight w:val="none"/>
        </w:rPr>
        <w:t>的偏差和例外。如</w:t>
      </w:r>
      <w:r>
        <w:rPr>
          <w:rFonts w:hint="eastAsia" w:ascii="宋体" w:hAnsi="宋体"/>
          <w:color w:val="auto"/>
          <w:sz w:val="24"/>
          <w:highlight w:val="none"/>
        </w:rPr>
        <w:t>第四章《采购需求》</w:t>
      </w:r>
      <w:r>
        <w:rPr>
          <w:rFonts w:ascii="宋体" w:hAnsi="宋体"/>
          <w:color w:val="auto"/>
          <w:sz w:val="24"/>
          <w:highlight w:val="none"/>
        </w:rPr>
        <w:t>中要求提供证明文件的，</w:t>
      </w:r>
      <w:r>
        <w:rPr>
          <w:rFonts w:hint="eastAsia" w:ascii="宋体" w:hAnsi="宋体"/>
          <w:color w:val="auto"/>
          <w:sz w:val="24"/>
          <w:highlight w:val="none"/>
        </w:rPr>
        <w:t>供应商</w:t>
      </w:r>
      <w:r>
        <w:rPr>
          <w:rFonts w:ascii="宋体" w:hAnsi="宋体"/>
          <w:color w:val="auto"/>
          <w:sz w:val="24"/>
          <w:highlight w:val="none"/>
        </w:rPr>
        <w:t>应当按具体要求提供证明文件。</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认为应附的其他材料。</w:t>
      </w:r>
      <w:bookmarkEnd w:id="285"/>
      <w:r>
        <w:rPr>
          <w:rFonts w:hint="eastAsia" w:ascii="宋体" w:hAnsi="宋体"/>
          <w:color w:val="auto"/>
          <w:sz w:val="24"/>
          <w:highlight w:val="none"/>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286" w:name="_Toc520356155"/>
      <w:bookmarkStart w:id="287" w:name="_Toc142311032"/>
      <w:bookmarkStart w:id="288" w:name="_Toc149720823"/>
      <w:bookmarkStart w:id="289" w:name="_Toc151193918"/>
      <w:bookmarkStart w:id="290" w:name="_Toc150480768"/>
      <w:bookmarkStart w:id="291" w:name="_Toc151190157"/>
      <w:bookmarkStart w:id="292" w:name="_Toc150774735"/>
      <w:bookmarkStart w:id="293" w:name="_Toc164229371"/>
      <w:bookmarkStart w:id="294" w:name="_Toc151193844"/>
      <w:bookmarkStart w:id="295" w:name="_Toc151193700"/>
      <w:bookmarkStart w:id="296" w:name="_Toc151193772"/>
      <w:bookmarkStart w:id="297" w:name="_Toc164608799"/>
      <w:bookmarkStart w:id="298" w:name="_Toc195842895"/>
      <w:bookmarkStart w:id="299" w:name="_Toc150509281"/>
      <w:bookmarkStart w:id="300" w:name="_Toc164608644"/>
      <w:bookmarkStart w:id="301" w:name="_Toc164229225"/>
      <w:bookmarkStart w:id="302" w:name="_Toc127161444"/>
      <w:bookmarkStart w:id="303" w:name="_Toc127151731"/>
      <w:bookmarkStart w:id="304" w:name="_Toc164351624"/>
      <w:bookmarkStart w:id="305" w:name="_Toc151193628"/>
      <w:bookmarkStart w:id="306" w:name="_Toc150774630"/>
      <w:bookmarkStart w:id="307" w:name="_Toc127151530"/>
      <w:r>
        <w:rPr>
          <w:rFonts w:hint="eastAsia" w:ascii="宋体" w:hAnsi="宋体"/>
          <w:color w:val="auto"/>
          <w:sz w:val="24"/>
          <w:highlight w:val="none"/>
        </w:rPr>
        <w:t>响应</w:t>
      </w:r>
      <w:r>
        <w:rPr>
          <w:rFonts w:ascii="宋体" w:hAnsi="宋体"/>
          <w:color w:val="auto"/>
          <w:sz w:val="24"/>
          <w:highlight w:val="none"/>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所有</w:t>
      </w:r>
      <w:r>
        <w:rPr>
          <w:rFonts w:hint="eastAsia"/>
          <w:color w:val="auto"/>
          <w:sz w:val="24"/>
          <w:highlight w:val="none"/>
        </w:rPr>
        <w:t>响应</w:t>
      </w:r>
      <w:r>
        <w:rPr>
          <w:color w:val="auto"/>
          <w:sz w:val="24"/>
          <w:highlight w:val="none"/>
        </w:rPr>
        <w:t>均以人民币报价。</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的报价应包括为完成本项目所发生的一切费用和税费，招标人将不再支付报价以外的任何费用。</w:t>
      </w:r>
      <w:r>
        <w:rPr>
          <w:rFonts w:hint="eastAsia" w:ascii="宋体" w:hAnsi="宋体"/>
          <w:color w:val="auto"/>
          <w:sz w:val="24"/>
          <w:highlight w:val="none"/>
        </w:rPr>
        <w:t>供应商的报价应包括但不限于下列内容，《供应商须知资料表》中有特殊规定的，从其规定。</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响应</w:t>
      </w:r>
      <w:r>
        <w:rPr>
          <w:rFonts w:ascii="宋体" w:hAnsi="宋体"/>
          <w:color w:val="auto"/>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color w:val="auto"/>
          <w:sz w:val="24"/>
          <w:highlight w:val="none"/>
        </w:rPr>
        <w:t>比选文件</w:t>
      </w:r>
      <w:r>
        <w:rPr>
          <w:rFonts w:ascii="宋体" w:hAnsi="宋体"/>
          <w:color w:val="auto"/>
          <w:sz w:val="24"/>
          <w:highlight w:val="none"/>
        </w:rPr>
        <w:t>要求完成本项目的全部相关服务费用；</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按照</w:t>
      </w:r>
      <w:r>
        <w:rPr>
          <w:rFonts w:hint="eastAsia" w:ascii="宋体" w:hAnsi="宋体"/>
          <w:color w:val="auto"/>
          <w:sz w:val="24"/>
          <w:highlight w:val="none"/>
        </w:rPr>
        <w:t>比选文件</w:t>
      </w:r>
      <w:r>
        <w:rPr>
          <w:rFonts w:ascii="宋体" w:hAnsi="宋体"/>
          <w:color w:val="auto"/>
          <w:sz w:val="24"/>
          <w:highlight w:val="none"/>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不能提供任何有选择性或可调整的报价，否则其</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应在“</w:t>
      </w:r>
      <w:r>
        <w:rPr>
          <w:rFonts w:hint="eastAsia" w:ascii="宋体" w:hAnsi="宋体"/>
          <w:color w:val="auto"/>
          <w:sz w:val="24"/>
          <w:highlight w:val="none"/>
        </w:rPr>
        <w:t>响应</w:t>
      </w:r>
      <w:r>
        <w:rPr>
          <w:rFonts w:ascii="宋体" w:hAnsi="宋体"/>
          <w:color w:val="auto"/>
          <w:sz w:val="24"/>
          <w:highlight w:val="none"/>
        </w:rPr>
        <w:t>分项报价表”上标明</w:t>
      </w:r>
      <w:r>
        <w:rPr>
          <w:rFonts w:hint="eastAsia" w:ascii="宋体" w:hAnsi="宋体"/>
          <w:color w:val="auto"/>
          <w:sz w:val="24"/>
          <w:highlight w:val="none"/>
        </w:rPr>
        <w:t>所投货物/</w:t>
      </w:r>
      <w:r>
        <w:rPr>
          <w:rFonts w:ascii="宋体" w:hAnsi="宋体"/>
          <w:color w:val="auto"/>
          <w:sz w:val="24"/>
          <w:highlight w:val="none"/>
        </w:rPr>
        <w:t>服务的单价和总价，</w:t>
      </w:r>
      <w:r>
        <w:rPr>
          <w:rFonts w:hint="eastAsia" w:ascii="宋体" w:hAnsi="宋体"/>
          <w:color w:val="auto"/>
          <w:sz w:val="24"/>
          <w:highlight w:val="none"/>
        </w:rPr>
        <w:t>供应商所报的各分项响应单价在合同履行过程中是固定不变的，不得以任何理由予以变更，否则其</w:t>
      </w:r>
      <w:r>
        <w:rPr>
          <w:rFonts w:hint="eastAsia" w:ascii="宋体" w:hAnsi="宋体"/>
          <w:b/>
          <w:bCs/>
          <w:color w:val="auto"/>
          <w:sz w:val="24"/>
          <w:highlight w:val="none"/>
        </w:rPr>
        <w:t>响应无效</w:t>
      </w:r>
      <w:r>
        <w:rPr>
          <w:rFonts w:hint="eastAsia" w:ascii="宋体" w:hAnsi="宋体"/>
          <w:color w:val="auto"/>
          <w:sz w:val="24"/>
          <w:highlight w:val="none"/>
        </w:rPr>
        <w:t>。</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最低报价不是授予合同的唯一保证。</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报价保证金</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308" w:name="_Ref467306302"/>
      <w:r>
        <w:rPr>
          <w:rFonts w:hint="eastAsia" w:ascii="宋体" w:hAnsi="宋体"/>
          <w:color w:val="auto"/>
          <w:sz w:val="24"/>
          <w:highlight w:val="none"/>
        </w:rPr>
        <w:t>供应商</w:t>
      </w:r>
      <w:r>
        <w:rPr>
          <w:rFonts w:ascii="宋体" w:hAnsi="宋体"/>
          <w:color w:val="auto"/>
          <w:sz w:val="24"/>
          <w:highlight w:val="none"/>
        </w:rPr>
        <w:t>应按《</w:t>
      </w:r>
      <w:r>
        <w:rPr>
          <w:rFonts w:hint="eastAsia" w:ascii="宋体" w:hAnsi="宋体"/>
          <w:color w:val="auto"/>
          <w:sz w:val="24"/>
          <w:highlight w:val="none"/>
        </w:rPr>
        <w:t>供应商</w:t>
      </w:r>
      <w:r>
        <w:rPr>
          <w:rFonts w:ascii="宋体" w:hAnsi="宋体"/>
          <w:color w:val="auto"/>
          <w:sz w:val="24"/>
          <w:highlight w:val="none"/>
        </w:rPr>
        <w:t>须知资料表》中规定的金额及要求交纳</w:t>
      </w:r>
      <w:bookmarkEnd w:id="308"/>
      <w:r>
        <w:rPr>
          <w:rFonts w:hint="eastAsia" w:ascii="宋体" w:hAnsi="宋体"/>
          <w:color w:val="auto"/>
          <w:sz w:val="24"/>
          <w:highlight w:val="none"/>
        </w:rPr>
        <w:t>报价保证金</w:t>
      </w:r>
      <w:r>
        <w:rPr>
          <w:rFonts w:ascii="宋体" w:hAnsi="宋体"/>
          <w:color w:val="auto"/>
          <w:sz w:val="24"/>
          <w:highlight w:val="none"/>
        </w:rPr>
        <w:t>，并作为其</w:t>
      </w:r>
      <w:r>
        <w:rPr>
          <w:rFonts w:hint="eastAsia" w:ascii="宋体" w:hAnsi="宋体"/>
          <w:color w:val="auto"/>
          <w:sz w:val="24"/>
          <w:highlight w:val="none"/>
        </w:rPr>
        <w:t>响应</w:t>
      </w:r>
      <w:r>
        <w:rPr>
          <w:rFonts w:ascii="宋体" w:hAnsi="宋体"/>
          <w:color w:val="auto"/>
          <w:sz w:val="24"/>
          <w:highlight w:val="none"/>
        </w:rPr>
        <w:t>的一部分。</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交纳</w:t>
      </w:r>
      <w:r>
        <w:rPr>
          <w:rFonts w:hint="eastAsia" w:ascii="宋体" w:hAnsi="宋体"/>
          <w:color w:val="auto"/>
          <w:sz w:val="24"/>
          <w:highlight w:val="none"/>
        </w:rPr>
        <w:t>报价保证金</w:t>
      </w:r>
      <w:r>
        <w:rPr>
          <w:rFonts w:ascii="宋体" w:hAnsi="宋体"/>
          <w:color w:val="auto"/>
          <w:sz w:val="24"/>
          <w:highlight w:val="none"/>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报价保证金</w:t>
      </w:r>
      <w:r>
        <w:rPr>
          <w:rFonts w:ascii="宋体" w:hAnsi="宋体"/>
          <w:color w:val="auto"/>
          <w:sz w:val="24"/>
          <w:highlight w:val="none"/>
        </w:rPr>
        <w:t>到账（保函提交）截止时间同</w:t>
      </w:r>
      <w:r>
        <w:rPr>
          <w:rFonts w:hint="eastAsia" w:ascii="宋体" w:hAnsi="宋体"/>
          <w:color w:val="auto"/>
          <w:sz w:val="24"/>
          <w:highlight w:val="none"/>
        </w:rPr>
        <w:t>响应</w:t>
      </w:r>
      <w:r>
        <w:rPr>
          <w:rFonts w:ascii="宋体" w:hAnsi="宋体"/>
          <w:color w:val="auto"/>
          <w:sz w:val="24"/>
          <w:highlight w:val="none"/>
        </w:rPr>
        <w:t>截止时间。以支票、汇票、本票、网上银行支付等形式提交</w:t>
      </w:r>
      <w:r>
        <w:rPr>
          <w:rFonts w:hint="eastAsia" w:ascii="宋体" w:hAnsi="宋体"/>
          <w:color w:val="auto"/>
          <w:sz w:val="24"/>
          <w:highlight w:val="none"/>
        </w:rPr>
        <w:t>报价保证金</w:t>
      </w:r>
      <w:r>
        <w:rPr>
          <w:rFonts w:ascii="宋体" w:hAnsi="宋体"/>
          <w:color w:val="auto"/>
          <w:sz w:val="24"/>
          <w:highlight w:val="none"/>
        </w:rPr>
        <w:t>的，应在</w:t>
      </w:r>
      <w:r>
        <w:rPr>
          <w:rFonts w:hint="eastAsia" w:ascii="宋体" w:hAnsi="宋体"/>
          <w:color w:val="auto"/>
          <w:sz w:val="24"/>
          <w:highlight w:val="none"/>
        </w:rPr>
        <w:t>响应</w:t>
      </w:r>
      <w:r>
        <w:rPr>
          <w:rFonts w:ascii="宋体" w:hAnsi="宋体"/>
          <w:color w:val="auto"/>
          <w:sz w:val="24"/>
          <w:highlight w:val="none"/>
        </w:rPr>
        <w:t>截止时间前</w:t>
      </w:r>
      <w:r>
        <w:rPr>
          <w:rFonts w:hint="eastAsia" w:ascii="宋体" w:hAnsi="宋体"/>
          <w:color w:val="auto"/>
          <w:sz w:val="24"/>
          <w:highlight w:val="none"/>
        </w:rPr>
        <w:t>到账</w:t>
      </w:r>
      <w:r>
        <w:rPr>
          <w:rFonts w:ascii="宋体" w:hAnsi="宋体"/>
          <w:color w:val="auto"/>
          <w:sz w:val="24"/>
          <w:highlight w:val="none"/>
        </w:rPr>
        <w:t>；</w:t>
      </w:r>
      <w:r>
        <w:rPr>
          <w:rFonts w:hint="eastAsia" w:ascii="宋体" w:hAnsi="宋体"/>
          <w:color w:val="auto"/>
          <w:sz w:val="24"/>
          <w:highlight w:val="none"/>
        </w:rPr>
        <w:t>以</w:t>
      </w:r>
      <w:r>
        <w:rPr>
          <w:rFonts w:ascii="宋体" w:hAnsi="宋体"/>
          <w:color w:val="auto"/>
          <w:sz w:val="24"/>
          <w:highlight w:val="none"/>
        </w:rPr>
        <w:t>金融机构、担保机构出具的保函等形式提交</w:t>
      </w:r>
      <w:r>
        <w:rPr>
          <w:rFonts w:hint="eastAsia" w:ascii="宋体" w:hAnsi="宋体"/>
          <w:color w:val="auto"/>
          <w:sz w:val="24"/>
          <w:highlight w:val="none"/>
        </w:rPr>
        <w:t>报价保证金</w:t>
      </w:r>
      <w:r>
        <w:rPr>
          <w:rFonts w:ascii="宋体" w:hAnsi="宋体"/>
          <w:color w:val="auto"/>
          <w:sz w:val="24"/>
          <w:highlight w:val="none"/>
        </w:rPr>
        <w:t>的，应在</w:t>
      </w:r>
      <w:r>
        <w:rPr>
          <w:rFonts w:hint="eastAsia" w:ascii="宋体" w:hAnsi="宋体"/>
          <w:color w:val="auto"/>
          <w:sz w:val="24"/>
          <w:highlight w:val="none"/>
        </w:rPr>
        <w:t>响应</w:t>
      </w:r>
      <w:r>
        <w:rPr>
          <w:rFonts w:ascii="宋体" w:hAnsi="宋体"/>
          <w:color w:val="auto"/>
          <w:sz w:val="24"/>
          <w:highlight w:val="none"/>
        </w:rPr>
        <w:t>截止时间前将原件提交至</w:t>
      </w:r>
      <w:r>
        <w:rPr>
          <w:rFonts w:hint="eastAsia" w:ascii="宋体" w:hAnsi="宋体"/>
          <w:color w:val="auto"/>
          <w:sz w:val="24"/>
          <w:highlight w:val="none"/>
        </w:rPr>
        <w:t>采购代理机构。由于到账时间晚于响应截止时间的，或者票据错误、印鉴不清等原因导致不能到账的，其</w:t>
      </w:r>
      <w:r>
        <w:rPr>
          <w:rFonts w:hint="eastAsia" w:ascii="宋体" w:hAnsi="宋体"/>
          <w:b/>
          <w:color w:val="auto"/>
          <w:sz w:val="24"/>
          <w:highlight w:val="none"/>
        </w:rPr>
        <w:t>响应无效</w:t>
      </w:r>
      <w:r>
        <w:rPr>
          <w:rFonts w:hint="eastAsia" w:ascii="宋体" w:hAnsi="宋体"/>
          <w:color w:val="auto"/>
          <w:sz w:val="24"/>
          <w:highlight w:val="none"/>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color w:val="auto"/>
          <w:sz w:val="24"/>
          <w:highlight w:val="none"/>
        </w:rPr>
        <w:t>无效响应</w:t>
      </w:r>
      <w:r>
        <w:rPr>
          <w:rFonts w:hint="eastAsia" w:ascii="宋体" w:hAnsi="宋体"/>
          <w:color w:val="auto"/>
          <w:sz w:val="24"/>
          <w:highlight w:val="none"/>
        </w:rPr>
        <w:t>。</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报价保证金</w:t>
      </w:r>
      <w:r>
        <w:rPr>
          <w:rFonts w:ascii="宋体" w:hAnsi="宋体"/>
          <w:color w:val="auto"/>
          <w:sz w:val="24"/>
          <w:highlight w:val="none"/>
        </w:rPr>
        <w:t>（保函）有效期同</w:t>
      </w:r>
      <w:r>
        <w:rPr>
          <w:rFonts w:hint="eastAsia" w:ascii="宋体" w:hAnsi="宋体"/>
          <w:color w:val="auto"/>
          <w:sz w:val="24"/>
          <w:highlight w:val="none"/>
        </w:rPr>
        <w:t>报价有效期</w:t>
      </w:r>
      <w:r>
        <w:rPr>
          <w:rFonts w:ascii="宋体" w:hAnsi="宋体"/>
          <w:color w:val="auto"/>
          <w:sz w:val="24"/>
          <w:highlight w:val="none"/>
        </w:rPr>
        <w:t>。</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联合体</w:t>
      </w:r>
      <w:r>
        <w:rPr>
          <w:rFonts w:hint="eastAsia" w:ascii="宋体" w:hAnsi="宋体"/>
          <w:color w:val="auto"/>
          <w:sz w:val="24"/>
          <w:highlight w:val="none"/>
        </w:rPr>
        <w:t>响应</w:t>
      </w:r>
      <w:r>
        <w:rPr>
          <w:rFonts w:ascii="宋体" w:hAnsi="宋体"/>
          <w:color w:val="auto"/>
          <w:sz w:val="24"/>
          <w:highlight w:val="none"/>
        </w:rPr>
        <w:t>的，可以由联合体中的一方或者共同提交</w:t>
      </w:r>
      <w:r>
        <w:rPr>
          <w:rFonts w:hint="eastAsia" w:ascii="宋体" w:hAnsi="宋体"/>
          <w:color w:val="auto"/>
          <w:sz w:val="24"/>
          <w:highlight w:val="none"/>
        </w:rPr>
        <w:t>报价保证金</w:t>
      </w:r>
      <w:r>
        <w:rPr>
          <w:rFonts w:ascii="宋体" w:hAnsi="宋体"/>
          <w:color w:val="auto"/>
          <w:sz w:val="24"/>
          <w:highlight w:val="none"/>
        </w:rPr>
        <w:t>，以一方名义提交</w:t>
      </w:r>
      <w:r>
        <w:rPr>
          <w:rFonts w:hint="eastAsia" w:ascii="宋体" w:hAnsi="宋体"/>
          <w:color w:val="auto"/>
          <w:sz w:val="24"/>
          <w:highlight w:val="none"/>
        </w:rPr>
        <w:t>报价保证金</w:t>
      </w:r>
      <w:r>
        <w:rPr>
          <w:rFonts w:ascii="宋体" w:hAnsi="宋体"/>
          <w:color w:val="auto"/>
          <w:sz w:val="24"/>
          <w:highlight w:val="none"/>
        </w:rPr>
        <w:t>的，对联合体各方均具有约束力。</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采购人、采购代理机构将</w:t>
      </w:r>
      <w:r>
        <w:rPr>
          <w:rFonts w:hint="eastAsia" w:ascii="宋体" w:hAnsi="宋体"/>
          <w:color w:val="auto"/>
          <w:sz w:val="24"/>
          <w:highlight w:val="none"/>
        </w:rPr>
        <w:t>按下列时间</w:t>
      </w:r>
      <w:r>
        <w:rPr>
          <w:rFonts w:ascii="宋体" w:hAnsi="宋体"/>
          <w:color w:val="auto"/>
          <w:sz w:val="24"/>
          <w:highlight w:val="none"/>
        </w:rPr>
        <w:t>及时退还</w:t>
      </w:r>
      <w:r>
        <w:rPr>
          <w:rFonts w:hint="eastAsia" w:ascii="宋体" w:hAnsi="宋体"/>
          <w:color w:val="auto"/>
          <w:sz w:val="24"/>
          <w:highlight w:val="none"/>
        </w:rPr>
        <w:t>供应商</w:t>
      </w:r>
      <w:r>
        <w:rPr>
          <w:rFonts w:ascii="宋体" w:hAnsi="宋体"/>
          <w:color w:val="auto"/>
          <w:sz w:val="24"/>
          <w:highlight w:val="none"/>
        </w:rPr>
        <w:t>的</w:t>
      </w:r>
      <w:r>
        <w:rPr>
          <w:rFonts w:hint="eastAsia" w:ascii="宋体" w:hAnsi="宋体"/>
          <w:color w:val="auto"/>
          <w:sz w:val="24"/>
          <w:highlight w:val="none"/>
        </w:rPr>
        <w:t>报价保证金</w:t>
      </w:r>
      <w:r>
        <w:rPr>
          <w:rFonts w:ascii="宋体" w:hAnsi="宋体"/>
          <w:color w:val="auto"/>
          <w:sz w:val="24"/>
          <w:highlight w:val="none"/>
        </w:rPr>
        <w:t>，因</w:t>
      </w:r>
      <w:r>
        <w:rPr>
          <w:rFonts w:hint="eastAsia" w:ascii="宋体" w:hAnsi="宋体"/>
          <w:color w:val="auto"/>
          <w:sz w:val="24"/>
          <w:highlight w:val="none"/>
        </w:rPr>
        <w:t>供应商</w:t>
      </w:r>
      <w:r>
        <w:rPr>
          <w:rFonts w:ascii="宋体" w:hAnsi="宋体"/>
          <w:color w:val="auto"/>
          <w:sz w:val="24"/>
          <w:highlight w:val="none"/>
        </w:rPr>
        <w:t>自身原因导致无法及时退还的除外：</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在</w:t>
      </w:r>
      <w:r>
        <w:rPr>
          <w:rFonts w:hint="eastAsia" w:ascii="宋体" w:hAnsi="宋体"/>
          <w:color w:val="auto"/>
          <w:sz w:val="24"/>
          <w:highlight w:val="none"/>
        </w:rPr>
        <w:t>响应</w:t>
      </w:r>
      <w:r>
        <w:rPr>
          <w:rFonts w:ascii="宋体" w:hAnsi="宋体"/>
          <w:color w:val="auto"/>
          <w:sz w:val="24"/>
          <w:highlight w:val="none"/>
        </w:rPr>
        <w:t>截止时间前撤回已提交的</w:t>
      </w:r>
      <w:r>
        <w:rPr>
          <w:rFonts w:hint="eastAsia" w:ascii="宋体" w:hAnsi="宋体"/>
          <w:color w:val="auto"/>
          <w:sz w:val="24"/>
          <w:highlight w:val="none"/>
        </w:rPr>
        <w:t>响应文件</w:t>
      </w:r>
      <w:r>
        <w:rPr>
          <w:rFonts w:ascii="宋体" w:hAnsi="宋体"/>
          <w:color w:val="auto"/>
          <w:sz w:val="24"/>
          <w:highlight w:val="none"/>
        </w:rPr>
        <w:t>的，自收到</w:t>
      </w:r>
      <w:r>
        <w:rPr>
          <w:rFonts w:hint="eastAsia" w:ascii="宋体" w:hAnsi="宋体"/>
          <w:color w:val="auto"/>
          <w:sz w:val="24"/>
          <w:highlight w:val="none"/>
        </w:rPr>
        <w:t>供应商</w:t>
      </w:r>
      <w:r>
        <w:rPr>
          <w:rFonts w:ascii="宋体" w:hAnsi="宋体"/>
          <w:color w:val="auto"/>
          <w:sz w:val="24"/>
          <w:highlight w:val="none"/>
        </w:rPr>
        <w:t>书面撤回通知之日起5个工作日内退还已收取的</w:t>
      </w:r>
      <w:r>
        <w:rPr>
          <w:rFonts w:hint="eastAsia" w:ascii="宋体" w:hAnsi="宋体"/>
          <w:color w:val="auto"/>
          <w:sz w:val="24"/>
          <w:highlight w:val="none"/>
        </w:rPr>
        <w:t>报价保证金</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成交人</w:t>
      </w:r>
      <w:r>
        <w:rPr>
          <w:rFonts w:ascii="宋体" w:hAnsi="宋体"/>
          <w:color w:val="auto"/>
          <w:sz w:val="24"/>
          <w:highlight w:val="none"/>
        </w:rPr>
        <w:t>的</w:t>
      </w:r>
      <w:r>
        <w:rPr>
          <w:rFonts w:hint="eastAsia" w:ascii="宋体" w:hAnsi="宋体"/>
          <w:color w:val="auto"/>
          <w:sz w:val="24"/>
          <w:highlight w:val="none"/>
        </w:rPr>
        <w:t>报价保证金</w:t>
      </w:r>
      <w:r>
        <w:rPr>
          <w:rFonts w:ascii="宋体" w:hAnsi="宋体"/>
          <w:color w:val="auto"/>
          <w:sz w:val="24"/>
          <w:highlight w:val="none"/>
        </w:rPr>
        <w:t>，自采购合同签订之日起5个工作日内退还</w:t>
      </w:r>
      <w:r>
        <w:rPr>
          <w:rFonts w:hint="eastAsia" w:ascii="宋体" w:hAnsi="宋体"/>
          <w:color w:val="auto"/>
          <w:sz w:val="24"/>
          <w:highlight w:val="none"/>
        </w:rPr>
        <w:t>成交人</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未</w:t>
      </w:r>
      <w:r>
        <w:rPr>
          <w:rFonts w:hint="eastAsia" w:ascii="宋体" w:hAnsi="宋体"/>
          <w:color w:val="auto"/>
          <w:sz w:val="24"/>
          <w:highlight w:val="none"/>
        </w:rPr>
        <w:t>成交供应商</w:t>
      </w:r>
      <w:r>
        <w:rPr>
          <w:rFonts w:ascii="宋体" w:hAnsi="宋体"/>
          <w:color w:val="auto"/>
          <w:sz w:val="24"/>
          <w:highlight w:val="none"/>
        </w:rPr>
        <w:t>的</w:t>
      </w:r>
      <w:r>
        <w:rPr>
          <w:rFonts w:hint="eastAsia" w:ascii="宋体" w:hAnsi="宋体"/>
          <w:color w:val="auto"/>
          <w:sz w:val="24"/>
          <w:highlight w:val="none"/>
        </w:rPr>
        <w:t>报价保证金</w:t>
      </w:r>
      <w:r>
        <w:rPr>
          <w:rFonts w:ascii="宋体" w:hAnsi="宋体"/>
          <w:color w:val="auto"/>
          <w:sz w:val="24"/>
          <w:highlight w:val="none"/>
        </w:rPr>
        <w:t>，自</w:t>
      </w:r>
      <w:r>
        <w:rPr>
          <w:rFonts w:hint="eastAsia" w:ascii="宋体" w:hAnsi="宋体"/>
          <w:color w:val="auto"/>
          <w:sz w:val="24"/>
          <w:highlight w:val="none"/>
        </w:rPr>
        <w:t>成交</w:t>
      </w:r>
      <w:r>
        <w:rPr>
          <w:rFonts w:ascii="宋体" w:hAnsi="宋体"/>
          <w:color w:val="auto"/>
          <w:sz w:val="24"/>
          <w:highlight w:val="none"/>
        </w:rPr>
        <w:t>通知书发出之日起5个工作日内退还未</w:t>
      </w:r>
      <w:r>
        <w:rPr>
          <w:rFonts w:hint="eastAsia" w:ascii="宋体" w:hAnsi="宋体"/>
          <w:color w:val="auto"/>
          <w:sz w:val="24"/>
          <w:highlight w:val="none"/>
        </w:rPr>
        <w:t>成交人</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终止招标项目已经收取</w:t>
      </w:r>
      <w:r>
        <w:rPr>
          <w:rFonts w:hint="eastAsia" w:ascii="宋体" w:hAnsi="宋体"/>
          <w:color w:val="auto"/>
          <w:sz w:val="24"/>
          <w:highlight w:val="none"/>
        </w:rPr>
        <w:t>报价保证金</w:t>
      </w:r>
      <w:r>
        <w:rPr>
          <w:rFonts w:ascii="宋体" w:hAnsi="宋体"/>
          <w:color w:val="auto"/>
          <w:sz w:val="24"/>
          <w:highlight w:val="none"/>
        </w:rPr>
        <w:t>的，自终止采购活动后5个工作日内退还已收取的</w:t>
      </w:r>
      <w:r>
        <w:rPr>
          <w:rFonts w:hint="eastAsia" w:ascii="宋体" w:hAnsi="宋体"/>
          <w:color w:val="auto"/>
          <w:sz w:val="24"/>
          <w:highlight w:val="none"/>
        </w:rPr>
        <w:t>报价保证金</w:t>
      </w:r>
      <w:r>
        <w:rPr>
          <w:rFonts w:ascii="宋体" w:hAnsi="宋体"/>
          <w:color w:val="auto"/>
          <w:sz w:val="24"/>
          <w:highlight w:val="none"/>
        </w:rPr>
        <w:t>及其在银行产生的孳息。</w:t>
      </w:r>
    </w:p>
    <w:p>
      <w:pPr>
        <w:tabs>
          <w:tab w:val="left" w:pos="1980"/>
        </w:tabs>
        <w:snapToGrid w:val="0"/>
        <w:spacing w:line="360" w:lineRule="auto"/>
        <w:ind w:left="1080"/>
        <w:rPr>
          <w:rFonts w:ascii="宋体" w:hAnsi="宋体"/>
          <w:color w:val="auto"/>
          <w:sz w:val="24"/>
          <w:highlight w:val="none"/>
        </w:rPr>
      </w:pPr>
      <w:r>
        <w:rPr>
          <w:rFonts w:hint="eastAsia" w:ascii="宋体" w:hAnsi="宋体"/>
          <w:color w:val="auto"/>
          <w:sz w:val="24"/>
          <w:highlight w:val="none"/>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有下列情形之一的，采购人或采购代理机构可以不予退还</w:t>
      </w:r>
      <w:r>
        <w:rPr>
          <w:rFonts w:hint="eastAsia" w:ascii="宋体" w:hAnsi="宋体"/>
          <w:color w:val="auto"/>
          <w:sz w:val="24"/>
          <w:highlight w:val="none"/>
        </w:rPr>
        <w:t>报价保证金</w:t>
      </w:r>
      <w:r>
        <w:rPr>
          <w:rFonts w:ascii="宋体" w:hAnsi="宋体"/>
          <w:color w:val="auto"/>
          <w:sz w:val="24"/>
          <w:highlight w:val="none"/>
        </w:rPr>
        <w:t>：</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报价有效期</w:t>
      </w:r>
      <w:r>
        <w:rPr>
          <w:rFonts w:ascii="宋体" w:hAnsi="宋体"/>
          <w:color w:val="auto"/>
          <w:sz w:val="24"/>
          <w:highlight w:val="none"/>
        </w:rPr>
        <w:t>内</w:t>
      </w:r>
      <w:r>
        <w:rPr>
          <w:rFonts w:hint="eastAsia" w:ascii="宋体" w:hAnsi="宋体"/>
          <w:color w:val="auto"/>
          <w:sz w:val="24"/>
          <w:highlight w:val="none"/>
        </w:rPr>
        <w:t>供应商</w:t>
      </w:r>
      <w:r>
        <w:rPr>
          <w:rFonts w:ascii="宋体" w:hAnsi="宋体"/>
          <w:color w:val="auto"/>
          <w:sz w:val="24"/>
          <w:highlight w:val="none"/>
        </w:rPr>
        <w:t>撤销</w:t>
      </w:r>
      <w:r>
        <w:rPr>
          <w:rFonts w:hint="eastAsia" w:ascii="宋体" w:hAnsi="宋体"/>
          <w:color w:val="auto"/>
          <w:sz w:val="24"/>
          <w:highlight w:val="none"/>
        </w:rPr>
        <w:t>响应文件</w:t>
      </w:r>
      <w:r>
        <w:rPr>
          <w:rFonts w:ascii="宋体" w:hAnsi="宋体"/>
          <w:color w:val="auto"/>
          <w:sz w:val="24"/>
          <w:highlight w:val="none"/>
        </w:rPr>
        <w:t>的；</w:t>
      </w:r>
    </w:p>
    <w:p>
      <w:pPr>
        <w:numPr>
          <w:ilvl w:val="2"/>
          <w:numId w:val="8"/>
        </w:numPr>
        <w:tabs>
          <w:tab w:val="left" w:pos="900"/>
          <w:tab w:val="left" w:pos="1080"/>
          <w:tab w:val="left" w:pos="2014"/>
        </w:tabs>
        <w:snapToGrid w:val="0"/>
        <w:spacing w:line="360" w:lineRule="auto"/>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须知资料表》中规定的其他情形。</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报价有效期</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应在本</w:t>
      </w:r>
      <w:r>
        <w:rPr>
          <w:rFonts w:hint="eastAsia" w:ascii="宋体" w:hAnsi="宋体"/>
          <w:color w:val="auto"/>
          <w:sz w:val="24"/>
          <w:highlight w:val="none"/>
        </w:rPr>
        <w:t>比选文件</w:t>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须知资料表》中规定的</w:t>
      </w:r>
      <w:r>
        <w:rPr>
          <w:rFonts w:hint="eastAsia" w:ascii="宋体" w:hAnsi="宋体"/>
          <w:color w:val="auto"/>
          <w:sz w:val="24"/>
          <w:highlight w:val="none"/>
        </w:rPr>
        <w:t>报价有效期</w:t>
      </w:r>
      <w:r>
        <w:rPr>
          <w:rFonts w:ascii="宋体" w:hAnsi="宋体"/>
          <w:color w:val="auto"/>
          <w:sz w:val="24"/>
          <w:highlight w:val="none"/>
        </w:rPr>
        <w:t>内保持有效，</w:t>
      </w:r>
      <w:r>
        <w:rPr>
          <w:rFonts w:hint="eastAsia" w:ascii="宋体" w:hAnsi="宋体"/>
          <w:color w:val="auto"/>
          <w:sz w:val="24"/>
          <w:highlight w:val="none"/>
        </w:rPr>
        <w:t>报价有效期</w:t>
      </w:r>
      <w:r>
        <w:rPr>
          <w:rFonts w:ascii="宋体" w:hAnsi="宋体"/>
          <w:color w:val="auto"/>
          <w:sz w:val="24"/>
          <w:highlight w:val="none"/>
        </w:rPr>
        <w:t>少于</w:t>
      </w:r>
      <w:r>
        <w:rPr>
          <w:rFonts w:hint="eastAsia" w:ascii="宋体" w:hAnsi="宋体"/>
          <w:color w:val="auto"/>
          <w:sz w:val="24"/>
          <w:highlight w:val="none"/>
        </w:rPr>
        <w:t>比选文件</w:t>
      </w:r>
      <w:r>
        <w:rPr>
          <w:rFonts w:ascii="宋体" w:hAnsi="宋体"/>
          <w:color w:val="auto"/>
          <w:sz w:val="24"/>
          <w:highlight w:val="none"/>
        </w:rPr>
        <w:t>规定期限的，其</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09" w:name="_Toc151193631"/>
      <w:bookmarkStart w:id="310" w:name="_Toc151193703"/>
      <w:bookmarkStart w:id="311" w:name="_Toc127151533"/>
      <w:bookmarkStart w:id="312" w:name="_Toc164351627"/>
      <w:bookmarkStart w:id="313" w:name="_Toc195842898"/>
      <w:bookmarkStart w:id="314" w:name="_Toc520356158"/>
      <w:bookmarkStart w:id="315" w:name="_Toc150774633"/>
      <w:bookmarkStart w:id="316" w:name="_Toc226309777"/>
      <w:bookmarkStart w:id="317" w:name="_Toc127151734"/>
      <w:bookmarkStart w:id="318" w:name="_Toc265228371"/>
      <w:bookmarkStart w:id="319" w:name="_Toc151190160"/>
      <w:bookmarkStart w:id="320" w:name="_Toc150480771"/>
      <w:bookmarkStart w:id="321" w:name="_Toc226965806"/>
      <w:bookmarkStart w:id="322" w:name="_Toc164229228"/>
      <w:bookmarkStart w:id="323" w:name="_Toc305158801"/>
      <w:bookmarkStart w:id="324" w:name="_Toc150774738"/>
      <w:bookmarkStart w:id="325" w:name="_Toc226337229"/>
      <w:bookmarkStart w:id="326" w:name="_Toc305158875"/>
      <w:bookmarkStart w:id="327" w:name="_Toc151193847"/>
      <w:bookmarkStart w:id="328" w:name="_Toc150509284"/>
      <w:bookmarkStart w:id="329" w:name="_Toc226965723"/>
      <w:bookmarkStart w:id="330" w:name="_Toc142311035"/>
      <w:bookmarkStart w:id="331" w:name="_Toc164608647"/>
      <w:bookmarkStart w:id="332" w:name="_Toc164229374"/>
      <w:bookmarkStart w:id="333" w:name="_Toc149720826"/>
      <w:bookmarkStart w:id="334" w:name="_Toc127161447"/>
      <w:bookmarkStart w:id="335" w:name="_Toc151193775"/>
      <w:bookmarkStart w:id="336" w:name="_Toc264969223"/>
      <w:bookmarkStart w:id="337" w:name="_Toc164608802"/>
      <w:bookmarkStart w:id="338" w:name="_Toc151193921"/>
      <w:r>
        <w:rPr>
          <w:rFonts w:hint="eastAsia" w:ascii="宋体" w:hAnsi="宋体"/>
          <w:color w:val="auto"/>
          <w:sz w:val="24"/>
          <w:highlight w:val="none"/>
        </w:rPr>
        <w:t>响应文件</w:t>
      </w:r>
      <w:r>
        <w:rPr>
          <w:rFonts w:ascii="宋体" w:hAnsi="宋体"/>
          <w:color w:val="auto"/>
          <w:sz w:val="24"/>
          <w:highlight w:val="none"/>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color w:val="auto"/>
          <w:sz w:val="24"/>
          <w:highlight w:val="none"/>
        </w:rPr>
        <w:t>、盖章</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339" w:name="_Toc226337230"/>
      <w:bookmarkStart w:id="340" w:name="_Toc305158802"/>
      <w:bookmarkStart w:id="341" w:name="_Toc151193704"/>
      <w:bookmarkStart w:id="342" w:name="_Toc151190161"/>
      <w:bookmarkStart w:id="343" w:name="_Toc226965807"/>
      <w:bookmarkStart w:id="344" w:name="_Toc305158876"/>
      <w:bookmarkStart w:id="345" w:name="_Toc264969224"/>
      <w:bookmarkStart w:id="346" w:name="_Toc150509285"/>
      <w:bookmarkStart w:id="347" w:name="_Toc151193632"/>
      <w:bookmarkStart w:id="348" w:name="_Toc127151534"/>
      <w:bookmarkStart w:id="349" w:name="_Toc226965724"/>
      <w:bookmarkStart w:id="350" w:name="_Toc265228372"/>
      <w:bookmarkStart w:id="351" w:name="_Toc150774634"/>
      <w:bookmarkStart w:id="352" w:name="_Toc150480772"/>
      <w:bookmarkStart w:id="353" w:name="_Toc520356159"/>
      <w:bookmarkStart w:id="354" w:name="_Toc195842899"/>
      <w:bookmarkStart w:id="355" w:name="_Toc142311036"/>
      <w:bookmarkStart w:id="356" w:name="_Toc151193848"/>
      <w:bookmarkStart w:id="357" w:name="_Toc150774739"/>
      <w:bookmarkStart w:id="358" w:name="_Toc151193776"/>
      <w:bookmarkStart w:id="359" w:name="_Toc151193922"/>
      <w:bookmarkStart w:id="360" w:name="_Toc226309778"/>
      <w:r>
        <w:rPr>
          <w:rFonts w:hint="eastAsia" w:ascii="宋体" w:hAnsi="宋体"/>
          <w:color w:val="auto"/>
          <w:sz w:val="24"/>
          <w:highlight w:val="none"/>
        </w:rPr>
        <w:t>供应商</w:t>
      </w:r>
      <w:r>
        <w:rPr>
          <w:rFonts w:ascii="宋体" w:hAnsi="宋体"/>
          <w:color w:val="auto"/>
          <w:sz w:val="24"/>
          <w:highlight w:val="none"/>
        </w:rPr>
        <w:t>应按</w:t>
      </w:r>
      <w:r>
        <w:rPr>
          <w:rFonts w:hint="eastAsia" w:ascii="宋体" w:hAnsi="宋体"/>
          <w:color w:val="auto"/>
          <w:sz w:val="24"/>
          <w:highlight w:val="none"/>
        </w:rPr>
        <w:t>比选文件响应</w:t>
      </w:r>
      <w:r>
        <w:rPr>
          <w:rFonts w:ascii="宋体" w:hAnsi="宋体"/>
          <w:color w:val="auto"/>
          <w:sz w:val="24"/>
          <w:highlight w:val="none"/>
        </w:rPr>
        <w:t>须知资料表的规定准备</w:t>
      </w:r>
      <w:r>
        <w:rPr>
          <w:rFonts w:hint="eastAsia" w:ascii="宋体" w:hAnsi="宋体"/>
          <w:color w:val="auto"/>
          <w:sz w:val="24"/>
          <w:highlight w:val="none"/>
        </w:rPr>
        <w:t>响应文件</w:t>
      </w:r>
      <w:r>
        <w:rPr>
          <w:rFonts w:ascii="宋体" w:hAnsi="宋体"/>
          <w:color w:val="auto"/>
          <w:sz w:val="24"/>
          <w:highlight w:val="none"/>
        </w:rPr>
        <w:t>正本和副本</w:t>
      </w:r>
      <w:r>
        <w:rPr>
          <w:rFonts w:hint="eastAsia" w:ascii="宋体" w:hAnsi="宋体"/>
          <w:color w:val="auto"/>
          <w:sz w:val="24"/>
          <w:highlight w:val="none"/>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供应商为自然人的，只须按要求签字，响应文件所有加盖公章的要求均不适用。</w:t>
      </w:r>
    </w:p>
    <w:p>
      <w:pPr>
        <w:pStyle w:val="5"/>
        <w:spacing w:before="0" w:line="360" w:lineRule="auto"/>
        <w:rPr>
          <w:rFonts w:ascii="宋体" w:hAnsi="宋体" w:eastAsia="宋体"/>
          <w:color w:val="auto"/>
          <w:sz w:val="28"/>
          <w:highlight w:val="none"/>
        </w:rPr>
      </w:pPr>
      <w:r>
        <w:rPr>
          <w:rFonts w:ascii="宋体" w:hAnsi="宋体" w:eastAsia="宋体"/>
          <w:color w:val="auto"/>
          <w:sz w:val="28"/>
          <w:highlight w:val="none"/>
        </w:rPr>
        <w:t xml:space="preserve">四  </w:t>
      </w:r>
      <w:r>
        <w:rPr>
          <w:rFonts w:hint="eastAsia" w:ascii="宋体" w:hAnsi="宋体" w:eastAsia="宋体"/>
          <w:color w:val="auto"/>
          <w:sz w:val="28"/>
          <w:highlight w:val="none"/>
        </w:rPr>
        <w:t>响应文件</w:t>
      </w:r>
      <w:r>
        <w:rPr>
          <w:rFonts w:ascii="宋体" w:hAnsi="宋体" w:eastAsia="宋体"/>
          <w:color w:val="auto"/>
          <w:sz w:val="28"/>
          <w:highlight w:val="none"/>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响应文件的密封和标记</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为方便核查报价保证金，供应商应将“报价保证金</w:t>
      </w:r>
      <w:r>
        <w:rPr>
          <w:rFonts w:ascii="宋体" w:hAnsi="宋体"/>
          <w:color w:val="auto"/>
          <w:sz w:val="24"/>
          <w:highlight w:val="none"/>
        </w:rPr>
        <w:t>”</w:t>
      </w:r>
      <w:r>
        <w:rPr>
          <w:rFonts w:hint="eastAsia" w:ascii="宋体" w:hAnsi="宋体"/>
          <w:color w:val="auto"/>
          <w:sz w:val="24"/>
          <w:highlight w:val="none"/>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所有信封（箱）上均应：</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清楚标明递交至规定的</w:t>
      </w:r>
      <w:r>
        <w:rPr>
          <w:rFonts w:hint="eastAsia" w:ascii="宋体" w:hAnsi="宋体"/>
          <w:color w:val="auto"/>
          <w:sz w:val="24"/>
          <w:highlight w:val="none"/>
        </w:rPr>
        <w:t>响应</w:t>
      </w:r>
      <w:r>
        <w:rPr>
          <w:rFonts w:ascii="宋体" w:hAnsi="宋体"/>
          <w:color w:val="auto"/>
          <w:sz w:val="24"/>
          <w:highlight w:val="none"/>
        </w:rPr>
        <w:t>地址。</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注明项目名称、招标编号和“在</w:t>
      </w:r>
      <w:r>
        <w:rPr>
          <w:rFonts w:ascii="宋体" w:hAnsi="宋体"/>
          <w:color w:val="auto"/>
          <w:sz w:val="24"/>
          <w:highlight w:val="none"/>
          <w:u w:val="single"/>
        </w:rPr>
        <w:t xml:space="preserve">     （</w:t>
      </w:r>
      <w:r>
        <w:rPr>
          <w:rFonts w:hint="eastAsia" w:ascii="宋体" w:hAnsi="宋体"/>
          <w:color w:val="auto"/>
          <w:sz w:val="24"/>
          <w:highlight w:val="none"/>
          <w:u w:val="single"/>
        </w:rPr>
        <w:t>开选</w:t>
      </w:r>
      <w:r>
        <w:rPr>
          <w:rFonts w:ascii="宋体" w:hAnsi="宋体"/>
          <w:color w:val="auto"/>
          <w:sz w:val="24"/>
          <w:highlight w:val="none"/>
          <w:u w:val="single"/>
        </w:rPr>
        <w:t xml:space="preserve">日期、时间 ）    </w:t>
      </w:r>
      <w:r>
        <w:rPr>
          <w:rFonts w:ascii="宋体" w:hAnsi="宋体"/>
          <w:color w:val="auto"/>
          <w:sz w:val="24"/>
          <w:highlight w:val="none"/>
        </w:rPr>
        <w:t>之前不得启封”的字样。</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在信封（箱）的封装处加盖</w:t>
      </w:r>
      <w:r>
        <w:rPr>
          <w:rFonts w:hint="eastAsia" w:ascii="宋体" w:hAnsi="宋体"/>
          <w:color w:val="auto"/>
          <w:sz w:val="24"/>
          <w:highlight w:val="none"/>
        </w:rPr>
        <w:t>供应商</w:t>
      </w:r>
      <w:r>
        <w:rPr>
          <w:rFonts w:ascii="宋体" w:hAnsi="宋体"/>
          <w:color w:val="auto"/>
          <w:sz w:val="24"/>
          <w:highlight w:val="none"/>
        </w:rPr>
        <w:t>公章。</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61" w:name="_Toc226965726"/>
      <w:bookmarkStart w:id="362" w:name="_Toc195842901"/>
      <w:bookmarkStart w:id="363" w:name="_Toc265228374"/>
      <w:bookmarkStart w:id="364" w:name="_Toc149720829"/>
      <w:bookmarkStart w:id="365" w:name="_Toc150480774"/>
      <w:bookmarkStart w:id="366" w:name="_Toc264969226"/>
      <w:bookmarkStart w:id="367" w:name="_Toc164608805"/>
      <w:bookmarkStart w:id="368" w:name="_Toc151193634"/>
      <w:bookmarkStart w:id="369" w:name="_Toc164351630"/>
      <w:bookmarkStart w:id="370" w:name="_Toc151190163"/>
      <w:bookmarkStart w:id="371" w:name="_Toc226337232"/>
      <w:bookmarkStart w:id="372" w:name="_Toc142311038"/>
      <w:bookmarkStart w:id="373" w:name="_Toc150509287"/>
      <w:bookmarkStart w:id="374" w:name="_Toc151193706"/>
      <w:bookmarkStart w:id="375" w:name="_Toc127151536"/>
      <w:bookmarkStart w:id="376" w:name="_Toc151193850"/>
      <w:bookmarkStart w:id="377" w:name="_Toc151193924"/>
      <w:bookmarkStart w:id="378" w:name="_Toc127161450"/>
      <w:bookmarkStart w:id="379" w:name="_Toc226309780"/>
      <w:bookmarkStart w:id="380" w:name="_Toc305158878"/>
      <w:bookmarkStart w:id="381" w:name="_Toc226965809"/>
      <w:bookmarkStart w:id="382" w:name="_Toc305158804"/>
      <w:bookmarkStart w:id="383" w:name="_Toc151193778"/>
      <w:bookmarkStart w:id="384" w:name="_Toc164229231"/>
      <w:bookmarkStart w:id="385" w:name="_Toc520356161"/>
      <w:bookmarkStart w:id="386" w:name="_Toc164608650"/>
      <w:bookmarkStart w:id="387" w:name="_Toc150774741"/>
      <w:bookmarkStart w:id="388" w:name="_Toc150774636"/>
      <w:bookmarkStart w:id="389" w:name="_Toc127151737"/>
      <w:bookmarkStart w:id="390" w:name="_Toc164229377"/>
      <w:r>
        <w:rPr>
          <w:rFonts w:hint="eastAsia" w:ascii="宋体" w:hAnsi="宋体"/>
          <w:color w:val="auto"/>
          <w:sz w:val="24"/>
          <w:highlight w:val="none"/>
        </w:rPr>
        <w:t>响应</w:t>
      </w:r>
      <w:r>
        <w:rPr>
          <w:rFonts w:ascii="宋体" w:hAnsi="宋体"/>
          <w:color w:val="auto"/>
          <w:sz w:val="24"/>
          <w:highlight w:val="none"/>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color w:val="auto"/>
          <w:sz w:val="24"/>
          <w:highlight w:val="none"/>
        </w:rPr>
        <w:t>时间</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391" w:name="_Toc151193925"/>
      <w:bookmarkStart w:id="392" w:name="_Toc150774742"/>
      <w:bookmarkStart w:id="393" w:name="_Toc142311039"/>
      <w:bookmarkStart w:id="394" w:name="_Toc226337233"/>
      <w:bookmarkStart w:id="395" w:name="_Toc151193707"/>
      <w:bookmarkStart w:id="396" w:name="_Toc226965727"/>
      <w:bookmarkStart w:id="397" w:name="_Toc164229232"/>
      <w:bookmarkStart w:id="398" w:name="_Toc151193851"/>
      <w:bookmarkStart w:id="399" w:name="_Toc226309781"/>
      <w:bookmarkStart w:id="400" w:name="_Toc195842902"/>
      <w:bookmarkStart w:id="401" w:name="_Toc226965810"/>
      <w:bookmarkStart w:id="402" w:name="_Toc264969227"/>
      <w:bookmarkStart w:id="403" w:name="_Toc149720830"/>
      <w:bookmarkStart w:id="404" w:name="_Toc520356162"/>
      <w:bookmarkStart w:id="405" w:name="_Toc150480775"/>
      <w:bookmarkStart w:id="406" w:name="_Toc164229378"/>
      <w:bookmarkStart w:id="407" w:name="_Toc127151537"/>
      <w:bookmarkStart w:id="408" w:name="_Toc164608651"/>
      <w:bookmarkStart w:id="409" w:name="_Toc164608806"/>
      <w:bookmarkStart w:id="410" w:name="_Toc151193635"/>
      <w:bookmarkStart w:id="411" w:name="_Toc305158805"/>
      <w:bookmarkStart w:id="412" w:name="_Toc164351631"/>
      <w:bookmarkStart w:id="413" w:name="_Toc127151738"/>
      <w:bookmarkStart w:id="414" w:name="_Toc150774637"/>
      <w:bookmarkStart w:id="415" w:name="_Toc151193779"/>
      <w:bookmarkStart w:id="416" w:name="_Toc151190164"/>
      <w:bookmarkStart w:id="417" w:name="_Toc265228375"/>
      <w:bookmarkStart w:id="418" w:name="_Toc305158879"/>
      <w:bookmarkStart w:id="419" w:name="_Toc150509288"/>
      <w:bookmarkStart w:id="420" w:name="_Toc127161451"/>
      <w:r>
        <w:rPr>
          <w:rFonts w:hint="eastAsia" w:ascii="宋体" w:hAnsi="宋体"/>
          <w:color w:val="auto"/>
          <w:sz w:val="24"/>
          <w:highlight w:val="none"/>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采购人或</w:t>
      </w:r>
      <w:r>
        <w:rPr>
          <w:rFonts w:ascii="宋体" w:hAnsi="宋体"/>
          <w:color w:val="auto"/>
          <w:sz w:val="24"/>
          <w:highlight w:val="none"/>
        </w:rPr>
        <w:t>采购代理机构将拒绝并原封退回在</w:t>
      </w:r>
      <w:r>
        <w:rPr>
          <w:rFonts w:hint="eastAsia" w:ascii="宋体" w:hAnsi="宋体"/>
          <w:color w:val="auto"/>
          <w:sz w:val="24"/>
          <w:highlight w:val="none"/>
        </w:rPr>
        <w:t>响应</w:t>
      </w:r>
      <w:r>
        <w:rPr>
          <w:rFonts w:ascii="宋体" w:hAnsi="宋体"/>
          <w:color w:val="auto"/>
          <w:sz w:val="24"/>
          <w:highlight w:val="none"/>
        </w:rPr>
        <w:t>截止</w:t>
      </w:r>
      <w:r>
        <w:rPr>
          <w:rFonts w:hint="eastAsia" w:ascii="宋体" w:hAnsi="宋体"/>
          <w:color w:val="auto"/>
          <w:sz w:val="24"/>
          <w:highlight w:val="none"/>
        </w:rPr>
        <w:t>时间</w:t>
      </w:r>
      <w:r>
        <w:rPr>
          <w:rFonts w:ascii="宋体" w:hAnsi="宋体"/>
          <w:color w:val="auto"/>
          <w:sz w:val="24"/>
          <w:highlight w:val="none"/>
        </w:rPr>
        <w:t>后收到的任何</w:t>
      </w:r>
      <w:r>
        <w:rPr>
          <w:rFonts w:hint="eastAsia" w:ascii="宋体" w:hAnsi="宋体"/>
          <w:color w:val="auto"/>
          <w:sz w:val="24"/>
          <w:highlight w:val="none"/>
        </w:rPr>
        <w:t>响应文件</w:t>
      </w:r>
      <w:r>
        <w:rPr>
          <w:rFonts w:ascii="宋体" w:hAnsi="宋体"/>
          <w:color w:val="auto"/>
          <w:sz w:val="24"/>
          <w:highlight w:val="none"/>
        </w:rPr>
        <w:t>。</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响应文件的修改、补充与撤回</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供应商对响应文件的补充或修改通知应按本章1</w:t>
      </w:r>
      <w:r>
        <w:rPr>
          <w:rFonts w:ascii="宋体" w:hAnsi="宋体"/>
          <w:color w:val="auto"/>
          <w:sz w:val="24"/>
          <w:highlight w:val="none"/>
        </w:rPr>
        <w:t>5</w:t>
      </w:r>
      <w:r>
        <w:rPr>
          <w:rFonts w:hint="eastAsia" w:ascii="宋体" w:hAnsi="宋体"/>
          <w:color w:val="auto"/>
          <w:sz w:val="24"/>
          <w:highlight w:val="none"/>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在响应截止时间之后，供应商</w:t>
      </w:r>
      <w:r>
        <w:rPr>
          <w:rFonts w:ascii="宋体" w:hAnsi="宋体"/>
          <w:color w:val="auto"/>
          <w:sz w:val="24"/>
          <w:highlight w:val="none"/>
        </w:rPr>
        <w:t>不得对其</w:t>
      </w:r>
      <w:r>
        <w:rPr>
          <w:rFonts w:hint="eastAsia" w:ascii="宋体" w:hAnsi="宋体"/>
          <w:color w:val="auto"/>
          <w:sz w:val="24"/>
          <w:highlight w:val="none"/>
        </w:rPr>
        <w:t>响应文件</w:t>
      </w:r>
      <w:r>
        <w:rPr>
          <w:rFonts w:ascii="宋体" w:hAnsi="宋体"/>
          <w:color w:val="auto"/>
          <w:sz w:val="24"/>
          <w:highlight w:val="none"/>
        </w:rPr>
        <w:t>做任何</w:t>
      </w:r>
      <w:r>
        <w:rPr>
          <w:rFonts w:hint="eastAsia" w:ascii="宋体" w:hAnsi="宋体"/>
          <w:color w:val="auto"/>
          <w:sz w:val="24"/>
          <w:highlight w:val="none"/>
        </w:rPr>
        <w:t>补充、</w:t>
      </w:r>
      <w:r>
        <w:rPr>
          <w:rFonts w:ascii="宋体" w:hAnsi="宋体"/>
          <w:color w:val="auto"/>
          <w:sz w:val="24"/>
          <w:highlight w:val="none"/>
        </w:rPr>
        <w:t>修改</w:t>
      </w:r>
      <w:r>
        <w:rPr>
          <w:rFonts w:hint="eastAsia" w:ascii="宋体" w:hAnsi="宋体"/>
          <w:color w:val="auto"/>
          <w:sz w:val="24"/>
          <w:highlight w:val="none"/>
        </w:rPr>
        <w:t>（评标委员会要求的澄清除外）。</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在响应截止时间后、报价有效期内，供应商不得撤销其响应文件（包括全部响应资料），否则其报价保证金将不予退回。</w:t>
      </w:r>
    </w:p>
    <w:p>
      <w:pPr>
        <w:pStyle w:val="5"/>
        <w:spacing w:before="0" w:line="360" w:lineRule="auto"/>
        <w:rPr>
          <w:rFonts w:ascii="宋体" w:hAnsi="宋体" w:eastAsia="宋体"/>
          <w:color w:val="auto"/>
          <w:sz w:val="28"/>
          <w:highlight w:val="none"/>
        </w:rPr>
      </w:pPr>
      <w:bookmarkStart w:id="421" w:name="_Toc226965811"/>
      <w:bookmarkStart w:id="422" w:name="_Toc150509289"/>
      <w:bookmarkStart w:id="423" w:name="_Toc305158880"/>
      <w:bookmarkStart w:id="424" w:name="_Toc226965728"/>
      <w:bookmarkStart w:id="425" w:name="_Toc151193636"/>
      <w:bookmarkStart w:id="426" w:name="_Toc150480776"/>
      <w:bookmarkStart w:id="427" w:name="_Toc150774743"/>
      <w:bookmarkStart w:id="428" w:name="_Toc151193852"/>
      <w:bookmarkStart w:id="429" w:name="_Toc264969228"/>
      <w:bookmarkStart w:id="430" w:name="_Toc226309782"/>
      <w:bookmarkStart w:id="431" w:name="_Toc265228376"/>
      <w:bookmarkStart w:id="432" w:name="_Toc142311040"/>
      <w:bookmarkStart w:id="433" w:name="_Toc226337234"/>
      <w:bookmarkStart w:id="434" w:name="_Toc195842903"/>
      <w:bookmarkStart w:id="435" w:name="_Toc150774638"/>
      <w:bookmarkStart w:id="436" w:name="_Toc151193708"/>
      <w:bookmarkStart w:id="437" w:name="_Toc151193780"/>
      <w:bookmarkStart w:id="438" w:name="_Toc151190165"/>
      <w:bookmarkStart w:id="439" w:name="_Toc305158806"/>
      <w:bookmarkStart w:id="440" w:name="_Toc520356163"/>
      <w:bookmarkStart w:id="441" w:name="_Toc151193926"/>
      <w:bookmarkStart w:id="442" w:name="_Toc127151538"/>
      <w:r>
        <w:rPr>
          <w:rFonts w:ascii="宋体" w:hAnsi="宋体" w:eastAsia="宋体"/>
          <w:color w:val="auto"/>
          <w:sz w:val="28"/>
          <w:highlight w:val="none"/>
        </w:rPr>
        <w:t xml:space="preserve">五  </w:t>
      </w:r>
      <w:r>
        <w:rPr>
          <w:rFonts w:hint="eastAsia" w:ascii="宋体" w:hAnsi="宋体" w:eastAsia="宋体"/>
          <w:color w:val="auto"/>
          <w:sz w:val="28"/>
          <w:highlight w:val="none"/>
        </w:rPr>
        <w:t>开选</w:t>
      </w:r>
      <w:r>
        <w:rPr>
          <w:rFonts w:ascii="宋体" w:hAnsi="宋体" w:eastAsia="宋体"/>
          <w:color w:val="auto"/>
          <w:sz w:val="28"/>
          <w:highlight w:val="none"/>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hint="eastAsia" w:ascii="宋体" w:hAnsi="宋体"/>
          <w:color w:val="auto"/>
          <w:sz w:val="24"/>
          <w:highlight w:val="none"/>
        </w:rPr>
        <w:t>开选</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443" w:name="_Toc520356165"/>
      <w:r>
        <w:rPr>
          <w:rFonts w:hint="eastAsia" w:ascii="宋体" w:hAnsi="宋体"/>
          <w:color w:val="auto"/>
          <w:sz w:val="24"/>
          <w:highlight w:val="none"/>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合格供应商不足3家的，不得评标。</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资格审查</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见第三章《资格审查》。</w:t>
      </w:r>
    </w:p>
    <w:bookmarkEnd w:id="443"/>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444" w:name="_Toc226965813"/>
      <w:bookmarkStart w:id="445" w:name="_Toc305158882"/>
      <w:bookmarkStart w:id="446" w:name="_Toc264969230"/>
      <w:bookmarkStart w:id="447" w:name="_Toc127151741"/>
      <w:bookmarkStart w:id="448" w:name="_Toc151193854"/>
      <w:bookmarkStart w:id="449" w:name="_Toc265228378"/>
      <w:bookmarkStart w:id="450" w:name="_Toc164351634"/>
      <w:bookmarkStart w:id="451" w:name="_Toc150480778"/>
      <w:bookmarkStart w:id="452" w:name="_Toc226337236"/>
      <w:bookmarkStart w:id="453" w:name="_Toc127151540"/>
      <w:bookmarkStart w:id="454" w:name="_Toc150509291"/>
      <w:bookmarkStart w:id="455" w:name="_Toc305158808"/>
      <w:bookmarkStart w:id="456" w:name="_Toc164229235"/>
      <w:bookmarkStart w:id="457" w:name="_Toc150774640"/>
      <w:bookmarkStart w:id="458" w:name="_Toc149720833"/>
      <w:bookmarkStart w:id="459" w:name="_Toc151193638"/>
      <w:bookmarkStart w:id="460" w:name="_Toc127161454"/>
      <w:bookmarkStart w:id="461" w:name="_Toc164608654"/>
      <w:bookmarkStart w:id="462" w:name="_Toc226965730"/>
      <w:bookmarkStart w:id="463" w:name="_Toc164608809"/>
      <w:bookmarkStart w:id="464" w:name="_Toc142311042"/>
      <w:bookmarkStart w:id="465" w:name="_Toc195842905"/>
      <w:bookmarkStart w:id="466" w:name="_Toc151193928"/>
      <w:bookmarkStart w:id="467" w:name="_Toc151193710"/>
      <w:bookmarkStart w:id="468" w:name="_Toc150774745"/>
      <w:bookmarkStart w:id="469" w:name="_Toc226309784"/>
      <w:bookmarkStart w:id="470" w:name="_Toc151190167"/>
      <w:bookmarkStart w:id="471" w:name="_Toc164229381"/>
      <w:bookmarkStart w:id="472" w:name="_Toc151193782"/>
      <w:r>
        <w:rPr>
          <w:rFonts w:ascii="宋体" w:hAnsi="宋体"/>
          <w:color w:val="auto"/>
          <w:sz w:val="24"/>
          <w:highlight w:val="none"/>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评标委员会根据</w:t>
      </w:r>
      <w:r>
        <w:rPr>
          <w:rFonts w:hint="eastAsia" w:ascii="宋体" w:hAnsi="宋体"/>
          <w:color w:val="auto"/>
          <w:sz w:val="24"/>
          <w:highlight w:val="none"/>
        </w:rPr>
        <w:t>首都师范大学校内比选采购程序规定和</w:t>
      </w:r>
      <w:r>
        <w:rPr>
          <w:rFonts w:ascii="宋体" w:hAnsi="宋体"/>
          <w:color w:val="auto"/>
          <w:sz w:val="24"/>
          <w:highlight w:val="none"/>
        </w:rPr>
        <w:t>本次招标采购项目的特点进行组建，并负责具体评标事务，独立履行职责。</w:t>
      </w:r>
      <w:bookmarkStart w:id="473" w:name="_Toc520356166"/>
      <w:r>
        <w:rPr>
          <w:rFonts w:hint="eastAsia" w:ascii="宋体" w:hAnsi="宋体"/>
          <w:color w:val="auto"/>
          <w:sz w:val="24"/>
          <w:highlight w:val="none"/>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color w:val="auto"/>
          <w:sz w:val="24"/>
          <w:highlight w:val="none"/>
        </w:rPr>
        <w:t>比选</w:t>
      </w:r>
      <w:r>
        <w:rPr>
          <w:rFonts w:ascii="宋体" w:hAnsi="宋体"/>
          <w:color w:val="auto"/>
          <w:sz w:val="24"/>
          <w:highlight w:val="none"/>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评标程序、评标方法和评标标准</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见第四章《评标程序、评标方法和评标标准》。</w:t>
      </w:r>
    </w:p>
    <w:p>
      <w:pPr>
        <w:pStyle w:val="5"/>
        <w:spacing w:before="0" w:line="360" w:lineRule="auto"/>
        <w:rPr>
          <w:rFonts w:ascii="宋体" w:hAnsi="宋体" w:eastAsia="宋体"/>
          <w:color w:val="auto"/>
          <w:sz w:val="28"/>
          <w:highlight w:val="none"/>
        </w:rPr>
      </w:pPr>
      <w:bookmarkStart w:id="475" w:name="_Toc150509296"/>
      <w:bookmarkStart w:id="476" w:name="_Toc226337241"/>
      <w:bookmarkStart w:id="477" w:name="_Toc151193859"/>
      <w:bookmarkStart w:id="478" w:name="_Toc305158887"/>
      <w:bookmarkStart w:id="479" w:name="_Toc305158813"/>
      <w:bookmarkStart w:id="480" w:name="_Toc226965818"/>
      <w:bookmarkStart w:id="481" w:name="_Toc151193933"/>
      <w:bookmarkStart w:id="482" w:name="_Toc151190172"/>
      <w:bookmarkStart w:id="483" w:name="_Toc142311047"/>
      <w:bookmarkStart w:id="484" w:name="_Toc127151545"/>
      <w:bookmarkStart w:id="485" w:name="_Toc150774750"/>
      <w:bookmarkStart w:id="486" w:name="_Toc151193643"/>
      <w:bookmarkStart w:id="487" w:name="_Toc151193787"/>
      <w:bookmarkStart w:id="488" w:name="_Toc226965735"/>
      <w:bookmarkStart w:id="489" w:name="_Toc151193715"/>
      <w:bookmarkStart w:id="490" w:name="_Toc226309789"/>
      <w:bookmarkStart w:id="491" w:name="_Toc265228383"/>
      <w:bookmarkStart w:id="492" w:name="_Toc195842910"/>
      <w:bookmarkStart w:id="493" w:name="_Toc150774645"/>
      <w:bookmarkStart w:id="494" w:name="_Toc264969235"/>
      <w:bookmarkStart w:id="495" w:name="_Toc150480783"/>
      <w:r>
        <w:rPr>
          <w:rFonts w:ascii="宋体" w:hAnsi="宋体" w:eastAsia="宋体"/>
          <w:color w:val="auto"/>
          <w:sz w:val="28"/>
          <w:highlight w:val="none"/>
        </w:rPr>
        <w:t xml:space="preserve">六  </w:t>
      </w:r>
      <w:bookmarkEnd w:id="474"/>
      <w:r>
        <w:rPr>
          <w:rFonts w:ascii="宋体" w:hAnsi="宋体" w:eastAsia="宋体"/>
          <w:color w:val="auto"/>
          <w:sz w:val="28"/>
          <w:highlight w:val="none"/>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95842912"/>
      <w:bookmarkStart w:id="497" w:name="_Toc164229388"/>
      <w:bookmarkStart w:id="498" w:name="_Toc150774647"/>
      <w:bookmarkStart w:id="499" w:name="_Toc151190174"/>
      <w:bookmarkStart w:id="500" w:name="_Toc149720840"/>
      <w:bookmarkStart w:id="501" w:name="_Toc164608661"/>
      <w:bookmarkStart w:id="502" w:name="_Toc150774752"/>
      <w:bookmarkStart w:id="503" w:name="_Toc226309791"/>
      <w:bookmarkStart w:id="504" w:name="_Toc151193789"/>
      <w:bookmarkStart w:id="505" w:name="_Toc151193645"/>
      <w:bookmarkStart w:id="506" w:name="_Toc142311049"/>
      <w:bookmarkStart w:id="507" w:name="_Toc127161461"/>
      <w:bookmarkStart w:id="508" w:name="_Toc226965737"/>
      <w:bookmarkStart w:id="509" w:name="_Toc151193935"/>
      <w:bookmarkStart w:id="510" w:name="_Toc151193717"/>
      <w:bookmarkStart w:id="511" w:name="_Toc226965820"/>
      <w:bookmarkStart w:id="512" w:name="_Toc264969237"/>
      <w:bookmarkStart w:id="513" w:name="_Toc164351641"/>
      <w:bookmarkStart w:id="514" w:name="_Toc150480785"/>
      <w:bookmarkStart w:id="515" w:name="_Toc164229242"/>
      <w:bookmarkStart w:id="516" w:name="_Toc226337243"/>
      <w:bookmarkStart w:id="517" w:name="_Toc265228385"/>
      <w:bookmarkStart w:id="518" w:name="_Toc305158815"/>
      <w:bookmarkStart w:id="519" w:name="_Toc305158889"/>
      <w:bookmarkStart w:id="520" w:name="_Toc150509298"/>
      <w:bookmarkStart w:id="521" w:name="_Toc127151547"/>
      <w:bookmarkStart w:id="522" w:name="_Toc151193861"/>
      <w:bookmarkStart w:id="523" w:name="_Toc164608816"/>
      <w:bookmarkStart w:id="524" w:name="_Toc127151748"/>
      <w:r>
        <w:rPr>
          <w:rFonts w:hint="eastAsia" w:ascii="宋体" w:hAnsi="宋体" w:eastAsia="宋体"/>
          <w:color w:val="auto"/>
          <w:sz w:val="28"/>
          <w:highlight w:val="none"/>
        </w:rPr>
        <w:t>成交</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color w:val="auto"/>
          <w:sz w:val="24"/>
          <w:highlight w:val="none"/>
        </w:rPr>
        <w:t>成交人</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采购人将在评标报告确定的</w:t>
      </w:r>
      <w:r>
        <w:rPr>
          <w:rFonts w:hint="eastAsia" w:ascii="宋体" w:hAnsi="宋体"/>
          <w:color w:val="auto"/>
          <w:sz w:val="24"/>
          <w:highlight w:val="none"/>
        </w:rPr>
        <w:t>成交</w:t>
      </w:r>
      <w:r>
        <w:rPr>
          <w:rFonts w:ascii="宋体" w:hAnsi="宋体"/>
          <w:color w:val="auto"/>
          <w:sz w:val="24"/>
          <w:highlight w:val="none"/>
        </w:rPr>
        <w:t>候选人名单中按顺序确定</w:t>
      </w:r>
      <w:r>
        <w:rPr>
          <w:rFonts w:hint="eastAsia" w:ascii="宋体" w:hAnsi="宋体"/>
          <w:color w:val="auto"/>
          <w:sz w:val="24"/>
          <w:highlight w:val="none"/>
        </w:rPr>
        <w:t>成交人</w:t>
      </w:r>
      <w:r>
        <w:rPr>
          <w:rFonts w:ascii="宋体" w:hAnsi="宋体"/>
          <w:color w:val="auto"/>
          <w:sz w:val="24"/>
          <w:highlight w:val="none"/>
        </w:rPr>
        <w:t>，</w:t>
      </w:r>
      <w:r>
        <w:rPr>
          <w:rFonts w:hint="eastAsia" w:ascii="宋体" w:hAnsi="宋体"/>
          <w:color w:val="auto"/>
          <w:sz w:val="24"/>
          <w:highlight w:val="none"/>
        </w:rPr>
        <w:t>成交</w:t>
      </w:r>
      <w:r>
        <w:rPr>
          <w:rFonts w:ascii="宋体" w:hAnsi="宋体"/>
          <w:color w:val="auto"/>
          <w:sz w:val="24"/>
          <w:highlight w:val="none"/>
        </w:rPr>
        <w:t>候选人并列的，由采购人或者采购人委托评标委员会按照</w:t>
      </w:r>
      <w:r>
        <w:rPr>
          <w:rFonts w:hint="eastAsia" w:ascii="宋体" w:hAnsi="宋体"/>
          <w:color w:val="auto"/>
          <w:sz w:val="24"/>
          <w:highlight w:val="none"/>
        </w:rPr>
        <w:t>比选文件</w:t>
      </w:r>
      <w:r>
        <w:rPr>
          <w:rFonts w:ascii="宋体" w:hAnsi="宋体"/>
          <w:color w:val="auto"/>
          <w:sz w:val="24"/>
          <w:highlight w:val="none"/>
        </w:rPr>
        <w:t>规定的方式确定</w:t>
      </w:r>
      <w:r>
        <w:rPr>
          <w:rFonts w:hint="eastAsia" w:ascii="宋体" w:hAnsi="宋体"/>
          <w:color w:val="auto"/>
          <w:sz w:val="24"/>
          <w:highlight w:val="none"/>
        </w:rPr>
        <w:t>成交人</w:t>
      </w:r>
      <w:r>
        <w:rPr>
          <w:rFonts w:ascii="宋体" w:hAnsi="宋体"/>
          <w:color w:val="auto"/>
          <w:sz w:val="24"/>
          <w:highlight w:val="none"/>
        </w:rPr>
        <w:t>；</w:t>
      </w:r>
      <w:r>
        <w:rPr>
          <w:rFonts w:hint="eastAsia" w:ascii="宋体" w:hAnsi="宋体"/>
          <w:color w:val="auto"/>
          <w:sz w:val="24"/>
          <w:highlight w:val="none"/>
        </w:rPr>
        <w:t>比选文件</w:t>
      </w:r>
      <w:r>
        <w:rPr>
          <w:rFonts w:ascii="宋体" w:hAnsi="宋体"/>
          <w:color w:val="auto"/>
          <w:sz w:val="24"/>
          <w:highlight w:val="none"/>
        </w:rPr>
        <w:t>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成交人</w:t>
      </w:r>
      <w:r>
        <w:rPr>
          <w:rFonts w:ascii="宋体" w:hAnsi="宋体"/>
          <w:color w:val="auto"/>
          <w:sz w:val="24"/>
          <w:highlight w:val="none"/>
        </w:rPr>
        <w:t>，见《</w:t>
      </w:r>
      <w:r>
        <w:rPr>
          <w:rFonts w:hint="eastAsia" w:ascii="宋体" w:hAnsi="宋体"/>
          <w:color w:val="auto"/>
          <w:sz w:val="24"/>
          <w:highlight w:val="none"/>
        </w:rPr>
        <w:t>供应商</w:t>
      </w:r>
      <w:r>
        <w:rPr>
          <w:rFonts w:ascii="宋体" w:hAnsi="宋体"/>
          <w:color w:val="auto"/>
          <w:sz w:val="24"/>
          <w:highlight w:val="none"/>
        </w:rPr>
        <w:t>须知资料表》。</w:t>
      </w:r>
      <w:r>
        <w:rPr>
          <w:rFonts w:hint="eastAsia" w:ascii="宋体" w:hAnsi="宋体"/>
          <w:color w:val="auto"/>
          <w:sz w:val="24"/>
          <w:highlight w:val="none"/>
        </w:rPr>
        <w:t>成交</w:t>
      </w:r>
      <w:r>
        <w:rPr>
          <w:rFonts w:ascii="宋体" w:hAnsi="宋体"/>
          <w:color w:val="auto"/>
          <w:sz w:val="24"/>
          <w:highlight w:val="none"/>
        </w:rPr>
        <w:t>候选人并列的，按照《</w:t>
      </w:r>
      <w:r>
        <w:rPr>
          <w:rFonts w:hint="eastAsia" w:ascii="宋体" w:hAnsi="宋体"/>
          <w:color w:val="auto"/>
          <w:sz w:val="24"/>
          <w:highlight w:val="none"/>
        </w:rPr>
        <w:t>供应商</w:t>
      </w:r>
      <w:r>
        <w:rPr>
          <w:rFonts w:ascii="宋体" w:hAnsi="宋体"/>
          <w:color w:val="auto"/>
          <w:sz w:val="24"/>
          <w:highlight w:val="none"/>
        </w:rPr>
        <w:t>须知资料表》要求确定</w:t>
      </w:r>
      <w:r>
        <w:rPr>
          <w:rFonts w:hint="eastAsia" w:ascii="宋体" w:hAnsi="宋体"/>
          <w:color w:val="auto"/>
          <w:sz w:val="24"/>
          <w:highlight w:val="none"/>
        </w:rPr>
        <w:t>成交人</w:t>
      </w:r>
      <w:r>
        <w:rPr>
          <w:rFonts w:ascii="宋体" w:hAnsi="宋体"/>
          <w:color w:val="auto"/>
          <w:sz w:val="24"/>
          <w:highlight w:val="none"/>
        </w:rPr>
        <w:t>。</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525" w:name="_Toc305158817"/>
      <w:bookmarkStart w:id="526" w:name="_Toc305158891"/>
      <w:bookmarkStart w:id="527" w:name="_Toc150774754"/>
      <w:bookmarkStart w:id="528" w:name="_Toc151190176"/>
      <w:bookmarkStart w:id="529" w:name="_Toc151193791"/>
      <w:bookmarkStart w:id="530" w:name="_Toc150480787"/>
      <w:bookmarkStart w:id="531" w:name="_Toc151193719"/>
      <w:bookmarkStart w:id="532" w:name="_Toc164229244"/>
      <w:bookmarkStart w:id="533" w:name="_Toc150509300"/>
      <w:bookmarkStart w:id="534" w:name="_Toc127151549"/>
      <w:bookmarkStart w:id="535" w:name="_Toc264969239"/>
      <w:bookmarkStart w:id="536" w:name="_Toc142311051"/>
      <w:bookmarkStart w:id="537" w:name="_Toc127151750"/>
      <w:bookmarkStart w:id="538" w:name="_Toc195842914"/>
      <w:bookmarkStart w:id="539" w:name="_Toc164351643"/>
      <w:bookmarkStart w:id="540" w:name="_Toc164608818"/>
      <w:bookmarkStart w:id="541" w:name="_Toc151193863"/>
      <w:bookmarkStart w:id="542" w:name="_Toc151193647"/>
      <w:bookmarkStart w:id="543" w:name="_Toc150774649"/>
      <w:bookmarkStart w:id="544" w:name="_Toc226965822"/>
      <w:bookmarkStart w:id="545" w:name="_Toc226337245"/>
      <w:bookmarkStart w:id="546" w:name="_Toc127161463"/>
      <w:bookmarkStart w:id="547" w:name="_Toc164229390"/>
      <w:bookmarkStart w:id="548" w:name="_Toc226965739"/>
      <w:bookmarkStart w:id="549" w:name="_Toc226309793"/>
      <w:bookmarkStart w:id="550" w:name="_Toc149720842"/>
      <w:bookmarkStart w:id="551" w:name="_Toc151193937"/>
      <w:bookmarkStart w:id="552" w:name="_Toc164608663"/>
      <w:bookmarkStart w:id="553" w:name="_Toc265228387"/>
      <w:bookmarkStart w:id="554" w:name="_Ref467306425"/>
      <w:bookmarkStart w:id="555" w:name="_Ref467307090"/>
      <w:bookmarkStart w:id="556" w:name="_Toc520356176"/>
      <w:r>
        <w:rPr>
          <w:rFonts w:hint="eastAsia" w:ascii="宋体" w:hAnsi="宋体"/>
          <w:color w:val="auto"/>
          <w:sz w:val="24"/>
          <w:highlight w:val="none"/>
        </w:rPr>
        <w:t>成交</w:t>
      </w:r>
      <w:r>
        <w:rPr>
          <w:rFonts w:ascii="宋体" w:hAnsi="宋体"/>
          <w:color w:val="auto"/>
          <w:sz w:val="24"/>
          <w:highlight w:val="none"/>
        </w:rPr>
        <w:t>公告与</w:t>
      </w:r>
      <w:r>
        <w:rPr>
          <w:rFonts w:hint="eastAsia" w:ascii="宋体" w:hAnsi="宋体"/>
          <w:color w:val="auto"/>
          <w:sz w:val="24"/>
          <w:highlight w:val="none"/>
        </w:rPr>
        <w:t>成交</w:t>
      </w:r>
      <w:r>
        <w:rPr>
          <w:rFonts w:ascii="宋体" w:hAnsi="宋体"/>
          <w:color w:val="auto"/>
          <w:sz w:val="24"/>
          <w:highlight w:val="none"/>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采购人或采购代理机构自</w:t>
      </w:r>
      <w:r>
        <w:rPr>
          <w:rFonts w:hint="eastAsia" w:ascii="宋体" w:hAnsi="宋体"/>
          <w:color w:val="auto"/>
          <w:sz w:val="24"/>
          <w:highlight w:val="none"/>
        </w:rPr>
        <w:t>成交人</w:t>
      </w:r>
      <w:r>
        <w:rPr>
          <w:rFonts w:ascii="宋体" w:hAnsi="宋体"/>
          <w:color w:val="auto"/>
          <w:sz w:val="24"/>
          <w:highlight w:val="none"/>
        </w:rPr>
        <w:t>确定之日起2个工作日内，</w:t>
      </w:r>
      <w:r>
        <w:rPr>
          <w:rFonts w:ascii="宋体" w:hAnsi="宋体"/>
          <w:color w:val="auto"/>
          <w:kern w:val="0"/>
          <w:sz w:val="24"/>
          <w:highlight w:val="none"/>
        </w:rPr>
        <w:t>在</w:t>
      </w:r>
      <w:r>
        <w:rPr>
          <w:rFonts w:hint="eastAsia" w:ascii="宋体" w:hAnsi="宋体"/>
          <w:color w:val="auto"/>
          <w:kern w:val="0"/>
          <w:sz w:val="24"/>
          <w:highlight w:val="none"/>
        </w:rPr>
        <w:t>首都师范大学校园网</w:t>
      </w:r>
      <w:r>
        <w:rPr>
          <w:rFonts w:ascii="宋体" w:hAnsi="宋体"/>
          <w:color w:val="auto"/>
          <w:sz w:val="24"/>
          <w:highlight w:val="none"/>
        </w:rPr>
        <w:t>发布</w:t>
      </w:r>
      <w:r>
        <w:rPr>
          <w:rFonts w:hint="eastAsia" w:ascii="宋体" w:hAnsi="宋体"/>
          <w:color w:val="auto"/>
          <w:kern w:val="0"/>
          <w:sz w:val="24"/>
          <w:highlight w:val="none"/>
        </w:rPr>
        <w:t>成交</w:t>
      </w:r>
      <w:r>
        <w:rPr>
          <w:rFonts w:ascii="宋体" w:hAnsi="宋体"/>
          <w:color w:val="auto"/>
          <w:kern w:val="0"/>
          <w:sz w:val="24"/>
          <w:highlight w:val="none"/>
        </w:rPr>
        <w:t>结果</w:t>
      </w:r>
      <w:r>
        <w:rPr>
          <w:rFonts w:ascii="宋体" w:hAnsi="宋体"/>
          <w:color w:val="auto"/>
          <w:sz w:val="24"/>
          <w:highlight w:val="none"/>
        </w:rPr>
        <w:t>，</w:t>
      </w:r>
      <w:r>
        <w:rPr>
          <w:rFonts w:hint="eastAsia" w:ascii="宋体" w:hAnsi="宋体"/>
          <w:color w:val="auto"/>
          <w:sz w:val="24"/>
          <w:highlight w:val="none"/>
        </w:rPr>
        <w:t>同时向成交人发出成交通知书，向未成交的供应商发出落标通知书，成交</w:t>
      </w:r>
      <w:r>
        <w:rPr>
          <w:rFonts w:ascii="宋体" w:hAnsi="宋体"/>
          <w:color w:val="auto"/>
          <w:sz w:val="24"/>
          <w:highlight w:val="none"/>
        </w:rPr>
        <w:t>公告期限为1个工作日。</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成交</w:t>
      </w:r>
      <w:r>
        <w:rPr>
          <w:rFonts w:ascii="宋体" w:hAnsi="宋体"/>
          <w:color w:val="auto"/>
          <w:sz w:val="24"/>
          <w:highlight w:val="none"/>
        </w:rPr>
        <w:t>通知书对采购人和</w:t>
      </w:r>
      <w:r>
        <w:rPr>
          <w:rFonts w:hint="eastAsia" w:ascii="宋体" w:hAnsi="宋体"/>
          <w:color w:val="auto"/>
          <w:sz w:val="24"/>
          <w:highlight w:val="none"/>
        </w:rPr>
        <w:t>成交</w:t>
      </w:r>
      <w:r>
        <w:rPr>
          <w:rFonts w:ascii="宋体" w:hAnsi="宋体"/>
          <w:color w:val="auto"/>
          <w:sz w:val="24"/>
          <w:highlight w:val="none"/>
        </w:rPr>
        <w:t>供应商均具有法律效力。</w:t>
      </w:r>
      <w:r>
        <w:rPr>
          <w:rFonts w:hint="eastAsia" w:ascii="宋体" w:hAnsi="宋体"/>
          <w:color w:val="auto"/>
          <w:sz w:val="24"/>
          <w:highlight w:val="none"/>
        </w:rPr>
        <w:t>成交</w:t>
      </w:r>
      <w:r>
        <w:rPr>
          <w:rFonts w:ascii="宋体" w:hAnsi="宋体"/>
          <w:color w:val="auto"/>
          <w:sz w:val="24"/>
          <w:highlight w:val="none"/>
        </w:rPr>
        <w:t>通知书发出后，采购人改变</w:t>
      </w:r>
      <w:r>
        <w:rPr>
          <w:rFonts w:hint="eastAsia" w:ascii="宋体" w:hAnsi="宋体"/>
          <w:color w:val="auto"/>
          <w:sz w:val="24"/>
          <w:highlight w:val="none"/>
        </w:rPr>
        <w:t>成交</w:t>
      </w:r>
      <w:r>
        <w:rPr>
          <w:rFonts w:ascii="宋体" w:hAnsi="宋体"/>
          <w:color w:val="auto"/>
          <w:sz w:val="24"/>
          <w:highlight w:val="none"/>
        </w:rPr>
        <w:t>结果的，或者</w:t>
      </w:r>
      <w:r>
        <w:rPr>
          <w:rFonts w:hint="eastAsia" w:ascii="宋体" w:hAnsi="宋体"/>
          <w:color w:val="auto"/>
          <w:sz w:val="24"/>
          <w:highlight w:val="none"/>
        </w:rPr>
        <w:t>成交</w:t>
      </w:r>
      <w:r>
        <w:rPr>
          <w:rFonts w:ascii="宋体" w:hAnsi="宋体"/>
          <w:color w:val="auto"/>
          <w:sz w:val="24"/>
          <w:highlight w:val="none"/>
        </w:rPr>
        <w:t>供应商放弃</w:t>
      </w:r>
      <w:r>
        <w:rPr>
          <w:rFonts w:hint="eastAsia" w:ascii="宋体" w:hAnsi="宋体"/>
          <w:color w:val="auto"/>
          <w:sz w:val="24"/>
          <w:highlight w:val="none"/>
        </w:rPr>
        <w:t>成交</w:t>
      </w:r>
      <w:r>
        <w:rPr>
          <w:rFonts w:ascii="宋体" w:hAnsi="宋体"/>
          <w:color w:val="auto"/>
          <w:sz w:val="24"/>
          <w:highlight w:val="none"/>
        </w:rPr>
        <w:t>项目的，应当依法承担法律责任。</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废标</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在招标采购中，出现下列情形之一的，应予废标：</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符合专业条件的供应商或者对</w:t>
      </w:r>
      <w:r>
        <w:rPr>
          <w:rFonts w:hint="eastAsia" w:ascii="宋体" w:hAnsi="宋体"/>
          <w:color w:val="auto"/>
          <w:sz w:val="24"/>
          <w:highlight w:val="none"/>
        </w:rPr>
        <w:t>比选文件</w:t>
      </w:r>
      <w:r>
        <w:rPr>
          <w:rFonts w:ascii="宋体" w:hAnsi="宋体"/>
          <w:color w:val="auto"/>
          <w:sz w:val="24"/>
          <w:highlight w:val="none"/>
        </w:rPr>
        <w:t>作实质响应的供应商不足三家的；</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出现影响采购公正的违法、违规行为的；</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的报价均超过了采购预算</w:t>
      </w:r>
      <w:r>
        <w:rPr>
          <w:rFonts w:hint="eastAsia" w:ascii="宋体" w:hAnsi="宋体"/>
          <w:color w:val="auto"/>
          <w:sz w:val="24"/>
          <w:highlight w:val="none"/>
        </w:rPr>
        <w:t>或最高限价</w:t>
      </w:r>
      <w:r>
        <w:rPr>
          <w:rFonts w:ascii="宋体" w:hAnsi="宋体"/>
          <w:color w:val="auto"/>
          <w:sz w:val="24"/>
          <w:highlight w:val="none"/>
        </w:rPr>
        <w:t>，采购人不能支付的；</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因重大变故，采购任务取消的。</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废标后，采购人将废标理由通知所有</w:t>
      </w:r>
      <w:r>
        <w:rPr>
          <w:rFonts w:hint="eastAsia" w:ascii="宋体" w:hAnsi="宋体"/>
          <w:color w:val="auto"/>
          <w:sz w:val="24"/>
          <w:highlight w:val="none"/>
        </w:rPr>
        <w:t>供应商</w:t>
      </w:r>
      <w:r>
        <w:rPr>
          <w:rFonts w:ascii="宋体" w:hAnsi="宋体"/>
          <w:color w:val="auto"/>
          <w:sz w:val="24"/>
          <w:highlight w:val="none"/>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557" w:name="_Toc151193648"/>
      <w:bookmarkStart w:id="558" w:name="_Toc127151550"/>
      <w:bookmarkStart w:id="559" w:name="_Toc226965740"/>
      <w:bookmarkStart w:id="560" w:name="_Toc164229245"/>
      <w:bookmarkStart w:id="561" w:name="_Toc226309794"/>
      <w:bookmarkStart w:id="562" w:name="_Toc195842915"/>
      <w:bookmarkStart w:id="563" w:name="_Toc150774755"/>
      <w:bookmarkStart w:id="564" w:name="_Toc151193864"/>
      <w:bookmarkStart w:id="565" w:name="_Toc226965823"/>
      <w:bookmarkStart w:id="566" w:name="_Toc164351644"/>
      <w:bookmarkStart w:id="567" w:name="_Toc264969240"/>
      <w:bookmarkStart w:id="568" w:name="_Toc151193720"/>
      <w:bookmarkStart w:id="569" w:name="_Ref467306978"/>
      <w:bookmarkStart w:id="570" w:name="_Ref467307204"/>
      <w:bookmarkStart w:id="571" w:name="_Toc164229391"/>
      <w:bookmarkStart w:id="572" w:name="_Toc305158818"/>
      <w:bookmarkStart w:id="573" w:name="_Toc127161464"/>
      <w:bookmarkStart w:id="574" w:name="_Toc150480788"/>
      <w:bookmarkStart w:id="575" w:name="_Toc164608819"/>
      <w:bookmarkStart w:id="576" w:name="_Ref467306377"/>
      <w:bookmarkStart w:id="577" w:name="_Toc127151751"/>
      <w:bookmarkStart w:id="578" w:name="_Toc142311052"/>
      <w:bookmarkStart w:id="579" w:name="_Toc226337246"/>
      <w:bookmarkStart w:id="580" w:name="_Toc150509301"/>
      <w:bookmarkStart w:id="581" w:name="_Toc305158892"/>
      <w:bookmarkStart w:id="582" w:name="_Toc151193938"/>
      <w:bookmarkStart w:id="583" w:name="_Ref467307062"/>
      <w:bookmarkStart w:id="584" w:name="_Toc151193792"/>
      <w:bookmarkStart w:id="585" w:name="_Toc149720843"/>
      <w:bookmarkStart w:id="586" w:name="_Toc151190177"/>
      <w:bookmarkStart w:id="587" w:name="_Toc150774650"/>
      <w:bookmarkStart w:id="588" w:name="_Toc520356175"/>
      <w:bookmarkStart w:id="589" w:name="_Toc265228388"/>
      <w:bookmarkStart w:id="590" w:name="_Toc164608664"/>
      <w:r>
        <w:rPr>
          <w:rFonts w:ascii="宋体" w:hAnsi="宋体"/>
          <w:color w:val="auto"/>
          <w:sz w:val="24"/>
          <w:highlight w:val="none"/>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成交人</w:t>
      </w:r>
      <w:r>
        <w:rPr>
          <w:rFonts w:ascii="宋体" w:hAnsi="宋体"/>
          <w:color w:val="auto"/>
          <w:sz w:val="24"/>
          <w:highlight w:val="none"/>
        </w:rPr>
        <w:t>、采购人应当自</w:t>
      </w:r>
      <w:r>
        <w:rPr>
          <w:rFonts w:hint="eastAsia" w:ascii="宋体" w:hAnsi="宋体"/>
          <w:color w:val="auto"/>
          <w:sz w:val="24"/>
          <w:highlight w:val="none"/>
        </w:rPr>
        <w:t>成交</w:t>
      </w:r>
      <w:r>
        <w:rPr>
          <w:rFonts w:ascii="宋体" w:hAnsi="宋体"/>
          <w:color w:val="auto"/>
          <w:sz w:val="24"/>
          <w:highlight w:val="none"/>
        </w:rPr>
        <w:t>通知书发出之日起30日内，按照</w:t>
      </w:r>
      <w:r>
        <w:rPr>
          <w:rFonts w:hint="eastAsia" w:ascii="宋体" w:hAnsi="宋体"/>
          <w:color w:val="auto"/>
          <w:sz w:val="24"/>
          <w:highlight w:val="none"/>
        </w:rPr>
        <w:t>比选文件</w:t>
      </w:r>
      <w:r>
        <w:rPr>
          <w:rFonts w:ascii="宋体" w:hAnsi="宋体"/>
          <w:color w:val="auto"/>
          <w:sz w:val="24"/>
          <w:highlight w:val="none"/>
        </w:rPr>
        <w:t>和</w:t>
      </w:r>
      <w:r>
        <w:rPr>
          <w:rFonts w:hint="eastAsia" w:ascii="宋体" w:hAnsi="宋体"/>
          <w:color w:val="auto"/>
          <w:sz w:val="24"/>
          <w:highlight w:val="none"/>
        </w:rPr>
        <w:t>成交人响应文件</w:t>
      </w:r>
      <w:r>
        <w:rPr>
          <w:rFonts w:ascii="宋体" w:hAnsi="宋体"/>
          <w:color w:val="auto"/>
          <w:sz w:val="24"/>
          <w:highlight w:val="none"/>
        </w:rPr>
        <w:t>的规定签订书面合同。所签订的合同不得对</w:t>
      </w:r>
      <w:r>
        <w:rPr>
          <w:rFonts w:hint="eastAsia" w:ascii="宋体" w:hAnsi="宋体"/>
          <w:color w:val="auto"/>
          <w:sz w:val="24"/>
          <w:highlight w:val="none"/>
        </w:rPr>
        <w:t>比选文件</w:t>
      </w:r>
      <w:r>
        <w:rPr>
          <w:rFonts w:ascii="宋体" w:hAnsi="宋体"/>
          <w:color w:val="auto"/>
          <w:sz w:val="24"/>
          <w:highlight w:val="none"/>
        </w:rPr>
        <w:t>确定的事项和</w:t>
      </w:r>
      <w:r>
        <w:rPr>
          <w:rFonts w:hint="eastAsia" w:ascii="宋体" w:hAnsi="宋体"/>
          <w:color w:val="auto"/>
          <w:sz w:val="24"/>
          <w:highlight w:val="none"/>
        </w:rPr>
        <w:t>成交人响应文件</w:t>
      </w:r>
      <w:r>
        <w:rPr>
          <w:rFonts w:ascii="宋体" w:hAnsi="宋体"/>
          <w:color w:val="auto"/>
          <w:sz w:val="24"/>
          <w:highlight w:val="none"/>
        </w:rPr>
        <w:t>作实质性修改。</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成交人拒绝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w:t>
      </w:r>
      <w:r>
        <w:rPr>
          <w:rFonts w:hint="eastAsia" w:ascii="宋体" w:hAnsi="宋体"/>
          <w:color w:val="auto"/>
          <w:sz w:val="24"/>
          <w:highlight w:val="none"/>
        </w:rPr>
        <w:t>成交</w:t>
      </w:r>
      <w:r>
        <w:rPr>
          <w:rFonts w:ascii="宋体" w:hAnsi="宋体"/>
          <w:color w:val="auto"/>
          <w:sz w:val="24"/>
          <w:highlight w:val="none"/>
        </w:rPr>
        <w:t>候选人名单排序，确定下一候选人为</w:t>
      </w:r>
      <w:r>
        <w:rPr>
          <w:rFonts w:hint="eastAsia" w:ascii="宋体" w:hAnsi="宋体"/>
          <w:color w:val="auto"/>
          <w:sz w:val="24"/>
          <w:highlight w:val="none"/>
        </w:rPr>
        <w:t>成交人</w:t>
      </w:r>
      <w:r>
        <w:rPr>
          <w:rFonts w:ascii="宋体" w:hAnsi="宋体"/>
          <w:color w:val="auto"/>
          <w:sz w:val="24"/>
          <w:highlight w:val="none"/>
        </w:rPr>
        <w:t>，</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联合体</w:t>
      </w:r>
      <w:r>
        <w:rPr>
          <w:rFonts w:hint="eastAsia" w:ascii="宋体" w:hAnsi="宋体"/>
          <w:color w:val="auto"/>
          <w:sz w:val="24"/>
          <w:highlight w:val="none"/>
        </w:rPr>
        <w:t>成交</w:t>
      </w:r>
      <w:r>
        <w:rPr>
          <w:rFonts w:ascii="宋体" w:hAnsi="宋体"/>
          <w:color w:val="auto"/>
          <w:sz w:val="24"/>
          <w:highlight w:val="none"/>
        </w:rPr>
        <w:t>的，联合体各方应当共同与采购人签订合同，就</w:t>
      </w:r>
      <w:r>
        <w:rPr>
          <w:rFonts w:hint="eastAsia" w:ascii="宋体" w:hAnsi="宋体"/>
          <w:color w:val="auto"/>
          <w:sz w:val="24"/>
          <w:highlight w:val="none"/>
        </w:rPr>
        <w:t>成交</w:t>
      </w:r>
      <w:r>
        <w:rPr>
          <w:rFonts w:ascii="宋体" w:hAnsi="宋体"/>
          <w:color w:val="auto"/>
          <w:sz w:val="24"/>
          <w:highlight w:val="none"/>
        </w:rPr>
        <w:t>项目向采购人承担连带责任。</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政府采购合同不能转包。</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采购人允许采用分包方式履行合同的，</w:t>
      </w:r>
      <w:r>
        <w:rPr>
          <w:rFonts w:hint="eastAsia" w:ascii="宋体" w:hAnsi="宋体"/>
          <w:color w:val="auto"/>
          <w:sz w:val="24"/>
          <w:highlight w:val="none"/>
        </w:rPr>
        <w:t>成交人</w:t>
      </w:r>
      <w:r>
        <w:rPr>
          <w:rFonts w:ascii="宋体" w:hAnsi="宋体"/>
          <w:color w:val="auto"/>
          <w:sz w:val="24"/>
          <w:highlight w:val="none"/>
        </w:rPr>
        <w:t>可以依法在</w:t>
      </w:r>
      <w:r>
        <w:rPr>
          <w:rFonts w:hint="eastAsia" w:ascii="宋体" w:hAnsi="宋体"/>
          <w:color w:val="auto"/>
          <w:sz w:val="24"/>
          <w:highlight w:val="none"/>
        </w:rPr>
        <w:t>成交</w:t>
      </w:r>
      <w:r>
        <w:rPr>
          <w:rFonts w:ascii="宋体" w:hAnsi="宋体"/>
          <w:color w:val="auto"/>
          <w:sz w:val="24"/>
          <w:highlight w:val="none"/>
        </w:rPr>
        <w:t>后将</w:t>
      </w:r>
      <w:r>
        <w:rPr>
          <w:rFonts w:hint="eastAsia" w:ascii="宋体" w:hAnsi="宋体"/>
          <w:color w:val="auto"/>
          <w:sz w:val="24"/>
          <w:highlight w:val="none"/>
        </w:rPr>
        <w:t>成交</w:t>
      </w:r>
      <w:r>
        <w:rPr>
          <w:rFonts w:ascii="宋体" w:hAnsi="宋体"/>
          <w:color w:val="auto"/>
          <w:sz w:val="24"/>
          <w:highlight w:val="none"/>
        </w:rPr>
        <w:t>项目的非主体、非关键性工作采取分包方式履行合同。本项目的非主体、非关键性工作是否允许分包，见《</w:t>
      </w:r>
      <w:r>
        <w:rPr>
          <w:rFonts w:hint="eastAsia" w:ascii="宋体" w:hAnsi="宋体"/>
          <w:color w:val="auto"/>
          <w:sz w:val="24"/>
          <w:highlight w:val="none"/>
        </w:rPr>
        <w:t>供应商</w:t>
      </w:r>
      <w:r>
        <w:rPr>
          <w:rFonts w:ascii="宋体" w:hAnsi="宋体"/>
          <w:color w:val="auto"/>
          <w:sz w:val="24"/>
          <w:highlight w:val="none"/>
        </w:rPr>
        <w:t>须知资料表》。政府采购合同分包履行的，应当在</w:t>
      </w:r>
      <w:r>
        <w:rPr>
          <w:rFonts w:hint="eastAsia" w:ascii="宋体" w:hAnsi="宋体"/>
          <w:color w:val="auto"/>
          <w:sz w:val="24"/>
          <w:highlight w:val="none"/>
        </w:rPr>
        <w:t>响应文件</w:t>
      </w:r>
      <w:r>
        <w:rPr>
          <w:rFonts w:ascii="宋体" w:hAnsi="宋体"/>
          <w:color w:val="auto"/>
          <w:sz w:val="24"/>
          <w:highlight w:val="none"/>
        </w:rPr>
        <w:t>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r>
        <w:rPr>
          <w:rFonts w:hint="eastAsia" w:ascii="宋体" w:hAnsi="宋体"/>
          <w:color w:val="auto"/>
          <w:sz w:val="24"/>
          <w:highlight w:val="none"/>
        </w:rPr>
        <w:t>成交人</w:t>
      </w:r>
      <w:r>
        <w:rPr>
          <w:rFonts w:ascii="宋体" w:hAnsi="宋体"/>
          <w:color w:val="auto"/>
          <w:sz w:val="24"/>
          <w:highlight w:val="none"/>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询问与质疑</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询问</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对政府采购活动事项有疑问的，可依法提出询问，并按《</w:t>
      </w:r>
      <w:r>
        <w:rPr>
          <w:rFonts w:hint="eastAsia" w:ascii="宋体" w:hAnsi="宋体"/>
          <w:color w:val="auto"/>
          <w:sz w:val="24"/>
          <w:highlight w:val="none"/>
        </w:rPr>
        <w:t>供应商</w:t>
      </w:r>
      <w:r>
        <w:rPr>
          <w:rFonts w:ascii="宋体" w:hAnsi="宋体"/>
          <w:color w:val="auto"/>
          <w:sz w:val="24"/>
          <w:highlight w:val="none"/>
        </w:rPr>
        <w:t>须知资料表》载明的形式送达采购人或采购代理机构。</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质疑</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认为采购文件、采购过程、</w:t>
      </w:r>
      <w:r>
        <w:rPr>
          <w:rFonts w:hint="eastAsia" w:ascii="宋体" w:hAnsi="宋体"/>
          <w:color w:val="auto"/>
          <w:sz w:val="24"/>
          <w:highlight w:val="none"/>
        </w:rPr>
        <w:t>成交</w:t>
      </w:r>
      <w:r>
        <w:rPr>
          <w:rFonts w:ascii="宋体" w:hAnsi="宋体"/>
          <w:color w:val="auto"/>
          <w:sz w:val="24"/>
          <w:highlight w:val="none"/>
        </w:rPr>
        <w:t>结果使自己的权益受到损害的，可以在知道或者应知其权益受到损害之日起7个工作日内，由</w:t>
      </w:r>
      <w:r>
        <w:rPr>
          <w:rFonts w:hint="eastAsia" w:ascii="宋体" w:hAnsi="宋体"/>
          <w:color w:val="auto"/>
          <w:sz w:val="24"/>
          <w:highlight w:val="none"/>
        </w:rPr>
        <w:t>供应商</w:t>
      </w:r>
      <w:r>
        <w:rPr>
          <w:rFonts w:ascii="宋体" w:hAnsi="宋体"/>
          <w:color w:val="auto"/>
          <w:sz w:val="24"/>
          <w:highlight w:val="none"/>
        </w:rPr>
        <w:t>派授权代表以书面形式向采购人、采购代理机构提出质疑。采购人、采购代理机构在收到质疑函后7个工作日内作出答复。</w:t>
      </w:r>
      <w:r>
        <w:rPr>
          <w:rFonts w:hint="eastAsia" w:ascii="宋体" w:hAnsi="宋体"/>
          <w:color w:val="auto"/>
          <w:sz w:val="24"/>
          <w:highlight w:val="none"/>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color w:val="auto"/>
          <w:sz w:val="24"/>
          <w:highlight w:val="none"/>
        </w:rPr>
      </w:pPr>
      <w:r>
        <w:rPr>
          <w:rFonts w:ascii="宋体" w:hAnsi="宋体"/>
          <w:color w:val="auto"/>
          <w:sz w:val="24"/>
          <w:highlight w:val="none"/>
        </w:rPr>
        <w:t>质疑函须使用财政部制定的范本文件。</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为自然人的，应当由本人签字；</w:t>
      </w:r>
      <w:r>
        <w:rPr>
          <w:rFonts w:hint="eastAsia" w:ascii="宋体" w:hAnsi="宋体"/>
          <w:color w:val="auto"/>
          <w:sz w:val="24"/>
          <w:highlight w:val="none"/>
        </w:rPr>
        <w:t>供应商</w:t>
      </w:r>
      <w:r>
        <w:rPr>
          <w:rFonts w:ascii="宋体" w:hAnsi="宋体"/>
          <w:color w:val="auto"/>
          <w:sz w:val="24"/>
          <w:highlight w:val="none"/>
        </w:rPr>
        <w:t>为法人或者其他组织的，应当由法定代表人、主要负责人，或者其授权代表签字或者盖章，并加盖公章。</w:t>
      </w:r>
    </w:p>
    <w:p>
      <w:pPr>
        <w:numPr>
          <w:ilvl w:val="2"/>
          <w:numId w:val="8"/>
        </w:numPr>
        <w:snapToGrid w:val="0"/>
        <w:spacing w:line="360" w:lineRule="auto"/>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接收询问和质疑的联系部门、联系电话和通讯地址见《</w:t>
      </w:r>
      <w:r>
        <w:rPr>
          <w:rFonts w:hint="eastAsia" w:ascii="宋体" w:hAnsi="宋体"/>
          <w:color w:val="auto"/>
          <w:sz w:val="24"/>
          <w:highlight w:val="none"/>
        </w:rPr>
        <w:t>供应商</w:t>
      </w:r>
      <w:r>
        <w:rPr>
          <w:rFonts w:ascii="宋体" w:hAnsi="宋体"/>
          <w:color w:val="auto"/>
          <w:sz w:val="24"/>
          <w:highlight w:val="none"/>
        </w:rPr>
        <w:t>须知资料表》</w:t>
      </w:r>
      <w:r>
        <w:rPr>
          <w:rFonts w:hint="eastAsia" w:ascii="宋体" w:hAnsi="宋体"/>
          <w:color w:val="auto"/>
          <w:sz w:val="24"/>
          <w:highlight w:val="none"/>
        </w:rPr>
        <w:t>。</w:t>
      </w:r>
    </w:p>
    <w:p>
      <w:pPr>
        <w:numPr>
          <w:ilvl w:val="0"/>
          <w:numId w:val="8"/>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代理费</w:t>
      </w:r>
    </w:p>
    <w:p>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收费对象、收费标准及缴纳时间见《</w:t>
      </w:r>
      <w:r>
        <w:rPr>
          <w:rFonts w:hint="eastAsia" w:ascii="宋体" w:hAnsi="宋体"/>
          <w:color w:val="auto"/>
          <w:sz w:val="24"/>
          <w:highlight w:val="none"/>
        </w:rPr>
        <w:t>供应商</w:t>
      </w:r>
      <w:r>
        <w:rPr>
          <w:rFonts w:ascii="宋体" w:hAnsi="宋体"/>
          <w:color w:val="auto"/>
          <w:sz w:val="24"/>
          <w:highlight w:val="none"/>
        </w:rPr>
        <w:t>须知资料表》。由</w:t>
      </w:r>
      <w:r>
        <w:rPr>
          <w:rFonts w:hint="eastAsia" w:ascii="宋体" w:hAnsi="宋体"/>
          <w:color w:val="auto"/>
          <w:sz w:val="24"/>
          <w:highlight w:val="none"/>
        </w:rPr>
        <w:t>成交人</w:t>
      </w:r>
      <w:r>
        <w:rPr>
          <w:rFonts w:ascii="宋体" w:hAnsi="宋体"/>
          <w:color w:val="auto"/>
          <w:sz w:val="24"/>
          <w:highlight w:val="none"/>
        </w:rPr>
        <w:t>支付的，</w:t>
      </w:r>
      <w:r>
        <w:rPr>
          <w:rFonts w:hint="eastAsia" w:ascii="宋体" w:hAnsi="宋体"/>
          <w:color w:val="auto"/>
          <w:sz w:val="24"/>
          <w:highlight w:val="none"/>
        </w:rPr>
        <w:t>成交人</w:t>
      </w:r>
      <w:r>
        <w:rPr>
          <w:rFonts w:ascii="宋体" w:hAnsi="宋体"/>
          <w:color w:val="auto"/>
          <w:sz w:val="24"/>
          <w:highlight w:val="none"/>
        </w:rPr>
        <w:t>须一次性向采购代理机构缴纳代理费，</w:t>
      </w:r>
      <w:r>
        <w:rPr>
          <w:rFonts w:hint="eastAsia" w:ascii="宋体" w:hAnsi="宋体"/>
          <w:color w:val="auto"/>
          <w:sz w:val="24"/>
          <w:highlight w:val="none"/>
        </w:rPr>
        <w:t>响应</w:t>
      </w:r>
      <w:r>
        <w:rPr>
          <w:rFonts w:ascii="宋体" w:hAnsi="宋体"/>
          <w:color w:val="auto"/>
          <w:sz w:val="24"/>
          <w:highlight w:val="none"/>
        </w:rPr>
        <w:t>报价应包含代理费用。</w:t>
      </w:r>
    </w:p>
    <w:p>
      <w:pPr>
        <w:spacing w:line="360" w:lineRule="auto"/>
        <w:jc w:val="center"/>
        <w:outlineLvl w:val="0"/>
        <w:rPr>
          <w:b/>
          <w:color w:val="auto"/>
          <w:sz w:val="36"/>
          <w:szCs w:val="36"/>
          <w:highlight w:val="none"/>
        </w:rPr>
      </w:pPr>
      <w:bookmarkStart w:id="591" w:name="_Toc226965827"/>
      <w:bookmarkStart w:id="592" w:name="_Toc127151554"/>
      <w:bookmarkStart w:id="593" w:name="_Toc353825544"/>
      <w:bookmarkStart w:id="594" w:name="_Toc264969244"/>
      <w:bookmarkStart w:id="595" w:name="_Toc353873934"/>
      <w:bookmarkStart w:id="596" w:name="_Toc226337250"/>
      <w:bookmarkStart w:id="597" w:name="_Toc265228392"/>
      <w:bookmarkStart w:id="598" w:name="_Toc142311056"/>
      <w:bookmarkStart w:id="599" w:name="_Toc353873664"/>
      <w:bookmarkStart w:id="600" w:name="_Toc305158822"/>
      <w:bookmarkStart w:id="601" w:name="_Toc150774759"/>
      <w:bookmarkStart w:id="602" w:name="_Toc150480792"/>
      <w:bookmarkStart w:id="603" w:name="_Toc305158896"/>
      <w:r>
        <w:rPr>
          <w:rFonts w:ascii="宋体" w:hAnsi="宋体"/>
          <w:color w:val="auto"/>
          <w:sz w:val="24"/>
          <w:highlight w:val="none"/>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color w:val="auto"/>
          <w:sz w:val="36"/>
          <w:szCs w:val="36"/>
          <w:highlight w:val="none"/>
        </w:rPr>
        <w:t>第三章   评审方法和评审标准</w:t>
      </w:r>
      <w:bookmarkEnd w:id="604"/>
      <w:bookmarkEnd w:id="605"/>
    </w:p>
    <w:p>
      <w:pPr>
        <w:pStyle w:val="5"/>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一、资格审查程序</w:t>
      </w:r>
    </w:p>
    <w:p>
      <w:pPr>
        <w:tabs>
          <w:tab w:val="left" w:pos="1080"/>
        </w:tabs>
        <w:snapToGrid w:val="0"/>
        <w:jc w:val="left"/>
        <w:rPr>
          <w:b/>
          <w:color w:val="auto"/>
          <w:sz w:val="24"/>
          <w:highlight w:val="none"/>
        </w:rPr>
      </w:pPr>
      <w:r>
        <w:rPr>
          <w:b/>
          <w:color w:val="auto"/>
          <w:sz w:val="24"/>
          <w:highlight w:val="none"/>
        </w:rPr>
        <w:tab/>
      </w:r>
    </w:p>
    <w:p>
      <w:pPr>
        <w:numPr>
          <w:ilvl w:val="0"/>
          <w:numId w:val="10"/>
        </w:numPr>
        <w:tabs>
          <w:tab w:val="left" w:pos="360"/>
        </w:tabs>
        <w:snapToGrid w:val="0"/>
        <w:spacing w:line="360" w:lineRule="auto"/>
        <w:outlineLvl w:val="1"/>
        <w:rPr>
          <w:color w:val="auto"/>
          <w:sz w:val="24"/>
          <w:highlight w:val="none"/>
        </w:rPr>
      </w:pPr>
      <w:r>
        <w:rPr>
          <w:color w:val="auto"/>
          <w:sz w:val="24"/>
          <w:highlight w:val="none"/>
        </w:rPr>
        <w:t>响应文件的资格性检查和符合性审查</w:t>
      </w:r>
    </w:p>
    <w:p>
      <w:pPr>
        <w:numPr>
          <w:ilvl w:val="1"/>
          <w:numId w:val="10"/>
        </w:numPr>
        <w:tabs>
          <w:tab w:val="left" w:pos="1080"/>
        </w:tabs>
        <w:snapToGrid w:val="0"/>
        <w:spacing w:line="360" w:lineRule="auto"/>
        <w:ind w:left="1077" w:hanging="720"/>
        <w:rPr>
          <w:color w:val="auto"/>
          <w:sz w:val="24"/>
          <w:highlight w:val="none"/>
        </w:rPr>
      </w:pPr>
      <w:r>
        <w:rPr>
          <w:rFonts w:hint="eastAsia"/>
          <w:color w:val="auto"/>
          <w:sz w:val="24"/>
          <w:highlight w:val="none"/>
        </w:rPr>
        <w:t>评审</w:t>
      </w:r>
      <w:r>
        <w:rPr>
          <w:color w:val="auto"/>
          <w:sz w:val="24"/>
          <w:highlight w:val="none"/>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color w:val="auto"/>
          <w:sz w:val="24"/>
          <w:highlight w:val="none"/>
        </w:rPr>
        <w:t>比选</w:t>
      </w:r>
      <w:r>
        <w:rPr>
          <w:color w:val="auto"/>
          <w:sz w:val="24"/>
          <w:highlight w:val="none"/>
        </w:rPr>
        <w:t>文件。未实质性响应</w:t>
      </w:r>
      <w:r>
        <w:rPr>
          <w:rFonts w:hint="eastAsia"/>
          <w:color w:val="auto"/>
          <w:sz w:val="24"/>
          <w:highlight w:val="none"/>
        </w:rPr>
        <w:t>比选</w:t>
      </w:r>
      <w:r>
        <w:rPr>
          <w:color w:val="auto"/>
          <w:sz w:val="24"/>
          <w:highlight w:val="none"/>
        </w:rPr>
        <w:t>文件的响应文件按</w:t>
      </w:r>
      <w:r>
        <w:rPr>
          <w:b/>
          <w:color w:val="auto"/>
          <w:sz w:val="24"/>
          <w:highlight w:val="none"/>
        </w:rPr>
        <w:t>无效响应</w:t>
      </w:r>
      <w:r>
        <w:rPr>
          <w:color w:val="auto"/>
          <w:sz w:val="24"/>
          <w:highlight w:val="none"/>
        </w:rPr>
        <w:t>处理。</w:t>
      </w:r>
    </w:p>
    <w:p>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《资格性检查要求》中对格式有要求的，除</w:t>
      </w:r>
      <w:r>
        <w:rPr>
          <w:rFonts w:hint="eastAsia"/>
          <w:color w:val="auto"/>
          <w:sz w:val="24"/>
          <w:highlight w:val="none"/>
        </w:rPr>
        <w:t>比选</w:t>
      </w:r>
      <w:r>
        <w:rPr>
          <w:color w:val="auto"/>
          <w:sz w:val="24"/>
          <w:highlight w:val="none"/>
        </w:rPr>
        <w:t>文件另有规定外，均为“实质性格式”文件。</w:t>
      </w:r>
    </w:p>
    <w:p>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《资格性检查要求》见下表：</w:t>
      </w:r>
    </w:p>
    <w:bookmarkEnd w:id="606"/>
    <w:p>
      <w:pPr>
        <w:tabs>
          <w:tab w:val="left" w:pos="360"/>
          <w:tab w:val="left" w:pos="900"/>
        </w:tabs>
        <w:snapToGrid w:val="0"/>
        <w:spacing w:line="360" w:lineRule="auto"/>
        <w:jc w:val="center"/>
        <w:outlineLvl w:val="1"/>
        <w:rPr>
          <w:rFonts w:ascii="宋体" w:hAnsi="宋体"/>
          <w:b/>
          <w:color w:val="auto"/>
          <w:sz w:val="24"/>
          <w:highlight w:val="none"/>
        </w:rPr>
      </w:pPr>
      <w:r>
        <w:rPr>
          <w:rFonts w:ascii="宋体" w:hAnsi="宋体"/>
          <w:b/>
          <w:color w:val="auto"/>
          <w:sz w:val="24"/>
          <w:highlight w:val="none"/>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color w:val="auto"/>
                <w:sz w:val="24"/>
                <w:highlight w:val="none"/>
              </w:rPr>
            </w:pPr>
            <w:bookmarkStart w:id="608" w:name="_Hlt487972895"/>
            <w:bookmarkEnd w:id="608"/>
            <w:bookmarkStart w:id="609" w:name="_Toc127161490"/>
            <w:bookmarkStart w:id="610" w:name="_Toc127151779"/>
            <w:bookmarkStart w:id="611" w:name="_Toc226965858"/>
            <w:bookmarkStart w:id="612" w:name="_Toc353873940"/>
            <w:bookmarkStart w:id="613" w:name="_Toc353825550"/>
            <w:r>
              <w:rPr>
                <w:b/>
                <w:color w:val="auto"/>
                <w:sz w:val="24"/>
                <w:highlight w:val="none"/>
              </w:rPr>
              <w:t>序号</w:t>
            </w:r>
          </w:p>
        </w:tc>
        <w:tc>
          <w:tcPr>
            <w:tcW w:w="1067" w:type="pct"/>
            <w:vAlign w:val="center"/>
          </w:tcPr>
          <w:p>
            <w:pPr>
              <w:tabs>
                <w:tab w:val="left" w:pos="1080"/>
              </w:tabs>
              <w:snapToGrid w:val="0"/>
              <w:jc w:val="center"/>
              <w:rPr>
                <w:b/>
                <w:color w:val="auto"/>
                <w:sz w:val="24"/>
                <w:highlight w:val="none"/>
              </w:rPr>
            </w:pPr>
            <w:r>
              <w:rPr>
                <w:b/>
                <w:color w:val="auto"/>
                <w:sz w:val="24"/>
                <w:highlight w:val="none"/>
              </w:rPr>
              <w:t>审查因素</w:t>
            </w:r>
          </w:p>
        </w:tc>
        <w:tc>
          <w:tcPr>
            <w:tcW w:w="2596" w:type="pct"/>
            <w:vAlign w:val="center"/>
          </w:tcPr>
          <w:p>
            <w:pPr>
              <w:tabs>
                <w:tab w:val="left" w:pos="1080"/>
              </w:tabs>
              <w:snapToGrid w:val="0"/>
              <w:jc w:val="center"/>
              <w:rPr>
                <w:b/>
                <w:color w:val="auto"/>
                <w:sz w:val="24"/>
                <w:highlight w:val="none"/>
              </w:rPr>
            </w:pPr>
            <w:r>
              <w:rPr>
                <w:b/>
                <w:color w:val="auto"/>
                <w:sz w:val="24"/>
                <w:highlight w:val="none"/>
              </w:rPr>
              <w:t>审查内容</w:t>
            </w:r>
          </w:p>
        </w:tc>
        <w:tc>
          <w:tcPr>
            <w:tcW w:w="882" w:type="pct"/>
            <w:vAlign w:val="center"/>
          </w:tcPr>
          <w:p>
            <w:pPr>
              <w:tabs>
                <w:tab w:val="left" w:pos="1080"/>
              </w:tabs>
              <w:snapToGrid w:val="0"/>
              <w:jc w:val="center"/>
              <w:rPr>
                <w:b/>
                <w:color w:val="auto"/>
                <w:sz w:val="24"/>
                <w:highlight w:val="none"/>
              </w:rPr>
            </w:pPr>
            <w:r>
              <w:rPr>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1</w:t>
            </w:r>
          </w:p>
        </w:tc>
        <w:tc>
          <w:tcPr>
            <w:tcW w:w="1067" w:type="pct"/>
            <w:vAlign w:val="center"/>
          </w:tcPr>
          <w:p>
            <w:pPr>
              <w:tabs>
                <w:tab w:val="left" w:pos="1080"/>
              </w:tabs>
              <w:snapToGrid w:val="0"/>
              <w:rPr>
                <w:color w:val="auto"/>
                <w:sz w:val="24"/>
                <w:highlight w:val="none"/>
              </w:rPr>
            </w:pPr>
            <w:r>
              <w:rPr>
                <w:color w:val="auto"/>
                <w:sz w:val="24"/>
                <w:highlight w:val="none"/>
              </w:rPr>
              <w:t>满足《中华人民共和国政府采购法》第二十二条规定及法律法规的其他规定</w:t>
            </w:r>
          </w:p>
        </w:tc>
        <w:tc>
          <w:tcPr>
            <w:tcW w:w="2596" w:type="pct"/>
            <w:vAlign w:val="center"/>
          </w:tcPr>
          <w:p>
            <w:pPr>
              <w:tabs>
                <w:tab w:val="left" w:pos="1080"/>
              </w:tabs>
              <w:snapToGrid w:val="0"/>
              <w:rPr>
                <w:color w:val="auto"/>
                <w:sz w:val="24"/>
                <w:highlight w:val="none"/>
              </w:rPr>
            </w:pPr>
            <w:r>
              <w:rPr>
                <w:color w:val="auto"/>
                <w:sz w:val="24"/>
                <w:highlight w:val="none"/>
              </w:rPr>
              <w:t>具体规定见第一章《</w:t>
            </w:r>
            <w:r>
              <w:rPr>
                <w:rFonts w:hint="eastAsia"/>
                <w:color w:val="auto"/>
                <w:sz w:val="24"/>
                <w:highlight w:val="none"/>
              </w:rPr>
              <w:t>比选邀请</w:t>
            </w:r>
            <w:r>
              <w:rPr>
                <w:color w:val="auto"/>
                <w:sz w:val="24"/>
                <w:highlight w:val="none"/>
              </w:rPr>
              <w:t>》</w:t>
            </w:r>
          </w:p>
        </w:tc>
        <w:tc>
          <w:tcPr>
            <w:tcW w:w="882" w:type="pct"/>
            <w:vAlign w:val="center"/>
          </w:tcPr>
          <w:p>
            <w:pPr>
              <w:tabs>
                <w:tab w:val="left" w:pos="1080"/>
              </w:tabs>
              <w:snapToGrid w:val="0"/>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1-1</w:t>
            </w:r>
          </w:p>
        </w:tc>
        <w:tc>
          <w:tcPr>
            <w:tcW w:w="1067" w:type="pct"/>
            <w:vAlign w:val="center"/>
          </w:tcPr>
          <w:p>
            <w:pPr>
              <w:tabs>
                <w:tab w:val="left" w:pos="1080"/>
              </w:tabs>
              <w:snapToGrid w:val="0"/>
              <w:rPr>
                <w:color w:val="auto"/>
                <w:sz w:val="24"/>
                <w:highlight w:val="none"/>
              </w:rPr>
            </w:pPr>
            <w:r>
              <w:rPr>
                <w:color w:val="auto"/>
                <w:sz w:val="24"/>
                <w:highlight w:val="none"/>
              </w:rPr>
              <w:t>营业执照等证明文件</w:t>
            </w:r>
          </w:p>
        </w:tc>
        <w:tc>
          <w:tcPr>
            <w:tcW w:w="2596" w:type="pct"/>
            <w:vAlign w:val="center"/>
          </w:tcPr>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为企业（包括合伙企业）的，应提供有效的“营业执照”；</w:t>
            </w:r>
          </w:p>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为事业单位的，应提供有效的“事业单位法人证书”；</w:t>
            </w:r>
          </w:p>
          <w:p>
            <w:pPr>
              <w:tabs>
                <w:tab w:val="left" w:pos="1080"/>
              </w:tabs>
              <w:snapToGrid w:val="0"/>
              <w:rPr>
                <w:color w:val="auto"/>
                <w:sz w:val="24"/>
                <w:highlight w:val="none"/>
              </w:rPr>
            </w:pPr>
            <w:r>
              <w:rPr>
                <w:rFonts w:hint="eastAsia"/>
                <w:color w:val="auto"/>
                <w:sz w:val="24"/>
                <w:highlight w:val="none"/>
              </w:rPr>
              <w:t>供应商是非企业机构的，应提供有效的“执业许可证”、“登记证书”等证明文件；</w:t>
            </w:r>
          </w:p>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是个体工商户的，应提供有效的“个体工商户营业执照”；</w:t>
            </w:r>
          </w:p>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是自然人的，应提供有效的自然人身份证明。</w:t>
            </w:r>
          </w:p>
          <w:p>
            <w:pPr>
              <w:tabs>
                <w:tab w:val="left" w:pos="1080"/>
              </w:tabs>
              <w:snapToGrid w:val="0"/>
              <w:rPr>
                <w:color w:val="auto"/>
                <w:sz w:val="24"/>
                <w:highlight w:val="none"/>
              </w:rPr>
            </w:pPr>
            <w:r>
              <w:rPr>
                <w:rFonts w:hint="eastAsia"/>
                <w:color w:val="auto"/>
                <w:sz w:val="24"/>
                <w:highlight w:val="none"/>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color w:val="auto"/>
                <w:sz w:val="24"/>
                <w:highlight w:val="none"/>
              </w:rPr>
            </w:pPr>
            <w:r>
              <w:rPr>
                <w:rFonts w:hint="eastAsia"/>
                <w:color w:val="auto"/>
                <w:sz w:val="24"/>
                <w:highlight w:val="none"/>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1-2</w:t>
            </w:r>
          </w:p>
        </w:tc>
        <w:tc>
          <w:tcPr>
            <w:tcW w:w="1067" w:type="pct"/>
            <w:vAlign w:val="center"/>
          </w:tcPr>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资格声明书</w:t>
            </w:r>
          </w:p>
        </w:tc>
        <w:tc>
          <w:tcPr>
            <w:tcW w:w="2596" w:type="pct"/>
            <w:vAlign w:val="center"/>
          </w:tcPr>
          <w:p>
            <w:pPr>
              <w:tabs>
                <w:tab w:val="left" w:pos="1080"/>
              </w:tabs>
              <w:snapToGrid w:val="0"/>
              <w:rPr>
                <w:color w:val="auto"/>
                <w:sz w:val="24"/>
                <w:highlight w:val="none"/>
              </w:rPr>
            </w:pPr>
            <w:r>
              <w:rPr>
                <w:color w:val="auto"/>
                <w:sz w:val="24"/>
                <w:highlight w:val="none"/>
              </w:rPr>
              <w:t>提供了符合</w:t>
            </w:r>
            <w:r>
              <w:rPr>
                <w:rFonts w:hint="eastAsia"/>
                <w:color w:val="auto"/>
                <w:sz w:val="24"/>
                <w:highlight w:val="none"/>
              </w:rPr>
              <w:t>比选文件</w:t>
            </w:r>
            <w:r>
              <w:rPr>
                <w:color w:val="auto"/>
                <w:sz w:val="24"/>
                <w:highlight w:val="none"/>
              </w:rPr>
              <w:t>要求的《</w:t>
            </w:r>
            <w:r>
              <w:rPr>
                <w:rFonts w:hint="eastAsia"/>
                <w:color w:val="auto"/>
                <w:sz w:val="24"/>
                <w:highlight w:val="none"/>
              </w:rPr>
              <w:t>供应商</w:t>
            </w:r>
            <w:r>
              <w:rPr>
                <w:color w:val="auto"/>
                <w:sz w:val="24"/>
                <w:highlight w:val="none"/>
              </w:rPr>
              <w:t>资格声明书》。</w:t>
            </w:r>
          </w:p>
        </w:tc>
        <w:tc>
          <w:tcPr>
            <w:tcW w:w="882" w:type="pct"/>
            <w:vAlign w:val="center"/>
          </w:tcPr>
          <w:p>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响应文件</w:t>
            </w:r>
            <w:r>
              <w:rPr>
                <w:color w:val="auto"/>
                <w:sz w:val="24"/>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rFonts w:hint="eastAsia"/>
                <w:color w:val="auto"/>
                <w:sz w:val="24"/>
                <w:highlight w:val="none"/>
              </w:rPr>
              <w:t>1-</w:t>
            </w:r>
            <w:r>
              <w:rPr>
                <w:color w:val="auto"/>
                <w:sz w:val="24"/>
                <w:highlight w:val="none"/>
              </w:rPr>
              <w:t>3</w:t>
            </w:r>
          </w:p>
        </w:tc>
        <w:tc>
          <w:tcPr>
            <w:tcW w:w="1067" w:type="pct"/>
            <w:vAlign w:val="center"/>
          </w:tcPr>
          <w:p>
            <w:pPr>
              <w:tabs>
                <w:tab w:val="left" w:pos="1080"/>
              </w:tabs>
              <w:snapToGrid w:val="0"/>
              <w:rPr>
                <w:color w:val="auto"/>
                <w:sz w:val="24"/>
                <w:highlight w:val="none"/>
              </w:rPr>
            </w:pPr>
            <w:r>
              <w:rPr>
                <w:rFonts w:hint="eastAsia"/>
                <w:color w:val="auto"/>
                <w:sz w:val="24"/>
                <w:highlight w:val="none"/>
              </w:rPr>
              <w:t>供应商</w:t>
            </w:r>
            <w:r>
              <w:rPr>
                <w:color w:val="auto"/>
                <w:sz w:val="24"/>
                <w:highlight w:val="none"/>
              </w:rPr>
              <w:t>信用记录</w:t>
            </w:r>
          </w:p>
        </w:tc>
        <w:tc>
          <w:tcPr>
            <w:tcW w:w="2596" w:type="pct"/>
            <w:vAlign w:val="center"/>
          </w:tcPr>
          <w:p>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pPr>
              <w:tabs>
                <w:tab w:val="left" w:pos="900"/>
                <w:tab w:val="left" w:pos="1980"/>
              </w:tabs>
              <w:snapToGrid w:val="0"/>
              <w:rPr>
                <w:color w:val="auto"/>
                <w:sz w:val="24"/>
                <w:highlight w:val="none"/>
              </w:rPr>
            </w:pPr>
            <w:r>
              <w:rPr>
                <w:color w:val="auto"/>
                <w:sz w:val="24"/>
                <w:highlight w:val="none"/>
              </w:rPr>
              <w:t>截止时点：</w:t>
            </w:r>
            <w:r>
              <w:rPr>
                <w:rFonts w:hint="eastAsia"/>
                <w:color w:val="auto"/>
                <w:sz w:val="24"/>
                <w:highlight w:val="none"/>
              </w:rPr>
              <w:t>响应</w:t>
            </w:r>
            <w:r>
              <w:rPr>
                <w:color w:val="auto"/>
                <w:sz w:val="24"/>
                <w:highlight w:val="none"/>
              </w:rPr>
              <w:t>截止时间以后、</w:t>
            </w:r>
            <w:r>
              <w:rPr>
                <w:rFonts w:hint="eastAsia"/>
                <w:color w:val="auto"/>
                <w:sz w:val="24"/>
                <w:highlight w:val="none"/>
              </w:rPr>
              <w:t>资格审查阶段采购人或</w:t>
            </w:r>
            <w:r>
              <w:rPr>
                <w:color w:val="auto"/>
                <w:sz w:val="24"/>
                <w:highlight w:val="none"/>
              </w:rPr>
              <w:t>采购代理机构的实际查询时间；</w:t>
            </w:r>
          </w:p>
          <w:p>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w:t>
            </w:r>
            <w:r>
              <w:rPr>
                <w:rFonts w:hint="eastAsia"/>
                <w:color w:val="auto"/>
                <w:sz w:val="24"/>
                <w:highlight w:val="none"/>
              </w:rPr>
              <w:t>供应商</w:t>
            </w:r>
            <w:r>
              <w:rPr>
                <w:color w:val="auto"/>
                <w:sz w:val="24"/>
                <w:highlight w:val="none"/>
              </w:rPr>
              <w:t>，其</w:t>
            </w:r>
            <w:r>
              <w:rPr>
                <w:rFonts w:hint="eastAsia"/>
                <w:b/>
                <w:color w:val="auto"/>
                <w:sz w:val="24"/>
                <w:highlight w:val="none"/>
              </w:rPr>
              <w:t>响应</w:t>
            </w:r>
            <w:r>
              <w:rPr>
                <w:b/>
                <w:color w:val="auto"/>
                <w:sz w:val="24"/>
                <w:highlight w:val="none"/>
              </w:rPr>
              <w:t>无效</w:t>
            </w:r>
            <w:r>
              <w:rPr>
                <w:color w:val="auto"/>
                <w:sz w:val="24"/>
                <w:highlight w:val="none"/>
              </w:rPr>
              <w:t>。联合体形式</w:t>
            </w:r>
            <w:r>
              <w:rPr>
                <w:rFonts w:hint="eastAsia"/>
                <w:color w:val="auto"/>
                <w:sz w:val="24"/>
                <w:highlight w:val="none"/>
              </w:rPr>
              <w:t>响应</w:t>
            </w:r>
            <w:r>
              <w:rPr>
                <w:color w:val="auto"/>
                <w:sz w:val="24"/>
                <w:highlight w:val="none"/>
              </w:rPr>
              <w:t>的，联合体成员存在不良信用记录，视同联合体存在不良信用记录。</w:t>
            </w:r>
          </w:p>
        </w:tc>
        <w:tc>
          <w:tcPr>
            <w:tcW w:w="882" w:type="pct"/>
            <w:vAlign w:val="center"/>
          </w:tcPr>
          <w:p>
            <w:pPr>
              <w:tabs>
                <w:tab w:val="left" w:pos="1080"/>
              </w:tabs>
              <w:snapToGrid w:val="0"/>
              <w:rPr>
                <w:color w:val="auto"/>
                <w:sz w:val="24"/>
                <w:highlight w:val="none"/>
              </w:rPr>
            </w:pPr>
            <w:r>
              <w:rPr>
                <w:color w:val="auto"/>
                <w:sz w:val="24"/>
                <w:highlight w:val="none"/>
              </w:rPr>
              <w:t>无须</w:t>
            </w:r>
            <w:r>
              <w:rPr>
                <w:rFonts w:hint="eastAsia"/>
                <w:color w:val="auto"/>
                <w:sz w:val="24"/>
                <w:highlight w:val="none"/>
              </w:rPr>
              <w:t>供应商</w:t>
            </w:r>
            <w:r>
              <w:rPr>
                <w:color w:val="auto"/>
                <w:sz w:val="24"/>
                <w:highlight w:val="none"/>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2</w:t>
            </w:r>
          </w:p>
        </w:tc>
        <w:tc>
          <w:tcPr>
            <w:tcW w:w="1067" w:type="pct"/>
            <w:vAlign w:val="center"/>
          </w:tcPr>
          <w:p>
            <w:pPr>
              <w:tabs>
                <w:tab w:val="left" w:pos="1080"/>
              </w:tabs>
              <w:snapToGrid w:val="0"/>
              <w:rPr>
                <w:color w:val="auto"/>
                <w:sz w:val="24"/>
                <w:highlight w:val="none"/>
              </w:rPr>
            </w:pPr>
            <w:r>
              <w:rPr>
                <w:color w:val="auto"/>
                <w:sz w:val="24"/>
                <w:highlight w:val="none"/>
              </w:rPr>
              <w:t>落实政府采购政策需满足的资格要求</w:t>
            </w:r>
          </w:p>
        </w:tc>
        <w:tc>
          <w:tcPr>
            <w:tcW w:w="2596" w:type="pct"/>
            <w:vAlign w:val="center"/>
          </w:tcPr>
          <w:p>
            <w:pPr>
              <w:tabs>
                <w:tab w:val="left" w:pos="1080"/>
              </w:tabs>
              <w:snapToGrid w:val="0"/>
              <w:rPr>
                <w:color w:val="auto"/>
                <w:sz w:val="24"/>
                <w:highlight w:val="none"/>
              </w:rPr>
            </w:pPr>
            <w:r>
              <w:rPr>
                <w:color w:val="auto"/>
                <w:sz w:val="24"/>
                <w:highlight w:val="none"/>
              </w:rPr>
              <w:t>具体要求见第一章《</w:t>
            </w:r>
            <w:r>
              <w:rPr>
                <w:rFonts w:hint="eastAsia"/>
                <w:color w:val="auto"/>
                <w:sz w:val="24"/>
                <w:highlight w:val="none"/>
              </w:rPr>
              <w:t>比选邀请</w:t>
            </w:r>
            <w:r>
              <w:rPr>
                <w:color w:val="auto"/>
                <w:sz w:val="24"/>
                <w:highlight w:val="none"/>
              </w:rPr>
              <w:t>》</w:t>
            </w:r>
          </w:p>
        </w:tc>
        <w:tc>
          <w:tcPr>
            <w:tcW w:w="882" w:type="pct"/>
            <w:vAlign w:val="center"/>
          </w:tcPr>
          <w:p>
            <w:pPr>
              <w:tabs>
                <w:tab w:val="left" w:pos="1080"/>
              </w:tabs>
              <w:snapToGrid w:val="0"/>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2-1</w:t>
            </w:r>
          </w:p>
        </w:tc>
        <w:tc>
          <w:tcPr>
            <w:tcW w:w="1067" w:type="pct"/>
            <w:vAlign w:val="center"/>
          </w:tcPr>
          <w:p>
            <w:pPr>
              <w:tabs>
                <w:tab w:val="left" w:pos="1080"/>
              </w:tabs>
              <w:snapToGrid w:val="0"/>
              <w:rPr>
                <w:color w:val="auto"/>
                <w:sz w:val="24"/>
                <w:highlight w:val="none"/>
              </w:rPr>
            </w:pPr>
            <w:r>
              <w:rPr>
                <w:color w:val="auto"/>
                <w:sz w:val="24"/>
                <w:highlight w:val="none"/>
              </w:rPr>
              <w:t>中小企业声明函</w:t>
            </w:r>
          </w:p>
        </w:tc>
        <w:tc>
          <w:tcPr>
            <w:tcW w:w="2596" w:type="pct"/>
            <w:vAlign w:val="center"/>
          </w:tcPr>
          <w:p>
            <w:pPr>
              <w:tabs>
                <w:tab w:val="left" w:pos="1080"/>
              </w:tabs>
              <w:snapToGrid w:val="0"/>
              <w:rPr>
                <w:color w:val="auto"/>
                <w:sz w:val="24"/>
                <w:highlight w:val="none"/>
              </w:rPr>
            </w:pPr>
            <w:r>
              <w:rPr>
                <w:color w:val="auto"/>
                <w:sz w:val="24"/>
                <w:highlight w:val="none"/>
              </w:rPr>
              <w:t>当本项目（包）涉及预留份额专门面向中小企业采购</w:t>
            </w:r>
            <w:r>
              <w:rPr>
                <w:rFonts w:hint="eastAsia"/>
                <w:color w:val="auto"/>
                <w:sz w:val="24"/>
                <w:highlight w:val="none"/>
              </w:rPr>
              <w:t>，</w:t>
            </w:r>
            <w:r>
              <w:rPr>
                <w:color w:val="auto"/>
                <w:sz w:val="24"/>
                <w:highlight w:val="none"/>
              </w:rPr>
              <w:t>此时建议在《资格证明文件》中提供。</w:t>
            </w:r>
          </w:p>
          <w:p>
            <w:pPr>
              <w:tabs>
                <w:tab w:val="left" w:pos="1080"/>
              </w:tabs>
              <w:snapToGrid w:val="0"/>
              <w:rPr>
                <w:color w:val="auto"/>
                <w:sz w:val="24"/>
                <w:highlight w:val="none"/>
              </w:rPr>
            </w:pPr>
            <w:r>
              <w:rPr>
                <w:rFonts w:hint="eastAsia"/>
                <w:color w:val="auto"/>
                <w:sz w:val="24"/>
                <w:highlight w:val="none"/>
              </w:rPr>
              <w:t>1、供应商单独响应的，应提供中小企业声明函；如为监狱企业或</w:t>
            </w:r>
            <w:r>
              <w:rPr>
                <w:color w:val="auto"/>
                <w:sz w:val="24"/>
                <w:highlight w:val="none"/>
              </w:rPr>
              <w:t>残疾人福利性单位</w:t>
            </w:r>
            <w:r>
              <w:rPr>
                <w:rFonts w:hint="eastAsia"/>
                <w:color w:val="auto"/>
                <w:sz w:val="24"/>
                <w:highlight w:val="none"/>
              </w:rPr>
              <w:t>，不必提供中小企业声明函，但须按注1或注2要求提供证明材料。</w:t>
            </w:r>
          </w:p>
          <w:p>
            <w:pPr>
              <w:tabs>
                <w:tab w:val="left" w:pos="1080"/>
              </w:tabs>
              <w:snapToGrid w:val="0"/>
              <w:rPr>
                <w:color w:val="auto"/>
                <w:sz w:val="24"/>
                <w:highlight w:val="none"/>
              </w:rPr>
            </w:pPr>
            <w:r>
              <w:rPr>
                <w:rFonts w:hint="eastAsia"/>
                <w:color w:val="auto"/>
                <w:sz w:val="24"/>
                <w:highlight w:val="none"/>
              </w:rPr>
              <w:t>2、如比选文件</w:t>
            </w:r>
            <w:r>
              <w:rPr>
                <w:color w:val="auto"/>
                <w:sz w:val="24"/>
                <w:highlight w:val="none"/>
              </w:rPr>
              <w:t>要求以联合体形式参加或者要求合同分包的，</w:t>
            </w:r>
            <w:r>
              <w:rPr>
                <w:rFonts w:hint="eastAsia"/>
                <w:color w:val="auto"/>
                <w:sz w:val="24"/>
                <w:highlight w:val="none"/>
              </w:rPr>
              <w:t>且供应商为联合体或拟进行合同分包的，则</w:t>
            </w:r>
            <w:r>
              <w:rPr>
                <w:color w:val="auto"/>
                <w:sz w:val="24"/>
                <w:highlight w:val="none"/>
              </w:rPr>
              <w:t>联合体中的中小企业、签订分包意向协议的中小企业具体情况须在《中小企业声明函》中如实填报。</w:t>
            </w:r>
            <w:r>
              <w:rPr>
                <w:rFonts w:hint="eastAsia"/>
                <w:color w:val="auto"/>
                <w:sz w:val="24"/>
                <w:highlight w:val="none"/>
              </w:rPr>
              <w:t>上述中小企业如为监狱企业或</w:t>
            </w:r>
            <w:r>
              <w:rPr>
                <w:color w:val="auto"/>
                <w:sz w:val="24"/>
                <w:highlight w:val="none"/>
              </w:rPr>
              <w:t>残疾人福利性单位</w:t>
            </w:r>
            <w:r>
              <w:rPr>
                <w:rFonts w:hint="eastAsia"/>
                <w:color w:val="auto"/>
                <w:sz w:val="24"/>
                <w:highlight w:val="none"/>
              </w:rPr>
              <w:t>应在声明函中如实列明单位性质，并按注1或注2要求提供证明材料。</w:t>
            </w:r>
          </w:p>
          <w:p>
            <w:pPr>
              <w:tabs>
                <w:tab w:val="left" w:pos="1080"/>
              </w:tabs>
              <w:snapToGrid w:val="0"/>
              <w:rPr>
                <w:color w:val="auto"/>
                <w:sz w:val="24"/>
                <w:highlight w:val="none"/>
              </w:rPr>
            </w:pPr>
          </w:p>
          <w:p>
            <w:pPr>
              <w:tabs>
                <w:tab w:val="left" w:pos="1080"/>
              </w:tabs>
              <w:snapToGrid w:val="0"/>
              <w:rPr>
                <w:color w:val="auto"/>
                <w:sz w:val="24"/>
                <w:highlight w:val="none"/>
              </w:rPr>
            </w:pPr>
            <w:r>
              <w:rPr>
                <w:rFonts w:hint="eastAsia"/>
                <w:color w:val="auto"/>
                <w:sz w:val="24"/>
                <w:highlight w:val="none"/>
              </w:rPr>
              <w:t>注1：</w:t>
            </w:r>
            <w:r>
              <w:rPr>
                <w:color w:val="auto"/>
                <w:sz w:val="24"/>
                <w:highlight w:val="none"/>
              </w:rPr>
              <w:t>监狱企业须提供由省级以上监狱管理局（北京市含教育矫治局）、戒毒管理局（含新疆生产建设兵团）出具的属于监狱企业的证明文件。</w:t>
            </w:r>
          </w:p>
          <w:p>
            <w:pPr>
              <w:tabs>
                <w:tab w:val="left" w:pos="1080"/>
              </w:tabs>
              <w:snapToGrid w:val="0"/>
              <w:rPr>
                <w:color w:val="auto"/>
                <w:sz w:val="24"/>
                <w:highlight w:val="none"/>
              </w:rPr>
            </w:pPr>
            <w:r>
              <w:rPr>
                <w:rFonts w:hint="eastAsia"/>
                <w:color w:val="auto"/>
                <w:sz w:val="24"/>
                <w:highlight w:val="none"/>
              </w:rPr>
              <w:t>注2：</w:t>
            </w:r>
            <w:r>
              <w:rPr>
                <w:color w:val="auto"/>
                <w:sz w:val="24"/>
                <w:highlight w:val="none"/>
              </w:rPr>
              <w:t>残疾人福利性单位须按</w:t>
            </w:r>
            <w:r>
              <w:rPr>
                <w:rFonts w:hint="eastAsia"/>
                <w:color w:val="auto"/>
                <w:sz w:val="24"/>
                <w:highlight w:val="none"/>
              </w:rPr>
              <w:t>比选文件</w:t>
            </w:r>
            <w:r>
              <w:rPr>
                <w:color w:val="auto"/>
                <w:sz w:val="24"/>
                <w:highlight w:val="none"/>
              </w:rPr>
              <w:t>要求提供《残疾人福利性单位声明函》。</w:t>
            </w:r>
          </w:p>
        </w:tc>
        <w:tc>
          <w:tcPr>
            <w:tcW w:w="882" w:type="pct"/>
            <w:vAlign w:val="center"/>
          </w:tcPr>
          <w:p>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响应文件</w:t>
            </w:r>
            <w:r>
              <w:rPr>
                <w:color w:val="auto"/>
                <w:sz w:val="24"/>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2-2</w:t>
            </w:r>
          </w:p>
        </w:tc>
        <w:tc>
          <w:tcPr>
            <w:tcW w:w="1067" w:type="pct"/>
            <w:vAlign w:val="center"/>
          </w:tcPr>
          <w:p>
            <w:pPr>
              <w:tabs>
                <w:tab w:val="left" w:pos="1080"/>
              </w:tabs>
              <w:snapToGrid w:val="0"/>
              <w:rPr>
                <w:color w:val="auto"/>
                <w:sz w:val="24"/>
                <w:highlight w:val="none"/>
              </w:rPr>
            </w:pPr>
            <w:r>
              <w:rPr>
                <w:color w:val="auto"/>
                <w:sz w:val="24"/>
                <w:highlight w:val="none"/>
              </w:rPr>
              <w:t>拟分包情况说明及分包意向协议（类型一）</w:t>
            </w:r>
          </w:p>
        </w:tc>
        <w:tc>
          <w:tcPr>
            <w:tcW w:w="2596" w:type="pct"/>
            <w:vAlign w:val="center"/>
          </w:tcPr>
          <w:p>
            <w:pPr>
              <w:tabs>
                <w:tab w:val="left" w:pos="1080"/>
              </w:tabs>
              <w:snapToGrid w:val="0"/>
              <w:rPr>
                <w:color w:val="auto"/>
                <w:sz w:val="24"/>
                <w:highlight w:val="none"/>
              </w:rPr>
            </w:pPr>
            <w:r>
              <w:rPr>
                <w:color w:val="auto"/>
                <w:sz w:val="24"/>
                <w:highlight w:val="none"/>
              </w:rPr>
              <w:t>如本项目（包）要求通过分包措施预留部分采购份额面向中小企业采购、且</w:t>
            </w:r>
            <w:r>
              <w:rPr>
                <w:rFonts w:hint="eastAsia"/>
                <w:color w:val="auto"/>
                <w:sz w:val="24"/>
                <w:highlight w:val="none"/>
              </w:rPr>
              <w:t>供应商</w:t>
            </w:r>
            <w:r>
              <w:rPr>
                <w:color w:val="auto"/>
                <w:sz w:val="24"/>
                <w:highlight w:val="none"/>
              </w:rPr>
              <w:t>因落实政府采购政策拟进行分包的，必须提供；否则无须提供。</w:t>
            </w:r>
          </w:p>
          <w:p>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响应文件</w:t>
            </w:r>
            <w:r>
              <w:rPr>
                <w:color w:val="auto"/>
                <w:sz w:val="24"/>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2-3</w:t>
            </w:r>
          </w:p>
        </w:tc>
        <w:tc>
          <w:tcPr>
            <w:tcW w:w="1067" w:type="pct"/>
            <w:vAlign w:val="center"/>
          </w:tcPr>
          <w:p>
            <w:pPr>
              <w:tabs>
                <w:tab w:val="left" w:pos="1080"/>
              </w:tabs>
              <w:snapToGrid w:val="0"/>
              <w:rPr>
                <w:color w:val="auto"/>
                <w:sz w:val="24"/>
                <w:highlight w:val="none"/>
              </w:rPr>
            </w:pPr>
            <w:r>
              <w:rPr>
                <w:color w:val="auto"/>
                <w:sz w:val="24"/>
                <w:highlight w:val="none"/>
              </w:rPr>
              <w:t>其它落实政府采购政策的资格要求</w:t>
            </w:r>
          </w:p>
        </w:tc>
        <w:tc>
          <w:tcPr>
            <w:tcW w:w="2596" w:type="pct"/>
            <w:vAlign w:val="center"/>
          </w:tcPr>
          <w:p>
            <w:pPr>
              <w:tabs>
                <w:tab w:val="left" w:pos="1080"/>
              </w:tabs>
              <w:snapToGrid w:val="0"/>
              <w:rPr>
                <w:color w:val="auto"/>
                <w:sz w:val="24"/>
                <w:highlight w:val="none"/>
              </w:rPr>
            </w:pPr>
            <w:r>
              <w:rPr>
                <w:color w:val="auto"/>
                <w:sz w:val="24"/>
                <w:highlight w:val="none"/>
              </w:rPr>
              <w:t>如有，见第一章《</w:t>
            </w:r>
            <w:r>
              <w:rPr>
                <w:rFonts w:hint="eastAsia"/>
                <w:color w:val="auto"/>
                <w:sz w:val="24"/>
                <w:highlight w:val="none"/>
              </w:rPr>
              <w:t>比选邀请</w:t>
            </w:r>
            <w:r>
              <w:rPr>
                <w:color w:val="auto"/>
                <w:sz w:val="24"/>
                <w:highlight w:val="none"/>
              </w:rPr>
              <w:t>》</w:t>
            </w:r>
          </w:p>
        </w:tc>
        <w:tc>
          <w:tcPr>
            <w:tcW w:w="882" w:type="pct"/>
            <w:vAlign w:val="center"/>
          </w:tcPr>
          <w:p>
            <w:pPr>
              <w:tabs>
                <w:tab w:val="left" w:pos="1080"/>
              </w:tabs>
              <w:snapToGrid w:val="0"/>
              <w:rPr>
                <w:color w:val="auto"/>
                <w:sz w:val="24"/>
                <w:highlight w:val="none"/>
              </w:rPr>
            </w:pPr>
            <w:r>
              <w:rPr>
                <w:rFonts w:hint="eastAsia"/>
                <w:color w:val="auto"/>
                <w:sz w:val="24"/>
                <w:highlight w:val="none"/>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3</w:t>
            </w:r>
          </w:p>
        </w:tc>
        <w:tc>
          <w:tcPr>
            <w:tcW w:w="1067" w:type="pct"/>
            <w:vAlign w:val="center"/>
          </w:tcPr>
          <w:p>
            <w:pPr>
              <w:tabs>
                <w:tab w:val="left" w:pos="1080"/>
              </w:tabs>
              <w:snapToGrid w:val="0"/>
              <w:rPr>
                <w:color w:val="auto"/>
                <w:sz w:val="24"/>
                <w:highlight w:val="none"/>
              </w:rPr>
            </w:pPr>
            <w:r>
              <w:rPr>
                <w:color w:val="auto"/>
                <w:sz w:val="24"/>
                <w:highlight w:val="none"/>
              </w:rPr>
              <w:t>本项目的特定资格要求</w:t>
            </w:r>
          </w:p>
        </w:tc>
        <w:tc>
          <w:tcPr>
            <w:tcW w:w="2596" w:type="pct"/>
            <w:vAlign w:val="center"/>
          </w:tcPr>
          <w:p>
            <w:pPr>
              <w:tabs>
                <w:tab w:val="left" w:pos="1080"/>
              </w:tabs>
              <w:snapToGrid w:val="0"/>
              <w:rPr>
                <w:color w:val="auto"/>
                <w:sz w:val="24"/>
                <w:highlight w:val="none"/>
              </w:rPr>
            </w:pPr>
            <w:r>
              <w:rPr>
                <w:color w:val="auto"/>
                <w:sz w:val="24"/>
                <w:highlight w:val="none"/>
              </w:rPr>
              <w:t>如有，见第一章《</w:t>
            </w:r>
            <w:r>
              <w:rPr>
                <w:rFonts w:hint="eastAsia"/>
                <w:color w:val="auto"/>
                <w:sz w:val="24"/>
                <w:highlight w:val="none"/>
              </w:rPr>
              <w:t>比选邀请</w:t>
            </w:r>
            <w:r>
              <w:rPr>
                <w:color w:val="auto"/>
                <w:sz w:val="24"/>
                <w:highlight w:val="none"/>
              </w:rPr>
              <w:t>》</w:t>
            </w:r>
          </w:p>
        </w:tc>
        <w:tc>
          <w:tcPr>
            <w:tcW w:w="882" w:type="pct"/>
            <w:vAlign w:val="center"/>
          </w:tcPr>
          <w:p>
            <w:pPr>
              <w:tabs>
                <w:tab w:val="left" w:pos="1080"/>
              </w:tabs>
              <w:snapToGrid w:val="0"/>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color w:val="auto"/>
                <w:sz w:val="24"/>
                <w:highlight w:val="none"/>
              </w:rPr>
            </w:pPr>
            <w:r>
              <w:rPr>
                <w:color w:val="auto"/>
                <w:sz w:val="24"/>
                <w:highlight w:val="none"/>
              </w:rPr>
              <w:t>3-1</w:t>
            </w:r>
          </w:p>
        </w:tc>
        <w:tc>
          <w:tcPr>
            <w:tcW w:w="1067" w:type="pct"/>
            <w:vAlign w:val="center"/>
          </w:tcPr>
          <w:p>
            <w:pPr>
              <w:tabs>
                <w:tab w:val="left" w:pos="1080"/>
              </w:tabs>
              <w:snapToGrid w:val="0"/>
              <w:rPr>
                <w:color w:val="auto"/>
                <w:sz w:val="24"/>
                <w:highlight w:val="none"/>
              </w:rPr>
            </w:pPr>
            <w:r>
              <w:rPr>
                <w:color w:val="auto"/>
                <w:sz w:val="24"/>
                <w:highlight w:val="none"/>
              </w:rPr>
              <w:t>是否接受联合体</w:t>
            </w:r>
            <w:r>
              <w:rPr>
                <w:rFonts w:hint="eastAsia"/>
                <w:color w:val="auto"/>
                <w:sz w:val="24"/>
                <w:highlight w:val="none"/>
              </w:rPr>
              <w:t>响应</w:t>
            </w:r>
          </w:p>
        </w:tc>
        <w:tc>
          <w:tcPr>
            <w:tcW w:w="2596" w:type="pct"/>
            <w:vAlign w:val="center"/>
          </w:tcPr>
          <w:p>
            <w:pPr>
              <w:tabs>
                <w:tab w:val="left" w:pos="1080"/>
              </w:tabs>
              <w:snapToGrid w:val="0"/>
              <w:rPr>
                <w:color w:val="auto"/>
                <w:sz w:val="24"/>
                <w:highlight w:val="none"/>
              </w:rPr>
            </w:pPr>
            <w:r>
              <w:rPr>
                <w:color w:val="auto"/>
                <w:sz w:val="24"/>
                <w:highlight w:val="none"/>
              </w:rPr>
              <w:t>1、如本项目接受联合体</w:t>
            </w:r>
            <w:r>
              <w:rPr>
                <w:rFonts w:hint="eastAsia"/>
                <w:color w:val="auto"/>
                <w:sz w:val="24"/>
                <w:highlight w:val="none"/>
              </w:rPr>
              <w:t>响应</w:t>
            </w:r>
            <w:r>
              <w:rPr>
                <w:color w:val="auto"/>
                <w:sz w:val="24"/>
                <w:highlight w:val="none"/>
              </w:rPr>
              <w:t>，且</w:t>
            </w:r>
            <w:r>
              <w:rPr>
                <w:rFonts w:hint="eastAsia"/>
                <w:color w:val="auto"/>
                <w:sz w:val="24"/>
                <w:highlight w:val="none"/>
              </w:rPr>
              <w:t>供应商</w:t>
            </w:r>
            <w:r>
              <w:rPr>
                <w:color w:val="auto"/>
                <w:sz w:val="24"/>
                <w:highlight w:val="none"/>
              </w:rPr>
              <w:t>为联合体时必须提供《联合协议》，明确各方拟承担的工作和责任，并指定联合体牵头人，授权其代表所有联合体成员负责本项目</w:t>
            </w:r>
            <w:r>
              <w:rPr>
                <w:rFonts w:hint="eastAsia"/>
                <w:color w:val="auto"/>
                <w:sz w:val="24"/>
                <w:highlight w:val="none"/>
              </w:rPr>
              <w:t>响应</w:t>
            </w:r>
            <w:r>
              <w:rPr>
                <w:color w:val="auto"/>
                <w:sz w:val="24"/>
                <w:highlight w:val="none"/>
              </w:rPr>
              <w:t>和合同实施阶段的</w:t>
            </w:r>
            <w:r>
              <w:rPr>
                <w:rFonts w:hint="eastAsia"/>
                <w:color w:val="auto"/>
                <w:sz w:val="24"/>
                <w:highlight w:val="none"/>
              </w:rPr>
              <w:t>牵头</w:t>
            </w:r>
            <w:r>
              <w:rPr>
                <w:color w:val="auto"/>
                <w:sz w:val="24"/>
                <w:highlight w:val="none"/>
              </w:rPr>
              <w:t>、协调工作。该联合协议应当作为</w:t>
            </w:r>
            <w:r>
              <w:rPr>
                <w:rFonts w:hint="eastAsia"/>
                <w:color w:val="auto"/>
                <w:sz w:val="24"/>
                <w:highlight w:val="none"/>
              </w:rPr>
              <w:t>响应文件</w:t>
            </w:r>
            <w:r>
              <w:rPr>
                <w:color w:val="auto"/>
                <w:sz w:val="24"/>
                <w:highlight w:val="none"/>
              </w:rPr>
              <w:t>的组成部分，与</w:t>
            </w:r>
            <w:r>
              <w:rPr>
                <w:rFonts w:hint="eastAsia"/>
                <w:color w:val="auto"/>
                <w:sz w:val="24"/>
                <w:highlight w:val="none"/>
              </w:rPr>
              <w:t>响应文件</w:t>
            </w:r>
            <w:r>
              <w:rPr>
                <w:color w:val="auto"/>
                <w:sz w:val="24"/>
                <w:highlight w:val="none"/>
              </w:rPr>
              <w:t>其他内容同时递交。</w:t>
            </w:r>
          </w:p>
          <w:p>
            <w:pPr>
              <w:tabs>
                <w:tab w:val="left" w:pos="1080"/>
              </w:tabs>
              <w:snapToGrid w:val="0"/>
              <w:rPr>
                <w:color w:val="auto"/>
                <w:sz w:val="24"/>
                <w:highlight w:val="none"/>
              </w:rPr>
            </w:pPr>
            <w:r>
              <w:rPr>
                <w:color w:val="auto"/>
                <w:sz w:val="24"/>
                <w:highlight w:val="none"/>
              </w:rPr>
              <w:t>2、</w:t>
            </w:r>
            <w:r>
              <w:rPr>
                <w:rFonts w:hint="eastAsia"/>
                <w:color w:val="auto"/>
                <w:sz w:val="24"/>
                <w:highlight w:val="none"/>
              </w:rPr>
              <w:t>联合体各成员单位均须提供本表中序号1-1、1-2的证明文件。</w:t>
            </w:r>
          </w:p>
          <w:p>
            <w:pPr>
              <w:tabs>
                <w:tab w:val="left" w:pos="1080"/>
              </w:tabs>
              <w:snapToGrid w:val="0"/>
              <w:rPr>
                <w:color w:val="auto"/>
                <w:sz w:val="24"/>
                <w:highlight w:val="none"/>
              </w:rPr>
            </w:pPr>
            <w:r>
              <w:rPr>
                <w:rFonts w:hint="eastAsia"/>
                <w:color w:val="auto"/>
                <w:sz w:val="24"/>
                <w:highlight w:val="none"/>
              </w:rPr>
              <w:t>3、本表序号3-2项规定的其他特定资格要求中的每一小项要求，联合体各方中至少应当有一方符合本表中其他资格要求并提供证明文件。</w:t>
            </w:r>
          </w:p>
          <w:p>
            <w:pPr>
              <w:tabs>
                <w:tab w:val="left" w:pos="1080"/>
              </w:tabs>
              <w:snapToGrid w:val="0"/>
              <w:rPr>
                <w:color w:val="auto"/>
                <w:sz w:val="24"/>
                <w:highlight w:val="none"/>
              </w:rPr>
            </w:pPr>
            <w:r>
              <w:rPr>
                <w:rFonts w:hint="eastAsia"/>
                <w:color w:val="auto"/>
                <w:sz w:val="24"/>
                <w:highlight w:val="none"/>
              </w:rPr>
              <w:t>4</w:t>
            </w:r>
            <w:r>
              <w:rPr>
                <w:color w:val="auto"/>
                <w:sz w:val="24"/>
                <w:highlight w:val="none"/>
              </w:rPr>
              <w:t>、联合体中有同类资质的供应商按照联合体分工承担相同工作的，应当按照资质等级较低的供应商确定资质等级。</w:t>
            </w:r>
          </w:p>
          <w:p>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pPr>
              <w:tabs>
                <w:tab w:val="left" w:pos="1080"/>
              </w:tabs>
              <w:snapToGrid w:val="0"/>
              <w:rPr>
                <w:color w:val="auto"/>
                <w:sz w:val="24"/>
                <w:highlight w:val="none"/>
              </w:rPr>
            </w:pPr>
            <w:r>
              <w:rPr>
                <w:color w:val="auto"/>
                <w:sz w:val="24"/>
                <w:highlight w:val="none"/>
              </w:rPr>
              <w:t>6、若联合体中任一成员单位中途退出，则该联合体的</w:t>
            </w:r>
            <w:r>
              <w:rPr>
                <w:rFonts w:hint="eastAsia"/>
                <w:b/>
                <w:color w:val="auto"/>
                <w:sz w:val="24"/>
                <w:highlight w:val="none"/>
              </w:rPr>
              <w:t>响应</w:t>
            </w:r>
            <w:r>
              <w:rPr>
                <w:b/>
                <w:color w:val="auto"/>
                <w:sz w:val="24"/>
                <w:highlight w:val="none"/>
              </w:rPr>
              <w:t>无效</w:t>
            </w:r>
            <w:r>
              <w:rPr>
                <w:color w:val="auto"/>
                <w:sz w:val="24"/>
                <w:highlight w:val="none"/>
              </w:rPr>
              <w:t>。</w:t>
            </w:r>
          </w:p>
          <w:p>
            <w:pPr>
              <w:tabs>
                <w:tab w:val="left" w:pos="1080"/>
              </w:tabs>
              <w:snapToGrid w:val="0"/>
              <w:rPr>
                <w:color w:val="auto"/>
                <w:sz w:val="24"/>
                <w:highlight w:val="none"/>
              </w:rPr>
            </w:pPr>
            <w:r>
              <w:rPr>
                <w:color w:val="auto"/>
                <w:sz w:val="24"/>
                <w:highlight w:val="none"/>
              </w:rPr>
              <w:t>7、本项目不接受联合体</w:t>
            </w:r>
            <w:r>
              <w:rPr>
                <w:rFonts w:hint="eastAsia"/>
                <w:color w:val="auto"/>
                <w:sz w:val="24"/>
                <w:highlight w:val="none"/>
              </w:rPr>
              <w:t>响应时</w:t>
            </w:r>
            <w:r>
              <w:rPr>
                <w:color w:val="auto"/>
                <w:sz w:val="24"/>
                <w:highlight w:val="none"/>
              </w:rPr>
              <w:t>，</w:t>
            </w:r>
            <w:r>
              <w:rPr>
                <w:rFonts w:hint="eastAsia"/>
                <w:color w:val="auto"/>
                <w:sz w:val="24"/>
                <w:highlight w:val="none"/>
              </w:rPr>
              <w:t>供应商不得为联合体</w:t>
            </w:r>
            <w:r>
              <w:rPr>
                <w:color w:val="auto"/>
                <w:sz w:val="24"/>
                <w:highlight w:val="none"/>
              </w:rPr>
              <w:t>。</w:t>
            </w:r>
          </w:p>
        </w:tc>
        <w:tc>
          <w:tcPr>
            <w:tcW w:w="882" w:type="pct"/>
            <w:vAlign w:val="center"/>
          </w:tcPr>
          <w:p>
            <w:pPr>
              <w:tabs>
                <w:tab w:val="left" w:pos="1080"/>
              </w:tabs>
              <w:snapToGrid w:val="0"/>
              <w:rPr>
                <w:color w:val="auto"/>
                <w:sz w:val="24"/>
                <w:highlight w:val="none"/>
              </w:rPr>
            </w:pPr>
            <w:r>
              <w:rPr>
                <w:color w:val="auto"/>
                <w:sz w:val="24"/>
                <w:highlight w:val="none"/>
              </w:rPr>
              <w:t>提供《联合协议》</w:t>
            </w:r>
            <w:r>
              <w:rPr>
                <w:rFonts w:hint="eastAsia"/>
                <w:color w:val="auto"/>
                <w:sz w:val="24"/>
                <w:highlight w:val="none"/>
              </w:rPr>
              <w:t>原</w:t>
            </w:r>
            <w:r>
              <w:rPr>
                <w:color w:val="auto"/>
                <w:sz w:val="24"/>
                <w:highlight w:val="none"/>
              </w:rPr>
              <w:t>件</w:t>
            </w:r>
          </w:p>
          <w:p>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响应文件</w:t>
            </w:r>
            <w:r>
              <w:rPr>
                <w:color w:val="auto"/>
                <w:sz w:val="24"/>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color w:val="auto"/>
                <w:sz w:val="24"/>
                <w:highlight w:val="none"/>
              </w:rPr>
            </w:pPr>
            <w:r>
              <w:rPr>
                <w:color w:val="auto"/>
                <w:sz w:val="24"/>
                <w:highlight w:val="none"/>
              </w:rPr>
              <w:t>3-2</w:t>
            </w:r>
          </w:p>
        </w:tc>
        <w:tc>
          <w:tcPr>
            <w:tcW w:w="1067" w:type="pct"/>
            <w:vAlign w:val="center"/>
          </w:tcPr>
          <w:p>
            <w:pPr>
              <w:tabs>
                <w:tab w:val="left" w:pos="1080"/>
              </w:tabs>
              <w:snapToGrid w:val="0"/>
              <w:rPr>
                <w:color w:val="auto"/>
                <w:sz w:val="24"/>
                <w:highlight w:val="none"/>
              </w:rPr>
            </w:pPr>
            <w:r>
              <w:rPr>
                <w:color w:val="auto"/>
                <w:sz w:val="24"/>
                <w:highlight w:val="none"/>
              </w:rPr>
              <w:t>其他特定资格要求</w:t>
            </w:r>
          </w:p>
        </w:tc>
        <w:tc>
          <w:tcPr>
            <w:tcW w:w="2596" w:type="pct"/>
            <w:vAlign w:val="center"/>
          </w:tcPr>
          <w:p>
            <w:pPr>
              <w:tabs>
                <w:tab w:val="left" w:pos="1080"/>
              </w:tabs>
              <w:snapToGrid w:val="0"/>
              <w:rPr>
                <w:color w:val="auto"/>
                <w:sz w:val="24"/>
                <w:highlight w:val="none"/>
              </w:rPr>
            </w:pPr>
            <w:r>
              <w:rPr>
                <w:color w:val="auto"/>
                <w:sz w:val="24"/>
                <w:highlight w:val="none"/>
              </w:rPr>
              <w:t>如有，见第一章《</w:t>
            </w:r>
            <w:r>
              <w:rPr>
                <w:rFonts w:hint="eastAsia"/>
                <w:color w:val="auto"/>
                <w:sz w:val="24"/>
                <w:highlight w:val="none"/>
              </w:rPr>
              <w:t>比选邀请</w:t>
            </w:r>
            <w:r>
              <w:rPr>
                <w:color w:val="auto"/>
                <w:sz w:val="24"/>
                <w:highlight w:val="none"/>
              </w:rPr>
              <w:t>》</w:t>
            </w:r>
          </w:p>
        </w:tc>
        <w:tc>
          <w:tcPr>
            <w:tcW w:w="882" w:type="pct"/>
            <w:vAlign w:val="center"/>
          </w:tcPr>
          <w:p>
            <w:pPr>
              <w:tabs>
                <w:tab w:val="left" w:pos="1080"/>
              </w:tabs>
              <w:snapToGrid w:val="0"/>
              <w:rPr>
                <w:color w:val="auto"/>
                <w:sz w:val="24"/>
                <w:highlight w:val="none"/>
              </w:rPr>
            </w:pPr>
            <w:r>
              <w:rPr>
                <w:rFonts w:hint="eastAsia"/>
                <w:color w:val="auto"/>
                <w:sz w:val="24"/>
                <w:highlight w:val="none"/>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color w:val="auto"/>
                <w:sz w:val="24"/>
                <w:highlight w:val="none"/>
              </w:rPr>
            </w:pPr>
            <w:r>
              <w:rPr>
                <w:color w:val="auto"/>
                <w:sz w:val="24"/>
                <w:highlight w:val="none"/>
              </w:rPr>
              <w:t>4</w:t>
            </w:r>
          </w:p>
        </w:tc>
        <w:tc>
          <w:tcPr>
            <w:tcW w:w="1067" w:type="pct"/>
            <w:vAlign w:val="center"/>
          </w:tcPr>
          <w:p>
            <w:pPr>
              <w:tabs>
                <w:tab w:val="left" w:pos="1080"/>
              </w:tabs>
              <w:snapToGrid w:val="0"/>
              <w:rPr>
                <w:color w:val="auto"/>
                <w:sz w:val="24"/>
                <w:highlight w:val="none"/>
              </w:rPr>
            </w:pPr>
            <w:r>
              <w:rPr>
                <w:rFonts w:hint="eastAsia"/>
                <w:color w:val="auto"/>
                <w:sz w:val="24"/>
                <w:highlight w:val="none"/>
              </w:rPr>
              <w:t>报价保证金</w:t>
            </w:r>
          </w:p>
        </w:tc>
        <w:tc>
          <w:tcPr>
            <w:tcW w:w="2596" w:type="pct"/>
            <w:vAlign w:val="center"/>
          </w:tcPr>
          <w:p>
            <w:pPr>
              <w:tabs>
                <w:tab w:val="left" w:pos="1080"/>
              </w:tabs>
              <w:snapToGrid w:val="0"/>
              <w:rPr>
                <w:color w:val="auto"/>
                <w:sz w:val="24"/>
                <w:highlight w:val="none"/>
              </w:rPr>
            </w:pPr>
            <w:r>
              <w:rPr>
                <w:color w:val="auto"/>
                <w:kern w:val="0"/>
                <w:sz w:val="24"/>
                <w:highlight w:val="none"/>
              </w:rPr>
              <w:t>按照</w:t>
            </w:r>
            <w:r>
              <w:rPr>
                <w:rFonts w:hint="eastAsia"/>
                <w:color w:val="auto"/>
                <w:kern w:val="0"/>
                <w:sz w:val="24"/>
                <w:highlight w:val="none"/>
              </w:rPr>
              <w:t>比选文件</w:t>
            </w:r>
            <w:r>
              <w:rPr>
                <w:color w:val="auto"/>
                <w:kern w:val="0"/>
                <w:sz w:val="24"/>
                <w:highlight w:val="none"/>
              </w:rPr>
              <w:t>的规定提交</w:t>
            </w:r>
            <w:r>
              <w:rPr>
                <w:rFonts w:hint="eastAsia"/>
                <w:color w:val="auto"/>
                <w:kern w:val="0"/>
                <w:sz w:val="24"/>
                <w:highlight w:val="none"/>
              </w:rPr>
              <w:t>报价保证金。</w:t>
            </w:r>
          </w:p>
        </w:tc>
        <w:tc>
          <w:tcPr>
            <w:tcW w:w="882" w:type="pct"/>
            <w:vAlign w:val="center"/>
          </w:tcPr>
          <w:p>
            <w:pPr>
              <w:tabs>
                <w:tab w:val="left" w:pos="1080"/>
              </w:tabs>
              <w:snapToGrid w:val="0"/>
              <w:rPr>
                <w:color w:val="auto"/>
                <w:sz w:val="24"/>
                <w:highlight w:val="none"/>
              </w:rPr>
            </w:pPr>
          </w:p>
        </w:tc>
        <w:bookmarkStart w:id="614" w:name="_Hlt487900425"/>
        <w:bookmarkStart w:id="615" w:name="_Hlt522424701"/>
      </w:tr>
      <w:bookmarkEnd w:id="614"/>
      <w:bookmarkEnd w:id="615"/>
    </w:tbl>
    <w:p>
      <w:pPr>
        <w:widowControl/>
        <w:jc w:val="left"/>
        <w:rPr>
          <w:rFonts w:ascii="宋体" w:hAnsi="宋体"/>
          <w:color w:val="auto"/>
          <w:sz w:val="24"/>
          <w:highlight w:val="none"/>
        </w:rPr>
      </w:pPr>
      <w:r>
        <w:rPr>
          <w:rFonts w:ascii="宋体" w:hAnsi="宋体"/>
          <w:color w:val="auto"/>
          <w:sz w:val="24"/>
          <w:highlight w:val="none"/>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auto"/>
          <w:sz w:val="24"/>
          <w:highlight w:val="none"/>
        </w:rPr>
      </w:pPr>
      <w:bookmarkStart w:id="616" w:name="_Toc353873941"/>
      <w:bookmarkStart w:id="617" w:name="_Toc353825551"/>
      <w:bookmarkStart w:id="618" w:name="_Toc226337251"/>
      <w:bookmarkStart w:id="619" w:name="_Toc264969245"/>
      <w:bookmarkStart w:id="620" w:name="_Toc142311057"/>
      <w:bookmarkStart w:id="621" w:name="_Toc226965828"/>
      <w:bookmarkStart w:id="622" w:name="_Toc127151555"/>
      <w:bookmarkStart w:id="623" w:name="_Toc150774760"/>
      <w:bookmarkStart w:id="624" w:name="_Toc150480793"/>
      <w:bookmarkStart w:id="625" w:name="_Toc305158823"/>
      <w:bookmarkStart w:id="626" w:name="_Toc305158897"/>
      <w:bookmarkStart w:id="627" w:name="_Toc353873665"/>
      <w:bookmarkStart w:id="628" w:name="_Toc265228393"/>
      <w:bookmarkStart w:id="629" w:name="_Toc353825545"/>
      <w:bookmarkStart w:id="630" w:name="_Toc353873935"/>
      <w:bookmarkStart w:id="631" w:name="_Toc195842920"/>
      <w:r>
        <w:rPr>
          <w:rFonts w:ascii="宋体" w:hAnsi="宋体"/>
          <w:b/>
          <w:color w:val="auto"/>
          <w:sz w:val="24"/>
          <w:highlight w:val="none"/>
        </w:rPr>
        <w:t>符合性审查</w:t>
      </w:r>
      <w:r>
        <w:rPr>
          <w:rFonts w:hint="eastAsia" w:ascii="宋体" w:hAnsi="宋体"/>
          <w:b/>
          <w:color w:val="auto"/>
          <w:sz w:val="24"/>
          <w:highlight w:val="none"/>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auto"/>
                <w:kern w:val="0"/>
                <w:sz w:val="24"/>
                <w:highlight w:val="none"/>
              </w:rPr>
            </w:pPr>
            <w:r>
              <w:rPr>
                <w:b/>
                <w:color w:val="auto"/>
                <w:kern w:val="0"/>
                <w:sz w:val="24"/>
                <w:highlight w:val="none"/>
              </w:rPr>
              <w:t>序号</w:t>
            </w:r>
          </w:p>
        </w:tc>
        <w:tc>
          <w:tcPr>
            <w:tcW w:w="976" w:type="pct"/>
            <w:vAlign w:val="center"/>
          </w:tcPr>
          <w:p>
            <w:pPr>
              <w:widowControl/>
              <w:jc w:val="center"/>
              <w:rPr>
                <w:b/>
                <w:color w:val="auto"/>
                <w:kern w:val="0"/>
                <w:sz w:val="24"/>
                <w:highlight w:val="none"/>
              </w:rPr>
            </w:pPr>
            <w:r>
              <w:rPr>
                <w:b/>
                <w:color w:val="auto"/>
                <w:kern w:val="0"/>
                <w:sz w:val="24"/>
                <w:highlight w:val="none"/>
              </w:rPr>
              <w:t>审查因素</w:t>
            </w:r>
          </w:p>
        </w:tc>
        <w:tc>
          <w:tcPr>
            <w:tcW w:w="3620" w:type="pct"/>
            <w:vAlign w:val="center"/>
          </w:tcPr>
          <w:p>
            <w:pPr>
              <w:widowControl/>
              <w:jc w:val="center"/>
              <w:rPr>
                <w:b/>
                <w:color w:val="auto"/>
                <w:kern w:val="0"/>
                <w:sz w:val="24"/>
                <w:highlight w:val="none"/>
              </w:rPr>
            </w:pPr>
            <w:r>
              <w:rPr>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w:t>
            </w:r>
          </w:p>
        </w:tc>
        <w:tc>
          <w:tcPr>
            <w:tcW w:w="976" w:type="pct"/>
            <w:vAlign w:val="center"/>
          </w:tcPr>
          <w:p>
            <w:pPr>
              <w:widowControl/>
              <w:jc w:val="left"/>
              <w:rPr>
                <w:color w:val="auto"/>
                <w:kern w:val="0"/>
                <w:sz w:val="24"/>
                <w:highlight w:val="none"/>
              </w:rPr>
            </w:pPr>
            <w:r>
              <w:rPr>
                <w:color w:val="auto"/>
                <w:kern w:val="0"/>
                <w:sz w:val="24"/>
                <w:highlight w:val="none"/>
              </w:rPr>
              <w:t>授权委托书</w:t>
            </w:r>
          </w:p>
        </w:tc>
        <w:tc>
          <w:tcPr>
            <w:tcW w:w="3620" w:type="pct"/>
            <w:vAlign w:val="center"/>
          </w:tcPr>
          <w:p>
            <w:pPr>
              <w:widowControl/>
              <w:jc w:val="left"/>
              <w:rPr>
                <w:color w:val="auto"/>
                <w:kern w:val="0"/>
                <w:sz w:val="24"/>
                <w:highlight w:val="none"/>
              </w:rPr>
            </w:pPr>
            <w:r>
              <w:rPr>
                <w:color w:val="auto"/>
                <w:kern w:val="0"/>
                <w:sz w:val="24"/>
                <w:highlight w:val="none"/>
              </w:rPr>
              <w:t>按</w:t>
            </w:r>
            <w:r>
              <w:rPr>
                <w:rFonts w:hint="eastAsia"/>
                <w:color w:val="auto"/>
                <w:kern w:val="0"/>
                <w:sz w:val="24"/>
                <w:highlight w:val="none"/>
              </w:rPr>
              <w:t>比选文件</w:t>
            </w:r>
            <w:r>
              <w:rPr>
                <w:color w:val="auto"/>
                <w:kern w:val="0"/>
                <w:sz w:val="24"/>
                <w:highlight w:val="none"/>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2</w:t>
            </w:r>
          </w:p>
        </w:tc>
        <w:tc>
          <w:tcPr>
            <w:tcW w:w="976" w:type="pct"/>
            <w:vAlign w:val="center"/>
          </w:tcPr>
          <w:p>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完整性</w:t>
            </w:r>
          </w:p>
        </w:tc>
        <w:tc>
          <w:tcPr>
            <w:tcW w:w="3620" w:type="pct"/>
            <w:vAlign w:val="center"/>
          </w:tcPr>
          <w:p>
            <w:pPr>
              <w:widowControl/>
              <w:jc w:val="left"/>
              <w:rPr>
                <w:color w:val="auto"/>
                <w:kern w:val="0"/>
                <w:sz w:val="24"/>
                <w:highlight w:val="none"/>
              </w:rPr>
            </w:pPr>
            <w:r>
              <w:rPr>
                <w:rFonts w:hint="eastAsia"/>
                <w:color w:val="auto"/>
                <w:sz w:val="24"/>
                <w:highlight w:val="none"/>
              </w:rPr>
              <w:t>未</w:t>
            </w:r>
            <w:r>
              <w:rPr>
                <w:color w:val="auto"/>
                <w:sz w:val="24"/>
                <w:highlight w:val="none"/>
              </w:rPr>
              <w:t>将一个采购包中的内容拆开</w:t>
            </w:r>
            <w:r>
              <w:rPr>
                <w:rFonts w:hint="eastAsia"/>
                <w:color w:val="auto"/>
                <w:sz w:val="24"/>
                <w:highlight w:val="none"/>
              </w:rPr>
              <w:t>响应</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3</w:t>
            </w:r>
          </w:p>
        </w:tc>
        <w:tc>
          <w:tcPr>
            <w:tcW w:w="976" w:type="pct"/>
            <w:vAlign w:val="center"/>
          </w:tcPr>
          <w:p>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报价</w:t>
            </w:r>
          </w:p>
        </w:tc>
        <w:tc>
          <w:tcPr>
            <w:tcW w:w="3620" w:type="pct"/>
            <w:vAlign w:val="center"/>
          </w:tcPr>
          <w:p>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比选文件</w:t>
            </w:r>
            <w:r>
              <w:rPr>
                <w:color w:val="auto"/>
                <w:sz w:val="24"/>
                <w:highlight w:val="none"/>
              </w:rPr>
              <w:t>中规定的项目/采购包预算金额或者项目/采购包最高限价</w:t>
            </w:r>
            <w:r>
              <w:rPr>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4</w:t>
            </w:r>
          </w:p>
        </w:tc>
        <w:tc>
          <w:tcPr>
            <w:tcW w:w="976" w:type="pct"/>
            <w:vAlign w:val="center"/>
          </w:tcPr>
          <w:p>
            <w:pPr>
              <w:widowControl/>
              <w:jc w:val="left"/>
              <w:rPr>
                <w:color w:val="auto"/>
                <w:kern w:val="0"/>
                <w:sz w:val="24"/>
                <w:highlight w:val="none"/>
              </w:rPr>
            </w:pPr>
            <w:r>
              <w:rPr>
                <w:color w:val="auto"/>
                <w:kern w:val="0"/>
                <w:sz w:val="24"/>
                <w:highlight w:val="none"/>
              </w:rPr>
              <w:t>报价唯一性</w:t>
            </w:r>
          </w:p>
        </w:tc>
        <w:tc>
          <w:tcPr>
            <w:tcW w:w="3620" w:type="pct"/>
            <w:vAlign w:val="center"/>
          </w:tcPr>
          <w:p>
            <w:pPr>
              <w:widowControl/>
              <w:jc w:val="left"/>
              <w:rPr>
                <w:color w:val="auto"/>
                <w:kern w:val="0"/>
                <w:sz w:val="24"/>
                <w:highlight w:val="none"/>
              </w:rPr>
            </w:pPr>
            <w:r>
              <w:rPr>
                <w:rFonts w:hint="eastAsia"/>
                <w:color w:val="auto"/>
                <w:kern w:val="0"/>
                <w:sz w:val="24"/>
                <w:highlight w:val="none"/>
              </w:rPr>
              <w:t>响应文件未</w:t>
            </w:r>
            <w:r>
              <w:rPr>
                <w:rFonts w:hint="eastAsia"/>
                <w:color w:val="auto"/>
                <w:sz w:val="24"/>
                <w:highlight w:val="none"/>
              </w:rPr>
              <w:t>出现可选择性或可调整的报价（比选文件另有规定的除外）</w:t>
            </w:r>
            <w:r>
              <w:rPr>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5</w:t>
            </w:r>
          </w:p>
        </w:tc>
        <w:tc>
          <w:tcPr>
            <w:tcW w:w="976" w:type="pct"/>
            <w:vAlign w:val="center"/>
          </w:tcPr>
          <w:p>
            <w:pPr>
              <w:widowControl/>
              <w:jc w:val="left"/>
              <w:rPr>
                <w:color w:val="auto"/>
                <w:kern w:val="0"/>
                <w:sz w:val="24"/>
                <w:highlight w:val="none"/>
              </w:rPr>
            </w:pPr>
            <w:r>
              <w:rPr>
                <w:rFonts w:hint="eastAsia"/>
                <w:color w:val="auto"/>
                <w:kern w:val="0"/>
                <w:sz w:val="24"/>
                <w:highlight w:val="none"/>
              </w:rPr>
              <w:t>报价有效期</w:t>
            </w:r>
          </w:p>
        </w:tc>
        <w:tc>
          <w:tcPr>
            <w:tcW w:w="3620" w:type="pct"/>
            <w:vAlign w:val="center"/>
          </w:tcPr>
          <w:p>
            <w:pPr>
              <w:widowControl/>
              <w:jc w:val="left"/>
              <w:rPr>
                <w:color w:val="auto"/>
                <w:kern w:val="0"/>
                <w:sz w:val="24"/>
                <w:highlight w:val="none"/>
              </w:rPr>
            </w:pPr>
            <w:r>
              <w:rPr>
                <w:rFonts w:hint="eastAsia"/>
                <w:color w:val="auto"/>
                <w:kern w:val="0"/>
                <w:sz w:val="24"/>
                <w:highlight w:val="none"/>
              </w:rPr>
              <w:t>响应文件</w:t>
            </w:r>
            <w:r>
              <w:rPr>
                <w:color w:val="auto"/>
                <w:kern w:val="0"/>
                <w:sz w:val="24"/>
                <w:highlight w:val="none"/>
              </w:rPr>
              <w:t>中承诺的</w:t>
            </w:r>
            <w:r>
              <w:rPr>
                <w:rFonts w:hint="eastAsia"/>
                <w:color w:val="auto"/>
                <w:kern w:val="0"/>
                <w:sz w:val="24"/>
                <w:highlight w:val="none"/>
              </w:rPr>
              <w:t>报价有效期满足比选文件</w:t>
            </w:r>
            <w:r>
              <w:rPr>
                <w:color w:val="auto"/>
                <w:kern w:val="0"/>
                <w:sz w:val="24"/>
                <w:highlight w:val="none"/>
              </w:rPr>
              <w:t>中载明的</w:t>
            </w:r>
            <w:r>
              <w:rPr>
                <w:rFonts w:hint="eastAsia"/>
                <w:color w:val="auto"/>
                <w:kern w:val="0"/>
                <w:sz w:val="24"/>
                <w:highlight w:val="none"/>
              </w:rPr>
              <w:t>报价有效期</w:t>
            </w:r>
            <w:r>
              <w:rPr>
                <w:color w:val="auto"/>
                <w:kern w:val="0"/>
                <w:sz w:val="24"/>
                <w:highlight w:val="non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6</w:t>
            </w:r>
          </w:p>
        </w:tc>
        <w:tc>
          <w:tcPr>
            <w:tcW w:w="976" w:type="pct"/>
            <w:vAlign w:val="center"/>
          </w:tcPr>
          <w:p>
            <w:pPr>
              <w:widowControl/>
              <w:jc w:val="left"/>
              <w:rPr>
                <w:color w:val="auto"/>
                <w:kern w:val="0"/>
                <w:sz w:val="24"/>
                <w:highlight w:val="none"/>
              </w:rPr>
            </w:pPr>
            <w:r>
              <w:rPr>
                <w:color w:val="auto"/>
                <w:kern w:val="0"/>
                <w:sz w:val="24"/>
                <w:highlight w:val="none"/>
              </w:rPr>
              <w:t>签署、盖章</w:t>
            </w:r>
          </w:p>
        </w:tc>
        <w:tc>
          <w:tcPr>
            <w:tcW w:w="3620" w:type="pct"/>
            <w:vAlign w:val="center"/>
          </w:tcPr>
          <w:p>
            <w:pPr>
              <w:widowControl/>
              <w:jc w:val="left"/>
              <w:rPr>
                <w:color w:val="auto"/>
                <w:kern w:val="0"/>
                <w:sz w:val="24"/>
                <w:highlight w:val="none"/>
              </w:rPr>
            </w:pPr>
            <w:r>
              <w:rPr>
                <w:color w:val="auto"/>
                <w:kern w:val="0"/>
                <w:sz w:val="24"/>
                <w:highlight w:val="none"/>
              </w:rPr>
              <w:t>按照</w:t>
            </w:r>
            <w:r>
              <w:rPr>
                <w:rFonts w:hint="eastAsia"/>
                <w:color w:val="auto"/>
                <w:kern w:val="0"/>
                <w:sz w:val="24"/>
                <w:highlight w:val="none"/>
              </w:rPr>
              <w:t>比选文件</w:t>
            </w:r>
            <w:r>
              <w:rPr>
                <w:color w:val="auto"/>
                <w:kern w:val="0"/>
                <w:sz w:val="24"/>
                <w:highlight w:val="none"/>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rFonts w:hint="eastAsia"/>
                <w:color w:val="auto"/>
                <w:kern w:val="0"/>
                <w:sz w:val="24"/>
                <w:highlight w:val="none"/>
              </w:rPr>
              <w:t>7</w:t>
            </w:r>
          </w:p>
        </w:tc>
        <w:tc>
          <w:tcPr>
            <w:tcW w:w="976" w:type="pct"/>
            <w:vAlign w:val="center"/>
          </w:tcPr>
          <w:p>
            <w:pPr>
              <w:widowControl/>
              <w:jc w:val="left"/>
              <w:rPr>
                <w:color w:val="auto"/>
                <w:kern w:val="0"/>
                <w:sz w:val="24"/>
                <w:highlight w:val="none"/>
              </w:rPr>
            </w:pPr>
            <w:r>
              <w:rPr>
                <w:rFonts w:hint="eastAsia"/>
                <w:color w:val="auto"/>
                <w:kern w:val="0"/>
                <w:sz w:val="24"/>
                <w:highlight w:val="none"/>
              </w:rPr>
              <w:t>实质性格式</w:t>
            </w:r>
          </w:p>
        </w:tc>
        <w:tc>
          <w:tcPr>
            <w:tcW w:w="3620" w:type="pct"/>
            <w:vAlign w:val="center"/>
          </w:tcPr>
          <w:p>
            <w:pPr>
              <w:widowControl/>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8</w:t>
            </w:r>
          </w:p>
        </w:tc>
        <w:tc>
          <w:tcPr>
            <w:tcW w:w="976" w:type="pct"/>
            <w:vAlign w:val="center"/>
          </w:tcPr>
          <w:p>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3620" w:type="pct"/>
            <w:vAlign w:val="center"/>
          </w:tcPr>
          <w:p>
            <w:pPr>
              <w:widowControl/>
              <w:jc w:val="left"/>
              <w:rPr>
                <w:color w:val="auto"/>
                <w:kern w:val="0"/>
                <w:sz w:val="24"/>
                <w:highlight w:val="none"/>
              </w:rPr>
            </w:pPr>
            <w:r>
              <w:rPr>
                <w:rFonts w:hint="eastAsia"/>
                <w:color w:val="auto"/>
                <w:kern w:val="0"/>
                <w:sz w:val="24"/>
                <w:highlight w:val="none"/>
              </w:rPr>
              <w:t>响应文件</w:t>
            </w:r>
            <w:r>
              <w:rPr>
                <w:color w:val="auto"/>
                <w:kern w:val="0"/>
                <w:sz w:val="24"/>
                <w:highlight w:val="none"/>
              </w:rPr>
              <w:t>满足</w:t>
            </w:r>
            <w:r>
              <w:rPr>
                <w:rFonts w:hint="eastAsia"/>
                <w:color w:val="auto"/>
                <w:kern w:val="0"/>
                <w:sz w:val="24"/>
                <w:highlight w:val="none"/>
              </w:rPr>
              <w:t>比选文件</w:t>
            </w:r>
            <w:r>
              <w:rPr>
                <w:rFonts w:hint="eastAsia"/>
                <w:color w:val="auto"/>
                <w:sz w:val="24"/>
                <w:highlight w:val="none"/>
              </w:rPr>
              <w:t>第四章《采购需求》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9</w:t>
            </w:r>
          </w:p>
        </w:tc>
        <w:tc>
          <w:tcPr>
            <w:tcW w:w="976" w:type="pct"/>
            <w:vAlign w:val="center"/>
          </w:tcPr>
          <w:p>
            <w:pPr>
              <w:widowControl/>
              <w:jc w:val="left"/>
              <w:rPr>
                <w:color w:val="auto"/>
                <w:kern w:val="0"/>
                <w:sz w:val="24"/>
                <w:highlight w:val="none"/>
              </w:rPr>
            </w:pPr>
            <w:r>
              <w:rPr>
                <w:color w:val="auto"/>
                <w:kern w:val="0"/>
                <w:sz w:val="24"/>
                <w:highlight w:val="none"/>
              </w:rPr>
              <w:t>分包承担主体资质（如有）</w:t>
            </w:r>
          </w:p>
        </w:tc>
        <w:tc>
          <w:tcPr>
            <w:tcW w:w="3620" w:type="pct"/>
            <w:vAlign w:val="center"/>
          </w:tcPr>
          <w:p>
            <w:pPr>
              <w:widowControl/>
              <w:jc w:val="left"/>
              <w:rPr>
                <w:color w:val="auto"/>
                <w:kern w:val="0"/>
                <w:sz w:val="24"/>
                <w:highlight w:val="none"/>
              </w:rPr>
            </w:pPr>
            <w:r>
              <w:rPr>
                <w:color w:val="auto"/>
                <w:sz w:val="24"/>
                <w:highlight w:val="none"/>
              </w:rPr>
              <w:t>分包承担主体具备《</w:t>
            </w:r>
            <w:r>
              <w:rPr>
                <w:rFonts w:hint="eastAsia"/>
                <w:color w:val="auto"/>
                <w:sz w:val="24"/>
                <w:highlight w:val="none"/>
              </w:rPr>
              <w:t>供应商</w:t>
            </w:r>
            <w:r>
              <w:rPr>
                <w:color w:val="auto"/>
                <w:sz w:val="24"/>
                <w:highlight w:val="none"/>
              </w:rPr>
              <w:t>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w:t>
            </w:r>
            <w:r>
              <w:rPr>
                <w:rFonts w:hint="eastAsia"/>
                <w:color w:val="auto"/>
                <w:sz w:val="24"/>
                <w:highlight w:val="none"/>
              </w:rPr>
              <w:t>复印件（如有）</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10</w:t>
            </w:r>
          </w:p>
        </w:tc>
        <w:tc>
          <w:tcPr>
            <w:tcW w:w="976" w:type="pct"/>
            <w:vAlign w:val="center"/>
          </w:tcPr>
          <w:p>
            <w:pPr>
              <w:widowControl/>
              <w:jc w:val="left"/>
              <w:rPr>
                <w:color w:val="auto"/>
                <w:kern w:val="0"/>
                <w:sz w:val="24"/>
                <w:highlight w:val="none"/>
              </w:rPr>
            </w:pPr>
            <w:r>
              <w:rPr>
                <w:color w:val="auto"/>
                <w:kern w:val="0"/>
                <w:sz w:val="24"/>
                <w:highlight w:val="none"/>
              </w:rPr>
              <w:t>分包意向协议</w:t>
            </w:r>
          </w:p>
          <w:p>
            <w:pPr>
              <w:widowControl/>
              <w:jc w:val="left"/>
              <w:rPr>
                <w:color w:val="auto"/>
                <w:kern w:val="0"/>
                <w:sz w:val="24"/>
                <w:highlight w:val="none"/>
              </w:rPr>
            </w:pPr>
            <w:r>
              <w:rPr>
                <w:color w:val="auto"/>
                <w:kern w:val="0"/>
                <w:sz w:val="24"/>
                <w:highlight w:val="none"/>
              </w:rPr>
              <w:t>（如有）</w:t>
            </w:r>
          </w:p>
        </w:tc>
        <w:tc>
          <w:tcPr>
            <w:tcW w:w="3620" w:type="pct"/>
            <w:vAlign w:val="center"/>
          </w:tcPr>
          <w:p>
            <w:pPr>
              <w:widowControl/>
              <w:jc w:val="left"/>
              <w:rPr>
                <w:color w:val="auto"/>
                <w:kern w:val="0"/>
                <w:sz w:val="24"/>
                <w:highlight w:val="none"/>
              </w:rPr>
            </w:pPr>
            <w:r>
              <w:rPr>
                <w:color w:val="auto"/>
                <w:kern w:val="0"/>
                <w:sz w:val="24"/>
                <w:highlight w:val="none"/>
              </w:rPr>
              <w:t>按</w:t>
            </w:r>
            <w:r>
              <w:rPr>
                <w:rFonts w:hint="eastAsia"/>
                <w:color w:val="auto"/>
                <w:kern w:val="0"/>
                <w:sz w:val="24"/>
                <w:highlight w:val="none"/>
              </w:rPr>
              <w:t>比选文件</w:t>
            </w:r>
            <w:r>
              <w:rPr>
                <w:color w:val="auto"/>
                <w:kern w:val="0"/>
                <w:sz w:val="24"/>
                <w:highlight w:val="none"/>
              </w:rPr>
              <w:t>规定签订并提供分包意向协议原件的电子件的；</w:t>
            </w:r>
            <w:r>
              <w:rPr>
                <w:rFonts w:hint="eastAsia"/>
                <w:color w:val="auto"/>
                <w:sz w:val="24"/>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11</w:t>
            </w:r>
          </w:p>
        </w:tc>
        <w:tc>
          <w:tcPr>
            <w:tcW w:w="976" w:type="pct"/>
            <w:vAlign w:val="center"/>
          </w:tcPr>
          <w:p>
            <w:pPr>
              <w:widowControl/>
              <w:jc w:val="left"/>
              <w:rPr>
                <w:color w:val="auto"/>
                <w:kern w:val="0"/>
                <w:sz w:val="24"/>
                <w:highlight w:val="none"/>
              </w:rPr>
            </w:pPr>
            <w:r>
              <w:rPr>
                <w:color w:val="auto"/>
                <w:kern w:val="0"/>
                <w:sz w:val="24"/>
                <w:highlight w:val="none"/>
              </w:rPr>
              <w:t>报价的修正（如有）</w:t>
            </w:r>
          </w:p>
        </w:tc>
        <w:tc>
          <w:tcPr>
            <w:tcW w:w="3620" w:type="pct"/>
            <w:vAlign w:val="center"/>
          </w:tcPr>
          <w:p>
            <w:pPr>
              <w:widowControl/>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w:t>
            </w:r>
            <w:r>
              <w:rPr>
                <w:rFonts w:hint="eastAsia"/>
                <w:color w:val="auto"/>
                <w:kern w:val="0"/>
                <w:sz w:val="24"/>
                <w:highlight w:val="none"/>
              </w:rPr>
              <w:t>响应文件</w:t>
            </w:r>
            <w:r>
              <w:rPr>
                <w:color w:val="auto"/>
                <w:kern w:val="0"/>
                <w:sz w:val="24"/>
                <w:highlight w:val="none"/>
              </w:rPr>
              <w:t>报价出现前后不一致</w:t>
            </w:r>
            <w:r>
              <w:rPr>
                <w:rFonts w:hint="eastAsia"/>
                <w:color w:val="auto"/>
                <w:kern w:val="0"/>
                <w:sz w:val="24"/>
                <w:highlight w:val="none"/>
              </w:rPr>
              <w:t>时</w:t>
            </w:r>
            <w:r>
              <w:rPr>
                <w:color w:val="auto"/>
                <w:kern w:val="0"/>
                <w:sz w:val="24"/>
                <w:highlight w:val="none"/>
              </w:rPr>
              <w:t>，</w:t>
            </w:r>
            <w:r>
              <w:rPr>
                <w:rFonts w:hint="eastAsia"/>
                <w:color w:val="auto"/>
                <w:kern w:val="0"/>
                <w:sz w:val="24"/>
                <w:highlight w:val="none"/>
              </w:rPr>
              <w:t>供应商</w:t>
            </w:r>
            <w:r>
              <w:rPr>
                <w:color w:val="auto"/>
                <w:kern w:val="0"/>
                <w:sz w:val="24"/>
                <w:highlight w:val="none"/>
              </w:rPr>
              <w:t>对修正后的报价予</w:t>
            </w:r>
            <w:r>
              <w:rPr>
                <w:rFonts w:hint="eastAsia"/>
                <w:color w:val="auto"/>
                <w:kern w:val="0"/>
                <w:sz w:val="24"/>
                <w:highlight w:val="none"/>
              </w:rPr>
              <w:t>以</w:t>
            </w:r>
            <w:r>
              <w:rPr>
                <w:color w:val="auto"/>
                <w:kern w:val="0"/>
                <w:sz w:val="24"/>
                <w:highlight w:val="none"/>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12</w:t>
            </w:r>
          </w:p>
        </w:tc>
        <w:tc>
          <w:tcPr>
            <w:tcW w:w="976" w:type="pct"/>
            <w:vAlign w:val="center"/>
          </w:tcPr>
          <w:p>
            <w:pPr>
              <w:widowControl/>
              <w:jc w:val="left"/>
              <w:rPr>
                <w:color w:val="auto"/>
                <w:kern w:val="0"/>
                <w:sz w:val="24"/>
                <w:highlight w:val="none"/>
              </w:rPr>
            </w:pPr>
            <w:r>
              <w:rPr>
                <w:color w:val="auto"/>
                <w:kern w:val="0"/>
                <w:sz w:val="24"/>
                <w:highlight w:val="none"/>
              </w:rPr>
              <w:t>报价合理性</w:t>
            </w:r>
          </w:p>
        </w:tc>
        <w:tc>
          <w:tcPr>
            <w:tcW w:w="3620" w:type="pct"/>
            <w:vAlign w:val="center"/>
          </w:tcPr>
          <w:p>
            <w:pPr>
              <w:widowControl/>
              <w:jc w:val="left"/>
              <w:rPr>
                <w:color w:val="auto"/>
                <w:kern w:val="0"/>
                <w:sz w:val="24"/>
                <w:highlight w:val="none"/>
              </w:rPr>
            </w:pPr>
            <w:r>
              <w:rPr>
                <w:color w:val="auto"/>
                <w:kern w:val="0"/>
                <w:sz w:val="24"/>
                <w:highlight w:val="none"/>
              </w:rPr>
              <w:t>报价合理，或</w:t>
            </w:r>
            <w:r>
              <w:rPr>
                <w:rFonts w:hint="eastAsia"/>
                <w:color w:val="auto"/>
                <w:sz w:val="24"/>
                <w:highlight w:val="none"/>
              </w:rPr>
              <w:t>供应商的报价明显低于其他通过符合性审查供应商的报价，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，能够应评标委员会要求在规定时间内证明其报价合理性的</w:t>
            </w:r>
            <w:r>
              <w:rPr>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13</w:t>
            </w:r>
          </w:p>
        </w:tc>
        <w:tc>
          <w:tcPr>
            <w:tcW w:w="976" w:type="pct"/>
            <w:vAlign w:val="center"/>
          </w:tcPr>
          <w:p>
            <w:pPr>
              <w:widowControl/>
              <w:jc w:val="left"/>
              <w:rPr>
                <w:color w:val="auto"/>
                <w:kern w:val="0"/>
                <w:sz w:val="24"/>
                <w:highlight w:val="none"/>
              </w:rPr>
            </w:pPr>
            <w:r>
              <w:rPr>
                <w:color w:val="auto"/>
                <w:kern w:val="0"/>
                <w:sz w:val="24"/>
                <w:highlight w:val="none"/>
              </w:rPr>
              <w:t>进口产品</w:t>
            </w:r>
          </w:p>
          <w:p>
            <w:pPr>
              <w:widowControl/>
              <w:jc w:val="left"/>
              <w:rPr>
                <w:color w:val="auto"/>
                <w:kern w:val="0"/>
                <w:sz w:val="24"/>
                <w:highlight w:val="none"/>
              </w:rPr>
            </w:pPr>
            <w:r>
              <w:rPr>
                <w:color w:val="auto"/>
                <w:kern w:val="0"/>
                <w:sz w:val="24"/>
                <w:highlight w:val="none"/>
              </w:rPr>
              <w:t>（如有）</w:t>
            </w:r>
          </w:p>
        </w:tc>
        <w:tc>
          <w:tcPr>
            <w:tcW w:w="3620" w:type="pct"/>
            <w:vAlign w:val="center"/>
          </w:tcPr>
          <w:p>
            <w:pPr>
              <w:widowControl/>
              <w:jc w:val="left"/>
              <w:rPr>
                <w:color w:val="auto"/>
                <w:kern w:val="0"/>
                <w:sz w:val="24"/>
                <w:highlight w:val="none"/>
              </w:rPr>
            </w:pPr>
            <w:r>
              <w:rPr>
                <w:rFonts w:hint="eastAsia" w:ascii="宋体" w:hAnsi="宋体"/>
                <w:color w:val="auto"/>
                <w:sz w:val="24"/>
                <w:highlight w:val="none"/>
              </w:rPr>
              <w:t>比选文件</w:t>
            </w:r>
            <w:r>
              <w:rPr>
                <w:rFonts w:ascii="宋体" w:hAnsi="宋体"/>
                <w:color w:val="auto"/>
                <w:sz w:val="24"/>
                <w:highlight w:val="none"/>
              </w:rPr>
              <w:t>不接受进口产品</w:t>
            </w:r>
            <w:r>
              <w:rPr>
                <w:rFonts w:hint="eastAsia" w:ascii="宋体" w:hAnsi="宋体"/>
                <w:color w:val="auto"/>
                <w:sz w:val="24"/>
                <w:highlight w:val="none"/>
              </w:rPr>
              <w:t>响应的内容时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14</w:t>
            </w:r>
          </w:p>
        </w:tc>
        <w:tc>
          <w:tcPr>
            <w:tcW w:w="976" w:type="pct"/>
            <w:vAlign w:val="center"/>
          </w:tcPr>
          <w:p>
            <w:pPr>
              <w:widowControl/>
              <w:jc w:val="left"/>
              <w:rPr>
                <w:color w:val="auto"/>
                <w:kern w:val="0"/>
                <w:sz w:val="24"/>
                <w:highlight w:val="none"/>
              </w:rPr>
            </w:pPr>
            <w:r>
              <w:rPr>
                <w:color w:val="auto"/>
                <w:kern w:val="0"/>
                <w:sz w:val="24"/>
                <w:highlight w:val="none"/>
              </w:rPr>
              <w:t>国家有关部门对</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w:t>
            </w:r>
            <w:r>
              <w:rPr>
                <w:color w:val="auto"/>
                <w:kern w:val="0"/>
                <w:sz w:val="24"/>
                <w:highlight w:val="none"/>
              </w:rPr>
              <w:t>产品有强制性规定或要求的</w:t>
            </w:r>
            <w:r>
              <w:rPr>
                <w:rFonts w:hint="eastAsia"/>
                <w:color w:val="auto"/>
                <w:kern w:val="0"/>
                <w:sz w:val="24"/>
                <w:highlight w:val="none"/>
              </w:rPr>
              <w:t>（如有）</w:t>
            </w:r>
          </w:p>
        </w:tc>
        <w:tc>
          <w:tcPr>
            <w:tcW w:w="3620" w:type="pct"/>
            <w:vAlign w:val="center"/>
          </w:tcPr>
          <w:p>
            <w:pPr>
              <w:widowControl/>
              <w:jc w:val="left"/>
              <w:rPr>
                <w:color w:val="auto"/>
                <w:kern w:val="0"/>
                <w:sz w:val="24"/>
                <w:highlight w:val="none"/>
              </w:rPr>
            </w:pPr>
            <w:r>
              <w:rPr>
                <w:color w:val="auto"/>
                <w:kern w:val="0"/>
                <w:sz w:val="24"/>
                <w:highlight w:val="none"/>
              </w:rPr>
              <w:t>国家有关部门对</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w:t>
            </w:r>
            <w:r>
              <w:rPr>
                <w:color w:val="auto"/>
                <w:kern w:val="0"/>
                <w:sz w:val="24"/>
                <w:highlight w:val="none"/>
              </w:rPr>
              <w:t>产品有强制性规定或要求的（如相应技术、安全、节能和环保等），</w:t>
            </w:r>
            <w:r>
              <w:rPr>
                <w:rFonts w:hint="eastAsia"/>
                <w:color w:val="auto"/>
                <w:kern w:val="0"/>
                <w:sz w:val="24"/>
                <w:highlight w:val="none"/>
              </w:rPr>
              <w:t>供应商</w:t>
            </w:r>
            <w:r>
              <w:rPr>
                <w:color w:val="auto"/>
                <w:kern w:val="0"/>
                <w:sz w:val="24"/>
                <w:highlight w:val="none"/>
              </w:rPr>
              <w:t>的</w:t>
            </w:r>
            <w:r>
              <w:rPr>
                <w:rFonts w:hint="eastAsia"/>
                <w:color w:val="auto"/>
                <w:kern w:val="0"/>
                <w:sz w:val="24"/>
                <w:highlight w:val="none"/>
              </w:rPr>
              <w:t>响应</w:t>
            </w:r>
            <w:r>
              <w:rPr>
                <w:color w:val="auto"/>
                <w:kern w:val="0"/>
                <w:sz w:val="24"/>
                <w:highlight w:val="none"/>
              </w:rPr>
              <w:t>产品</w:t>
            </w:r>
            <w:r>
              <w:rPr>
                <w:rFonts w:hint="eastAsia"/>
                <w:color w:val="auto"/>
                <w:kern w:val="0"/>
                <w:sz w:val="24"/>
                <w:highlight w:val="none"/>
              </w:rPr>
              <w:t>应</w:t>
            </w:r>
            <w:r>
              <w:rPr>
                <w:color w:val="auto"/>
                <w:kern w:val="0"/>
                <w:sz w:val="24"/>
                <w:highlight w:val="none"/>
              </w:rPr>
              <w:t>符合相应规定或要求</w:t>
            </w:r>
            <w:r>
              <w:rPr>
                <w:rFonts w:hint="eastAsia"/>
                <w:color w:val="auto"/>
                <w:kern w:val="0"/>
                <w:sz w:val="24"/>
                <w:highlight w:val="none"/>
              </w:rPr>
              <w:t>，并提供证明文件复印件：</w:t>
            </w:r>
          </w:p>
          <w:p>
            <w:pPr>
              <w:widowControl/>
              <w:jc w:val="left"/>
              <w:rPr>
                <w:color w:val="auto"/>
                <w:kern w:val="0"/>
                <w:sz w:val="24"/>
                <w:highlight w:val="none"/>
              </w:rPr>
            </w:pPr>
            <w:r>
              <w:rPr>
                <w:rFonts w:hint="eastAsia"/>
                <w:color w:val="auto"/>
                <w:kern w:val="0"/>
                <w:sz w:val="24"/>
                <w:highlight w:val="none"/>
              </w:rPr>
              <w:t>1）</w:t>
            </w:r>
            <w:r>
              <w:rPr>
                <w:color w:val="auto"/>
                <w:kern w:val="0"/>
                <w:sz w:val="24"/>
                <w:highlight w:val="none"/>
              </w:rPr>
              <w:t>采购的产品若属于《节能产品政府采购品目清单》范围中政府强制采购产品，则</w:t>
            </w:r>
            <w:r>
              <w:rPr>
                <w:rFonts w:hint="eastAsia"/>
                <w:color w:val="auto"/>
                <w:kern w:val="0"/>
                <w:sz w:val="24"/>
                <w:highlight w:val="none"/>
              </w:rPr>
              <w:t>供应商</w:t>
            </w:r>
            <w:r>
              <w:rPr>
                <w:color w:val="auto"/>
                <w:kern w:val="0"/>
                <w:sz w:val="24"/>
                <w:highlight w:val="none"/>
              </w:rPr>
              <w:t>所报产品必须获得国家确定的认证机构出具的、处于有效期之内的节能产品认证证书；</w:t>
            </w:r>
          </w:p>
          <w:p>
            <w:pPr>
              <w:widowControl/>
              <w:jc w:val="left"/>
              <w:rPr>
                <w:color w:val="auto"/>
                <w:kern w:val="0"/>
                <w:sz w:val="24"/>
                <w:highlight w:val="none"/>
              </w:rPr>
            </w:pPr>
            <w:r>
              <w:rPr>
                <w:rFonts w:hint="eastAsia"/>
                <w:color w:val="auto"/>
                <w:kern w:val="0"/>
                <w:sz w:val="24"/>
                <w:highlight w:val="none"/>
              </w:rPr>
              <w:t>2）响应</w:t>
            </w:r>
            <w:r>
              <w:rPr>
                <w:color w:val="auto"/>
                <w:kern w:val="0"/>
                <w:sz w:val="24"/>
                <w:highlight w:val="none"/>
              </w:rPr>
              <w:t>产品如涉及计算机信息系统安全专用产品的，须</w:t>
            </w:r>
            <w:r>
              <w:rPr>
                <w:rFonts w:hint="eastAsia"/>
                <w:color w:val="auto"/>
                <w:kern w:val="0"/>
                <w:sz w:val="24"/>
                <w:highlight w:val="none"/>
              </w:rPr>
              <w:t>提供</w:t>
            </w:r>
            <w:r>
              <w:rPr>
                <w:color w:val="auto"/>
                <w:kern w:val="0"/>
                <w:sz w:val="24"/>
                <w:highlight w:val="none"/>
              </w:rPr>
              <w:t>公安部颁发的计算机信息系统安全专用产品销售许可证；</w:t>
            </w:r>
          </w:p>
          <w:p>
            <w:pPr>
              <w:widowControl/>
              <w:jc w:val="left"/>
              <w:rPr>
                <w:color w:val="auto"/>
                <w:kern w:val="0"/>
                <w:sz w:val="24"/>
                <w:highlight w:val="none"/>
              </w:rPr>
            </w:pPr>
            <w:r>
              <w:rPr>
                <w:color w:val="auto"/>
                <w:kern w:val="0"/>
                <w:sz w:val="24"/>
                <w:highlight w:val="none"/>
              </w:rPr>
              <w:t>3</w:t>
            </w:r>
            <w:r>
              <w:rPr>
                <w:rFonts w:hint="eastAsia"/>
                <w:color w:val="auto"/>
                <w:kern w:val="0"/>
                <w:sz w:val="24"/>
                <w:highlight w:val="none"/>
              </w:rPr>
              <w:t>）响应</w:t>
            </w:r>
            <w:r>
              <w:rPr>
                <w:color w:val="auto"/>
                <w:kern w:val="0"/>
                <w:sz w:val="24"/>
                <w:highlight w:val="none"/>
              </w:rPr>
              <w:t>产品如有属于开展国家信息安全产品认证产品范围的，须</w:t>
            </w:r>
            <w:r>
              <w:rPr>
                <w:rFonts w:hint="eastAsia"/>
                <w:color w:val="auto"/>
                <w:kern w:val="0"/>
                <w:sz w:val="24"/>
                <w:highlight w:val="none"/>
              </w:rPr>
              <w:t>提供</w:t>
            </w:r>
            <w:r>
              <w:rPr>
                <w:color w:val="auto"/>
                <w:kern w:val="0"/>
                <w:sz w:val="24"/>
                <w:highlight w:val="none"/>
              </w:rPr>
              <w:t>由中国网络安全审查技术与认证中心（原中国信息安全认证中心）按国家标准认证颁发的有效认证证书等）；</w:t>
            </w:r>
          </w:p>
          <w:p>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w:t>
            </w:r>
            <w:r>
              <w:rPr>
                <w:rFonts w:hint="eastAsia"/>
                <w:color w:val="auto"/>
                <w:sz w:val="24"/>
                <w:highlight w:val="none"/>
              </w:rPr>
              <w:t>响应</w:t>
            </w:r>
            <w:r>
              <w:rPr>
                <w:color w:val="auto"/>
                <w:sz w:val="24"/>
                <w:highlight w:val="none"/>
              </w:rPr>
              <w:t>产品须为符合国家无线局域网安全标准（GB 15629.11/1102）并通过国家产品认证的产品；</w:t>
            </w:r>
          </w:p>
          <w:p>
            <w:pPr>
              <w:widowControl/>
              <w:jc w:val="left"/>
              <w:rPr>
                <w:color w:val="auto"/>
                <w:kern w:val="0"/>
                <w:sz w:val="24"/>
                <w:highlight w:val="none"/>
              </w:rPr>
            </w:pPr>
            <w:r>
              <w:rPr>
                <w:color w:val="auto"/>
                <w:sz w:val="24"/>
                <w:highlight w:val="none"/>
              </w:rPr>
              <w:t>5</w:t>
            </w:r>
            <w:r>
              <w:rPr>
                <w:rFonts w:hint="eastAsia"/>
                <w:color w:val="auto"/>
                <w:sz w:val="24"/>
                <w:highlight w:val="none"/>
              </w:rPr>
              <w:t>）</w:t>
            </w:r>
            <w:r>
              <w:rPr>
                <w:color w:val="auto"/>
                <w:sz w:val="24"/>
                <w:highlight w:val="none"/>
              </w:rPr>
              <w:t>项目中涉及涂料、胶黏剂、油墨、清洗剂等挥发性有机物产品，且属于强制性标准的，供应商应执行符合本市和国家的VOCs 含量限制标准</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15</w:t>
            </w:r>
          </w:p>
        </w:tc>
        <w:tc>
          <w:tcPr>
            <w:tcW w:w="976" w:type="pct"/>
            <w:vAlign w:val="center"/>
          </w:tcPr>
          <w:p>
            <w:pPr>
              <w:widowControl/>
              <w:jc w:val="left"/>
              <w:rPr>
                <w:color w:val="auto"/>
                <w:kern w:val="0"/>
                <w:sz w:val="24"/>
                <w:highlight w:val="none"/>
              </w:rPr>
            </w:pPr>
            <w:r>
              <w:rPr>
                <w:color w:val="auto"/>
                <w:kern w:val="0"/>
                <w:sz w:val="24"/>
                <w:highlight w:val="none"/>
              </w:rPr>
              <w:t>公平竞争</w:t>
            </w:r>
          </w:p>
        </w:tc>
        <w:tc>
          <w:tcPr>
            <w:tcW w:w="3620" w:type="pct"/>
            <w:vAlign w:val="center"/>
          </w:tcPr>
          <w:p>
            <w:pPr>
              <w:widowControl/>
              <w:jc w:val="left"/>
              <w:rPr>
                <w:color w:val="auto"/>
                <w:kern w:val="0"/>
                <w:sz w:val="24"/>
                <w:highlight w:val="none"/>
              </w:rPr>
            </w:pPr>
            <w:r>
              <w:rPr>
                <w:rFonts w:hint="eastAsia"/>
                <w:color w:val="auto"/>
                <w:sz w:val="24"/>
                <w:highlight w:val="none"/>
              </w:rPr>
              <w:t>供应商</w:t>
            </w:r>
            <w:r>
              <w:rPr>
                <w:color w:val="auto"/>
                <w:sz w:val="24"/>
                <w:highlight w:val="none"/>
              </w:rPr>
              <w:t>遵循公平竞争的原则，不存在恶意串通，妨碍其他</w:t>
            </w:r>
            <w:r>
              <w:rPr>
                <w:rFonts w:hint="eastAsia"/>
                <w:color w:val="auto"/>
                <w:sz w:val="24"/>
                <w:highlight w:val="none"/>
              </w:rPr>
              <w:t>供应商</w:t>
            </w:r>
            <w:r>
              <w:rPr>
                <w:color w:val="auto"/>
                <w:sz w:val="24"/>
                <w:highlight w:val="none"/>
              </w:rPr>
              <w:t>的竞争行为，不存在损害采购人或者其他</w:t>
            </w:r>
            <w:r>
              <w:rPr>
                <w:rFonts w:hint="eastAsia"/>
                <w:color w:val="auto"/>
                <w:sz w:val="24"/>
                <w:highlight w:val="none"/>
              </w:rPr>
              <w:t>供应商</w:t>
            </w:r>
            <w:r>
              <w:rPr>
                <w:color w:val="auto"/>
                <w:sz w:val="24"/>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16</w:t>
            </w:r>
          </w:p>
        </w:tc>
        <w:tc>
          <w:tcPr>
            <w:tcW w:w="976" w:type="pct"/>
            <w:vAlign w:val="center"/>
          </w:tcPr>
          <w:p>
            <w:pPr>
              <w:widowControl/>
              <w:jc w:val="left"/>
              <w:rPr>
                <w:color w:val="auto"/>
                <w:kern w:val="0"/>
                <w:sz w:val="24"/>
                <w:highlight w:val="none"/>
              </w:rPr>
            </w:pPr>
            <w:r>
              <w:rPr>
                <w:color w:val="auto"/>
                <w:kern w:val="0"/>
                <w:sz w:val="24"/>
                <w:highlight w:val="none"/>
              </w:rPr>
              <w:t>串通</w:t>
            </w:r>
            <w:r>
              <w:rPr>
                <w:rFonts w:hint="eastAsia"/>
                <w:color w:val="auto"/>
                <w:kern w:val="0"/>
                <w:sz w:val="24"/>
                <w:highlight w:val="none"/>
              </w:rPr>
              <w:t>报价</w:t>
            </w:r>
          </w:p>
        </w:tc>
        <w:tc>
          <w:tcPr>
            <w:tcW w:w="3620" w:type="pct"/>
            <w:vAlign w:val="center"/>
          </w:tcPr>
          <w:p>
            <w:pPr>
              <w:widowControl/>
              <w:jc w:val="left"/>
              <w:rPr>
                <w:color w:val="auto"/>
                <w:kern w:val="0"/>
                <w:sz w:val="24"/>
                <w:highlight w:val="none"/>
              </w:rPr>
            </w:pPr>
            <w:r>
              <w:rPr>
                <w:rFonts w:hint="eastAsia"/>
                <w:color w:val="auto"/>
                <w:sz w:val="24"/>
                <w:highlight w:val="none"/>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color w:val="auto"/>
                <w:kern w:val="0"/>
                <w:sz w:val="24"/>
                <w:highlight w:val="none"/>
              </w:rPr>
              <w:t>17</w:t>
            </w:r>
          </w:p>
        </w:tc>
        <w:tc>
          <w:tcPr>
            <w:tcW w:w="976" w:type="pct"/>
            <w:vAlign w:val="center"/>
          </w:tcPr>
          <w:p>
            <w:pPr>
              <w:widowControl/>
              <w:jc w:val="left"/>
              <w:rPr>
                <w:color w:val="auto"/>
                <w:kern w:val="0"/>
                <w:sz w:val="24"/>
                <w:highlight w:val="none"/>
              </w:rPr>
            </w:pPr>
            <w:r>
              <w:rPr>
                <w:color w:val="auto"/>
                <w:kern w:val="0"/>
                <w:sz w:val="24"/>
                <w:highlight w:val="none"/>
              </w:rPr>
              <w:t>附加条件</w:t>
            </w:r>
          </w:p>
        </w:tc>
        <w:tc>
          <w:tcPr>
            <w:tcW w:w="3620" w:type="pct"/>
            <w:vAlign w:val="center"/>
          </w:tcPr>
          <w:p>
            <w:pPr>
              <w:widowControl/>
              <w:jc w:val="left"/>
              <w:rPr>
                <w:color w:val="auto"/>
                <w:kern w:val="0"/>
                <w:sz w:val="24"/>
                <w:highlight w:val="none"/>
              </w:rPr>
            </w:pPr>
            <w:r>
              <w:rPr>
                <w:rFonts w:hint="eastAsia"/>
                <w:color w:val="auto"/>
                <w:kern w:val="0"/>
                <w:sz w:val="24"/>
                <w:highlight w:val="none"/>
              </w:rPr>
              <w:t>响应文件未</w:t>
            </w:r>
            <w:r>
              <w:rPr>
                <w:color w:val="auto"/>
                <w:kern w:val="0"/>
                <w:sz w:val="24"/>
                <w:highlight w:val="none"/>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8</w:t>
            </w:r>
          </w:p>
        </w:tc>
        <w:tc>
          <w:tcPr>
            <w:tcW w:w="976" w:type="pct"/>
            <w:vAlign w:val="center"/>
          </w:tcPr>
          <w:p>
            <w:pPr>
              <w:widowControl/>
              <w:jc w:val="left"/>
              <w:rPr>
                <w:color w:val="auto"/>
                <w:kern w:val="0"/>
                <w:sz w:val="24"/>
                <w:highlight w:val="none"/>
              </w:rPr>
            </w:pPr>
            <w:r>
              <w:rPr>
                <w:color w:val="auto"/>
                <w:kern w:val="0"/>
                <w:sz w:val="24"/>
                <w:highlight w:val="none"/>
              </w:rPr>
              <w:t>其他无效情形</w:t>
            </w:r>
          </w:p>
        </w:tc>
        <w:tc>
          <w:tcPr>
            <w:tcW w:w="3620" w:type="pct"/>
            <w:vAlign w:val="center"/>
          </w:tcPr>
          <w:p>
            <w:pPr>
              <w:widowControl/>
              <w:jc w:val="left"/>
              <w:rPr>
                <w:color w:val="auto"/>
                <w:kern w:val="0"/>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响应文件不存在</w:t>
            </w:r>
            <w:r>
              <w:rPr>
                <w:color w:val="auto"/>
                <w:sz w:val="24"/>
                <w:highlight w:val="none"/>
              </w:rPr>
              <w:t>不符合法律、法规和</w:t>
            </w:r>
            <w:r>
              <w:rPr>
                <w:rFonts w:hint="eastAsia"/>
                <w:color w:val="auto"/>
                <w:sz w:val="24"/>
                <w:highlight w:val="none"/>
              </w:rPr>
              <w:t>比选文件</w:t>
            </w:r>
            <w:r>
              <w:rPr>
                <w:color w:val="auto"/>
                <w:sz w:val="24"/>
                <w:highlight w:val="none"/>
              </w:rPr>
              <w:t>规定的其他无效情形。</w:t>
            </w:r>
          </w:p>
        </w:tc>
      </w:tr>
    </w:tbl>
    <w:p>
      <w:pPr>
        <w:tabs>
          <w:tab w:val="left" w:pos="1080"/>
          <w:tab w:val="left" w:pos="1589"/>
        </w:tabs>
        <w:snapToGrid w:val="0"/>
        <w:spacing w:line="360" w:lineRule="auto"/>
        <w:rPr>
          <w:rFonts w:ascii="宋体" w:hAnsi="宋体"/>
          <w:color w:val="auto"/>
          <w:sz w:val="24"/>
          <w:highlight w:val="none"/>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有关事项的澄清或者说明</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评标过程中，评标委员会将以书面形式要求</w:t>
      </w:r>
      <w:r>
        <w:rPr>
          <w:rFonts w:hint="eastAsia" w:ascii="宋体" w:hAnsi="宋体"/>
          <w:color w:val="auto"/>
          <w:sz w:val="24"/>
          <w:highlight w:val="none"/>
        </w:rPr>
        <w:t>供应商</w:t>
      </w:r>
      <w:r>
        <w:rPr>
          <w:rFonts w:ascii="宋体" w:hAnsi="宋体"/>
          <w:color w:val="auto"/>
          <w:sz w:val="24"/>
          <w:highlight w:val="none"/>
        </w:rPr>
        <w:t>对其</w:t>
      </w:r>
      <w:r>
        <w:rPr>
          <w:rFonts w:hint="eastAsia" w:ascii="宋体" w:hAnsi="宋体"/>
          <w:color w:val="auto"/>
          <w:sz w:val="24"/>
          <w:highlight w:val="none"/>
        </w:rPr>
        <w:t>响应文件</w:t>
      </w:r>
      <w:r>
        <w:rPr>
          <w:rFonts w:ascii="宋体" w:hAnsi="宋体"/>
          <w:color w:val="auto"/>
          <w:sz w:val="24"/>
          <w:highlight w:val="none"/>
        </w:rPr>
        <w:t>中含义不明确、同类问题表述不一致或者有明显文字和计算错误的内容，作出必要的澄清、说明或者补正。</w:t>
      </w:r>
      <w:r>
        <w:rPr>
          <w:rFonts w:hint="eastAsia" w:ascii="宋体" w:hAnsi="宋体"/>
          <w:color w:val="auto"/>
          <w:sz w:val="24"/>
          <w:highlight w:val="none"/>
        </w:rPr>
        <w:t>供应商</w:t>
      </w:r>
      <w:r>
        <w:rPr>
          <w:rFonts w:ascii="宋体" w:hAnsi="宋体"/>
          <w:color w:val="auto"/>
          <w:sz w:val="24"/>
          <w:highlight w:val="none"/>
        </w:rPr>
        <w:t>的澄清、说明或者补正应当采用书面形式，并加盖公章，或者由法定代表人或其授权的代表签字。</w:t>
      </w:r>
      <w:r>
        <w:rPr>
          <w:rFonts w:hint="eastAsia" w:ascii="宋体" w:hAnsi="宋体"/>
          <w:color w:val="auto"/>
          <w:sz w:val="24"/>
          <w:highlight w:val="none"/>
        </w:rPr>
        <w:t>供应商</w:t>
      </w:r>
      <w:r>
        <w:rPr>
          <w:rFonts w:ascii="宋体" w:hAnsi="宋体"/>
          <w:color w:val="auto"/>
          <w:sz w:val="24"/>
          <w:highlight w:val="none"/>
        </w:rPr>
        <w:t>的澄清、说明或者补正不得超出</w:t>
      </w:r>
      <w:r>
        <w:rPr>
          <w:rFonts w:hint="eastAsia" w:ascii="宋体" w:hAnsi="宋体"/>
          <w:color w:val="auto"/>
          <w:sz w:val="24"/>
          <w:highlight w:val="none"/>
        </w:rPr>
        <w:t>响应文件</w:t>
      </w:r>
      <w:r>
        <w:rPr>
          <w:rFonts w:ascii="宋体" w:hAnsi="宋体"/>
          <w:color w:val="auto"/>
          <w:sz w:val="24"/>
          <w:highlight w:val="none"/>
        </w:rPr>
        <w:t>的范围或者改变</w:t>
      </w:r>
      <w:r>
        <w:rPr>
          <w:rFonts w:hint="eastAsia" w:ascii="宋体" w:hAnsi="宋体"/>
          <w:color w:val="auto"/>
          <w:sz w:val="24"/>
          <w:highlight w:val="none"/>
        </w:rPr>
        <w:t>响应文件</w:t>
      </w:r>
      <w:r>
        <w:rPr>
          <w:rFonts w:ascii="宋体" w:hAnsi="宋体"/>
          <w:color w:val="auto"/>
          <w:sz w:val="24"/>
          <w:highlight w:val="none"/>
        </w:rPr>
        <w:t>的实质性内容。澄清文件将作为</w:t>
      </w:r>
      <w:r>
        <w:rPr>
          <w:rFonts w:hint="eastAsia" w:ascii="宋体" w:hAnsi="宋体"/>
          <w:color w:val="auto"/>
          <w:sz w:val="24"/>
          <w:highlight w:val="none"/>
        </w:rPr>
        <w:t>响应文件</w:t>
      </w:r>
      <w:r>
        <w:rPr>
          <w:rFonts w:ascii="宋体" w:hAnsi="宋体"/>
          <w:color w:val="auto"/>
          <w:sz w:val="24"/>
          <w:highlight w:val="none"/>
        </w:rPr>
        <w:t>内容的一部分。</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评标委员会认为</w:t>
      </w:r>
      <w:r>
        <w:rPr>
          <w:rFonts w:hint="eastAsia" w:ascii="宋体" w:hAnsi="宋体"/>
          <w:color w:val="auto"/>
          <w:sz w:val="24"/>
          <w:highlight w:val="none"/>
        </w:rPr>
        <w:t>供应商</w:t>
      </w:r>
      <w:r>
        <w:rPr>
          <w:rFonts w:ascii="宋体" w:hAnsi="宋体"/>
          <w:color w:val="auto"/>
          <w:sz w:val="24"/>
          <w:highlight w:val="none"/>
        </w:rPr>
        <w:t>的报价明显低于其他通过符合性审查</w:t>
      </w:r>
      <w:r>
        <w:rPr>
          <w:rFonts w:hint="eastAsia" w:ascii="宋体" w:hAnsi="宋体"/>
          <w:color w:val="auto"/>
          <w:sz w:val="24"/>
          <w:highlight w:val="none"/>
        </w:rPr>
        <w:t>供应商</w:t>
      </w:r>
      <w:r>
        <w:rPr>
          <w:rFonts w:ascii="宋体" w:hAnsi="宋体"/>
          <w:color w:val="auto"/>
          <w:sz w:val="24"/>
          <w:highlight w:val="none"/>
        </w:rPr>
        <w:t>的报价，有可能影响产品质量或者不能诚信履约的，有权要求该</w:t>
      </w:r>
      <w:r>
        <w:rPr>
          <w:rFonts w:hint="eastAsia" w:ascii="宋体" w:hAnsi="宋体"/>
          <w:color w:val="auto"/>
          <w:sz w:val="24"/>
          <w:highlight w:val="none"/>
        </w:rPr>
        <w:t>供应商</w:t>
      </w:r>
      <w:r>
        <w:rPr>
          <w:rFonts w:ascii="宋体" w:hAnsi="宋体"/>
          <w:color w:val="auto"/>
          <w:sz w:val="24"/>
          <w:highlight w:val="none"/>
        </w:rPr>
        <w:t>在评标现场合理的时间内提供书面说明，必要时提交相关证明材料；若</w:t>
      </w:r>
      <w:r>
        <w:rPr>
          <w:rFonts w:hint="eastAsia" w:ascii="宋体" w:hAnsi="宋体"/>
          <w:color w:val="auto"/>
          <w:sz w:val="24"/>
          <w:highlight w:val="none"/>
        </w:rPr>
        <w:t>供应商</w:t>
      </w:r>
      <w:r>
        <w:rPr>
          <w:rFonts w:ascii="宋体" w:hAnsi="宋体"/>
          <w:color w:val="auto"/>
          <w:sz w:val="24"/>
          <w:highlight w:val="none"/>
        </w:rPr>
        <w:t>不能证明其报价合理性，评标委员会将其作为</w:t>
      </w:r>
      <w:r>
        <w:rPr>
          <w:rFonts w:hint="eastAsia" w:ascii="宋体" w:hAnsi="宋体"/>
          <w:b/>
          <w:color w:val="auto"/>
          <w:sz w:val="24"/>
          <w:highlight w:val="none"/>
        </w:rPr>
        <w:t>响应无效</w:t>
      </w:r>
      <w:r>
        <w:rPr>
          <w:rFonts w:ascii="宋体" w:hAnsi="宋体"/>
          <w:color w:val="auto"/>
          <w:sz w:val="24"/>
          <w:highlight w:val="none"/>
        </w:rPr>
        <w:t>。</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w:t>
      </w:r>
      <w:r>
        <w:rPr>
          <w:rFonts w:ascii="宋体" w:hAnsi="宋体"/>
          <w:color w:val="auto"/>
          <w:sz w:val="24"/>
          <w:highlight w:val="none"/>
        </w:rPr>
        <w:t>报价须包含</w:t>
      </w:r>
      <w:r>
        <w:rPr>
          <w:rFonts w:hint="eastAsia" w:ascii="宋体" w:hAnsi="宋体"/>
          <w:color w:val="auto"/>
          <w:sz w:val="24"/>
          <w:highlight w:val="none"/>
        </w:rPr>
        <w:t>比选文件</w:t>
      </w:r>
      <w:r>
        <w:rPr>
          <w:rFonts w:ascii="宋体" w:hAnsi="宋体"/>
          <w:color w:val="auto"/>
          <w:sz w:val="24"/>
          <w:highlight w:val="none"/>
        </w:rPr>
        <w:t>全部内容，如分项报价表有缺漏视为已含在其他各项报价中，将不对</w:t>
      </w:r>
      <w:r>
        <w:rPr>
          <w:rFonts w:hint="eastAsia" w:ascii="宋体" w:hAnsi="宋体"/>
          <w:color w:val="auto"/>
          <w:sz w:val="24"/>
          <w:highlight w:val="none"/>
        </w:rPr>
        <w:t>响应</w:t>
      </w:r>
      <w:r>
        <w:rPr>
          <w:rFonts w:ascii="宋体" w:hAnsi="宋体"/>
          <w:color w:val="auto"/>
          <w:sz w:val="24"/>
          <w:highlight w:val="none"/>
        </w:rPr>
        <w:t>总价进行调整。评标委员会有权要求</w:t>
      </w:r>
      <w:r>
        <w:rPr>
          <w:rFonts w:hint="eastAsia" w:ascii="宋体" w:hAnsi="宋体"/>
          <w:color w:val="auto"/>
          <w:sz w:val="24"/>
          <w:highlight w:val="none"/>
        </w:rPr>
        <w:t>供应商</w:t>
      </w:r>
      <w:r>
        <w:rPr>
          <w:rFonts w:ascii="宋体" w:hAnsi="宋体"/>
          <w:color w:val="auto"/>
          <w:sz w:val="24"/>
          <w:highlight w:val="none"/>
        </w:rPr>
        <w:t>在评标现场合理的时间内对此进行书面确认，</w:t>
      </w:r>
      <w:r>
        <w:rPr>
          <w:rFonts w:hint="eastAsia" w:ascii="宋体" w:hAnsi="宋体"/>
          <w:color w:val="auto"/>
          <w:sz w:val="24"/>
          <w:highlight w:val="none"/>
        </w:rPr>
        <w:t>供应商</w:t>
      </w:r>
      <w:r>
        <w:rPr>
          <w:rFonts w:ascii="宋体" w:hAnsi="宋体"/>
          <w:color w:val="auto"/>
          <w:sz w:val="24"/>
          <w:highlight w:val="none"/>
        </w:rPr>
        <w:t>不确认的，视为将一个采购包中的内容拆开</w:t>
      </w:r>
      <w:r>
        <w:rPr>
          <w:rFonts w:hint="eastAsia" w:ascii="宋体" w:hAnsi="宋体"/>
          <w:color w:val="auto"/>
          <w:sz w:val="24"/>
          <w:highlight w:val="none"/>
        </w:rPr>
        <w:t>响应</w:t>
      </w:r>
      <w:r>
        <w:rPr>
          <w:rFonts w:ascii="宋体" w:hAnsi="宋体"/>
          <w:color w:val="auto"/>
          <w:sz w:val="24"/>
          <w:highlight w:val="none"/>
        </w:rPr>
        <w:t>，其</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hint="eastAsia" w:ascii="宋体" w:hAnsi="宋体"/>
          <w:color w:val="auto"/>
          <w:sz w:val="24"/>
          <w:highlight w:val="none"/>
        </w:rPr>
        <w:t>比选文件</w:t>
      </w:r>
      <w:r>
        <w:rPr>
          <w:rFonts w:ascii="宋体" w:hAnsi="宋体"/>
          <w:color w:val="auto"/>
          <w:sz w:val="24"/>
          <w:highlight w:val="none"/>
        </w:rPr>
        <w:t>对于报价修正是否另有规定：</w:t>
      </w:r>
    </w:p>
    <w:p>
      <w:pPr>
        <w:tabs>
          <w:tab w:val="left" w:pos="1080"/>
          <w:tab w:val="left" w:pos="1589"/>
          <w:tab w:val="left" w:pos="2035"/>
          <w:tab w:val="left" w:pos="2114"/>
        </w:tabs>
        <w:snapToGrid w:val="0"/>
        <w:spacing w:line="360" w:lineRule="auto"/>
        <w:ind w:left="2035"/>
        <w:rPr>
          <w:rFonts w:ascii="宋体" w:hAnsi="宋体"/>
          <w:color w:val="auto"/>
          <w:sz w:val="24"/>
          <w:highlight w:val="none"/>
          <w:u w:val="single"/>
        </w:rPr>
      </w:pPr>
      <w:r>
        <w:rPr>
          <w:rFonts w:ascii="宋体" w:hAnsi="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单独递交的</w:t>
      </w:r>
      <w:r>
        <w:rPr>
          <w:rFonts w:hint="eastAsia" w:ascii="宋体" w:hAnsi="宋体"/>
          <w:color w:val="auto"/>
          <w:sz w:val="24"/>
          <w:highlight w:val="none"/>
        </w:rPr>
        <w:t>开选</w:t>
      </w:r>
      <w:r>
        <w:rPr>
          <w:rFonts w:ascii="宋体" w:hAnsi="宋体"/>
          <w:color w:val="auto"/>
          <w:sz w:val="24"/>
          <w:highlight w:val="none"/>
        </w:rPr>
        <w:t>一览表（报价表）与</w:t>
      </w:r>
      <w:r>
        <w:rPr>
          <w:rFonts w:hint="eastAsia" w:ascii="宋体" w:hAnsi="宋体"/>
          <w:color w:val="auto"/>
          <w:sz w:val="24"/>
          <w:highlight w:val="none"/>
        </w:rPr>
        <w:t>响应文件</w:t>
      </w:r>
      <w:r>
        <w:rPr>
          <w:rFonts w:ascii="宋体" w:hAnsi="宋体"/>
          <w:color w:val="auto"/>
          <w:sz w:val="24"/>
          <w:highlight w:val="none"/>
        </w:rPr>
        <w:t>中</w:t>
      </w:r>
      <w:r>
        <w:rPr>
          <w:rFonts w:hint="eastAsia" w:ascii="宋体" w:hAnsi="宋体"/>
          <w:color w:val="auto"/>
          <w:sz w:val="24"/>
          <w:highlight w:val="none"/>
        </w:rPr>
        <w:t>开选</w:t>
      </w:r>
      <w:r>
        <w:rPr>
          <w:rFonts w:ascii="宋体" w:hAnsi="宋体"/>
          <w:color w:val="auto"/>
          <w:sz w:val="24"/>
          <w:highlight w:val="none"/>
        </w:rPr>
        <w:t>一览表（报价表）内容不一致的，以单独递交的</w:t>
      </w:r>
      <w:r>
        <w:rPr>
          <w:rFonts w:hint="eastAsia" w:ascii="宋体" w:hAnsi="宋体"/>
          <w:color w:val="auto"/>
          <w:sz w:val="24"/>
          <w:highlight w:val="none"/>
        </w:rPr>
        <w:t>开选</w:t>
      </w:r>
      <w:r>
        <w:rPr>
          <w:rFonts w:ascii="宋体" w:hAnsi="宋体"/>
          <w:color w:val="auto"/>
          <w:sz w:val="24"/>
          <w:highlight w:val="none"/>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中</w:t>
      </w:r>
      <w:r>
        <w:rPr>
          <w:rFonts w:hint="eastAsia" w:ascii="宋体" w:hAnsi="宋体"/>
          <w:color w:val="auto"/>
          <w:sz w:val="24"/>
          <w:highlight w:val="none"/>
        </w:rPr>
        <w:t>开选</w:t>
      </w:r>
      <w:r>
        <w:rPr>
          <w:rFonts w:ascii="宋体" w:hAnsi="宋体"/>
          <w:color w:val="auto"/>
          <w:sz w:val="24"/>
          <w:highlight w:val="none"/>
        </w:rPr>
        <w:t>一览表（报价表）内容与</w:t>
      </w:r>
      <w:r>
        <w:rPr>
          <w:rFonts w:hint="eastAsia" w:ascii="宋体" w:hAnsi="宋体"/>
          <w:color w:val="auto"/>
          <w:sz w:val="24"/>
          <w:highlight w:val="none"/>
        </w:rPr>
        <w:t>响应文件</w:t>
      </w:r>
      <w:r>
        <w:rPr>
          <w:rFonts w:ascii="宋体" w:hAnsi="宋体"/>
          <w:color w:val="auto"/>
          <w:sz w:val="24"/>
          <w:highlight w:val="none"/>
        </w:rPr>
        <w:t>中相应内容不一致的，以</w:t>
      </w:r>
      <w:r>
        <w:rPr>
          <w:rFonts w:hint="eastAsia" w:ascii="宋体" w:hAnsi="宋体"/>
          <w:color w:val="auto"/>
          <w:sz w:val="24"/>
          <w:highlight w:val="none"/>
        </w:rPr>
        <w:t>开选</w:t>
      </w:r>
      <w:r>
        <w:rPr>
          <w:rFonts w:ascii="宋体" w:hAnsi="宋体"/>
          <w:color w:val="auto"/>
          <w:sz w:val="24"/>
          <w:highlight w:val="none"/>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单价金额小数点或者百分比有明显错位的，以</w:t>
      </w:r>
      <w:r>
        <w:rPr>
          <w:rFonts w:hint="eastAsia" w:ascii="宋体" w:hAnsi="宋体"/>
          <w:color w:val="auto"/>
          <w:sz w:val="24"/>
          <w:highlight w:val="none"/>
        </w:rPr>
        <w:t>开选</w:t>
      </w:r>
      <w:r>
        <w:rPr>
          <w:rFonts w:ascii="宋体" w:hAnsi="宋体"/>
          <w:color w:val="auto"/>
          <w:sz w:val="24"/>
          <w:highlight w:val="none"/>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同时出现两种以上不一致的，按照前款规定的顺序修正。修正后的报价经</w:t>
      </w:r>
      <w:r>
        <w:rPr>
          <w:rFonts w:hint="eastAsia" w:ascii="宋体" w:hAnsi="宋体"/>
          <w:color w:val="auto"/>
          <w:sz w:val="24"/>
          <w:highlight w:val="none"/>
        </w:rPr>
        <w:t>供应商</w:t>
      </w:r>
      <w:r>
        <w:rPr>
          <w:rFonts w:ascii="宋体" w:hAnsi="宋体"/>
          <w:color w:val="auto"/>
          <w:sz w:val="24"/>
          <w:highlight w:val="none"/>
        </w:rPr>
        <w:t>书面确认后产生约束力，</w:t>
      </w:r>
      <w:r>
        <w:rPr>
          <w:rFonts w:hint="eastAsia" w:ascii="宋体" w:hAnsi="宋体"/>
          <w:color w:val="auto"/>
          <w:sz w:val="24"/>
          <w:highlight w:val="none"/>
        </w:rPr>
        <w:t>供应商</w:t>
      </w:r>
      <w:r>
        <w:rPr>
          <w:rFonts w:ascii="宋体" w:hAnsi="宋体"/>
          <w:color w:val="auto"/>
          <w:sz w:val="24"/>
          <w:highlight w:val="none"/>
        </w:rPr>
        <w:t>不确认的，其</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落实政府采购政策的价格调整：只有符合第二章《</w:t>
      </w:r>
      <w:r>
        <w:rPr>
          <w:rFonts w:hint="eastAsia" w:ascii="宋体" w:hAnsi="宋体"/>
          <w:color w:val="auto"/>
          <w:sz w:val="24"/>
          <w:highlight w:val="none"/>
        </w:rPr>
        <w:t>供应商</w:t>
      </w:r>
      <w:r>
        <w:rPr>
          <w:rFonts w:ascii="宋体" w:hAnsi="宋体"/>
          <w:color w:val="auto"/>
          <w:sz w:val="24"/>
          <w:highlight w:val="none"/>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hint="eastAsia" w:ascii="宋体" w:hAnsi="宋体"/>
          <w:color w:val="auto"/>
          <w:sz w:val="24"/>
          <w:highlight w:val="none"/>
          <w:u w:val="single"/>
        </w:rPr>
        <w:t>10</w:t>
      </w:r>
      <w:r>
        <w:rPr>
          <w:rFonts w:ascii="宋体" w:hAnsi="宋体"/>
          <w:color w:val="auto"/>
          <w:sz w:val="24"/>
          <w:highlight w:val="none"/>
          <w:u w:val="single"/>
        </w:rPr>
        <w:t>%</w:t>
      </w:r>
      <w:r>
        <w:rPr>
          <w:rFonts w:ascii="宋体" w:hAnsi="宋体"/>
          <w:color w:val="auto"/>
          <w:sz w:val="24"/>
          <w:highlight w:val="none"/>
        </w:rPr>
        <w:t>的扣除，用扣除后的价格参加评审。</w:t>
      </w:r>
    </w:p>
    <w:p>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rPr>
        <w:t>4</w:t>
      </w:r>
      <w:r>
        <w:rPr>
          <w:color w:val="auto"/>
          <w:sz w:val="24"/>
          <w:highlight w:val="none"/>
          <w:u w:val="single"/>
        </w:rPr>
        <w:t>%</w:t>
      </w:r>
      <w:r>
        <w:rPr>
          <w:color w:val="auto"/>
          <w:sz w:val="24"/>
          <w:highlight w:val="none"/>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中小企业参加政府采购活动，应当按照</w:t>
      </w:r>
      <w:r>
        <w:rPr>
          <w:rFonts w:hint="eastAsia" w:ascii="宋体" w:hAnsi="宋体"/>
          <w:color w:val="auto"/>
          <w:sz w:val="24"/>
          <w:highlight w:val="none"/>
        </w:rPr>
        <w:t>比选文件</w:t>
      </w:r>
      <w:r>
        <w:rPr>
          <w:rFonts w:ascii="宋体" w:hAnsi="宋体"/>
          <w:color w:val="auto"/>
          <w:sz w:val="24"/>
          <w:highlight w:val="none"/>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残疾人福利性单位按</w:t>
      </w:r>
      <w:r>
        <w:rPr>
          <w:rFonts w:hint="eastAsia" w:ascii="宋体" w:hAnsi="宋体"/>
          <w:color w:val="auto"/>
          <w:sz w:val="24"/>
          <w:highlight w:val="none"/>
        </w:rPr>
        <w:t>比选文件</w:t>
      </w:r>
      <w:r>
        <w:rPr>
          <w:rFonts w:ascii="宋体" w:hAnsi="宋体"/>
          <w:color w:val="auto"/>
          <w:sz w:val="24"/>
          <w:highlight w:val="none"/>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color w:val="auto"/>
          <w:sz w:val="24"/>
          <w:highlight w:val="none"/>
        </w:rPr>
      </w:pPr>
      <w:r>
        <w:rPr>
          <w:rFonts w:ascii="宋体" w:hAnsi="宋体"/>
          <w:color w:val="auto"/>
          <w:sz w:val="24"/>
          <w:highlight w:val="none"/>
        </w:rPr>
        <w:t>若</w:t>
      </w:r>
      <w:r>
        <w:rPr>
          <w:rFonts w:hint="eastAsia" w:ascii="宋体" w:hAnsi="宋体"/>
          <w:color w:val="auto"/>
          <w:sz w:val="24"/>
          <w:highlight w:val="none"/>
        </w:rPr>
        <w:t>供应商</w:t>
      </w:r>
      <w:r>
        <w:rPr>
          <w:rFonts w:ascii="宋体" w:hAnsi="宋体"/>
          <w:color w:val="auto"/>
          <w:sz w:val="24"/>
          <w:highlight w:val="none"/>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的比较和评价</w:t>
      </w:r>
      <w:bookmarkEnd w:id="616"/>
      <w:bookmarkEnd w:id="617"/>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评标委员会将按照</w:t>
      </w:r>
      <w:r>
        <w:rPr>
          <w:rFonts w:hint="eastAsia" w:ascii="宋体" w:hAnsi="宋体"/>
          <w:color w:val="auto"/>
          <w:sz w:val="24"/>
          <w:highlight w:val="none"/>
        </w:rPr>
        <w:t>比选文件</w:t>
      </w:r>
      <w:r>
        <w:rPr>
          <w:rFonts w:ascii="宋体" w:hAnsi="宋体"/>
          <w:color w:val="auto"/>
          <w:sz w:val="24"/>
          <w:highlight w:val="none"/>
        </w:rPr>
        <w:t>中规定的评标方法和标准，对符合性审查合格的</w:t>
      </w:r>
      <w:r>
        <w:rPr>
          <w:rFonts w:hint="eastAsia" w:ascii="宋体" w:hAnsi="宋体"/>
          <w:color w:val="auto"/>
          <w:sz w:val="24"/>
          <w:highlight w:val="none"/>
        </w:rPr>
        <w:t>响应文件</w:t>
      </w:r>
      <w:r>
        <w:rPr>
          <w:rFonts w:ascii="宋体" w:hAnsi="宋体"/>
          <w:color w:val="auto"/>
          <w:sz w:val="24"/>
          <w:highlight w:val="none"/>
        </w:rPr>
        <w:t>进行商务和技术评估，综合比较与评价；未通过符合性审查的</w:t>
      </w:r>
      <w:r>
        <w:rPr>
          <w:rFonts w:hint="eastAsia" w:ascii="宋体" w:hAnsi="宋体"/>
          <w:color w:val="auto"/>
          <w:sz w:val="24"/>
          <w:highlight w:val="none"/>
        </w:rPr>
        <w:t>响应文件</w:t>
      </w:r>
      <w:r>
        <w:rPr>
          <w:rFonts w:ascii="宋体" w:hAnsi="宋体"/>
          <w:color w:val="auto"/>
          <w:sz w:val="24"/>
          <w:highlight w:val="none"/>
        </w:rPr>
        <w:t>不得进入比较与评价。</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评标方法和评标标准</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本项目采用的评标方法为：</w:t>
      </w:r>
    </w:p>
    <w:p>
      <w:pPr>
        <w:tabs>
          <w:tab w:val="left" w:pos="900"/>
          <w:tab w:val="left" w:pos="1589"/>
          <w:tab w:val="left" w:pos="1701"/>
        </w:tabs>
        <w:snapToGrid w:val="0"/>
        <w:spacing w:line="360" w:lineRule="auto"/>
        <w:ind w:left="1985"/>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综合评分法，指</w:t>
      </w:r>
      <w:r>
        <w:rPr>
          <w:rFonts w:hint="eastAsia" w:ascii="宋体" w:hAnsi="宋体"/>
          <w:color w:val="auto"/>
          <w:sz w:val="24"/>
          <w:highlight w:val="none"/>
        </w:rPr>
        <w:t>响应文件</w:t>
      </w:r>
      <w:r>
        <w:rPr>
          <w:rFonts w:ascii="宋体" w:hAnsi="宋体"/>
          <w:color w:val="auto"/>
          <w:sz w:val="24"/>
          <w:highlight w:val="none"/>
        </w:rPr>
        <w:t>满足</w:t>
      </w:r>
      <w:r>
        <w:rPr>
          <w:rFonts w:hint="eastAsia" w:ascii="宋体" w:hAnsi="宋体"/>
          <w:color w:val="auto"/>
          <w:sz w:val="24"/>
          <w:highlight w:val="none"/>
        </w:rPr>
        <w:t>比选文件</w:t>
      </w:r>
      <w:r>
        <w:rPr>
          <w:rFonts w:ascii="宋体" w:hAnsi="宋体"/>
          <w:color w:val="auto"/>
          <w:sz w:val="24"/>
          <w:highlight w:val="none"/>
        </w:rPr>
        <w:t>全部实质性要求，且按照评审因素的量化指标评审得分最高的</w:t>
      </w:r>
      <w:r>
        <w:rPr>
          <w:rFonts w:hint="eastAsia" w:ascii="宋体" w:hAnsi="宋体"/>
          <w:color w:val="auto"/>
          <w:sz w:val="24"/>
          <w:highlight w:val="none"/>
        </w:rPr>
        <w:t>供应商</w:t>
      </w:r>
      <w:r>
        <w:rPr>
          <w:rFonts w:ascii="宋体" w:hAnsi="宋体"/>
          <w:color w:val="auto"/>
          <w:sz w:val="24"/>
          <w:highlight w:val="none"/>
        </w:rPr>
        <w:t>为</w:t>
      </w:r>
      <w:r>
        <w:rPr>
          <w:rFonts w:hint="eastAsia" w:ascii="宋体" w:hAnsi="宋体"/>
          <w:color w:val="auto"/>
          <w:sz w:val="24"/>
          <w:highlight w:val="none"/>
        </w:rPr>
        <w:t>成交</w:t>
      </w:r>
      <w:r>
        <w:rPr>
          <w:rFonts w:ascii="宋体" w:hAnsi="宋体"/>
          <w:color w:val="auto"/>
          <w:sz w:val="24"/>
          <w:highlight w:val="none"/>
        </w:rPr>
        <w:t>候选人的评标方法，见《评标标准》</w:t>
      </w:r>
      <w:r>
        <w:rPr>
          <w:rFonts w:hint="eastAsia" w:ascii="宋体" w:hAnsi="宋体"/>
          <w:color w:val="auto"/>
          <w:sz w:val="24"/>
          <w:highlight w:val="none"/>
        </w:rPr>
        <w:t>，比选文件中没有规定的评标标准不得作为评审的依据。</w:t>
      </w:r>
    </w:p>
    <w:p>
      <w:pPr>
        <w:tabs>
          <w:tab w:val="left" w:pos="900"/>
          <w:tab w:val="left" w:pos="1589"/>
          <w:tab w:val="left" w:pos="1701"/>
        </w:tabs>
        <w:snapToGrid w:val="0"/>
        <w:spacing w:line="360" w:lineRule="auto"/>
        <w:ind w:left="1985"/>
        <w:rPr>
          <w:rFonts w:ascii="宋体" w:hAnsi="宋体"/>
          <w:color w:val="auto"/>
          <w:sz w:val="24"/>
          <w:highlight w:val="none"/>
        </w:rPr>
      </w:pPr>
      <w:r>
        <w:rPr>
          <w:rFonts w:ascii="宋体" w:hAnsi="宋体"/>
          <w:color w:val="auto"/>
          <w:sz w:val="24"/>
          <w:highlight w:val="none"/>
        </w:rPr>
        <w:t>□最低评标价法，指</w:t>
      </w:r>
      <w:r>
        <w:rPr>
          <w:rFonts w:hint="eastAsia" w:ascii="宋体" w:hAnsi="宋体"/>
          <w:color w:val="auto"/>
          <w:sz w:val="24"/>
          <w:highlight w:val="none"/>
        </w:rPr>
        <w:t>响应文件</w:t>
      </w:r>
      <w:r>
        <w:rPr>
          <w:rFonts w:ascii="宋体" w:hAnsi="宋体"/>
          <w:color w:val="auto"/>
          <w:sz w:val="24"/>
          <w:highlight w:val="none"/>
        </w:rPr>
        <w:t>满足</w:t>
      </w:r>
      <w:r>
        <w:rPr>
          <w:rFonts w:hint="eastAsia" w:ascii="宋体" w:hAnsi="宋体"/>
          <w:color w:val="auto"/>
          <w:sz w:val="24"/>
          <w:highlight w:val="none"/>
        </w:rPr>
        <w:t>比选文件</w:t>
      </w:r>
      <w:r>
        <w:rPr>
          <w:rFonts w:ascii="宋体" w:hAnsi="宋体"/>
          <w:color w:val="auto"/>
          <w:sz w:val="24"/>
          <w:highlight w:val="none"/>
        </w:rPr>
        <w:t>全部实质性要求，且</w:t>
      </w:r>
      <w:r>
        <w:rPr>
          <w:rFonts w:hint="eastAsia" w:ascii="宋体" w:hAnsi="宋体"/>
          <w:color w:val="auto"/>
          <w:sz w:val="24"/>
          <w:highlight w:val="none"/>
        </w:rPr>
        <w:t>响应</w:t>
      </w:r>
      <w:r>
        <w:rPr>
          <w:rFonts w:ascii="宋体" w:hAnsi="宋体"/>
          <w:color w:val="auto"/>
          <w:sz w:val="24"/>
          <w:highlight w:val="none"/>
        </w:rPr>
        <w:t>报价最低的</w:t>
      </w:r>
      <w:r>
        <w:rPr>
          <w:rFonts w:hint="eastAsia" w:ascii="宋体" w:hAnsi="宋体"/>
          <w:color w:val="auto"/>
          <w:sz w:val="24"/>
          <w:highlight w:val="none"/>
        </w:rPr>
        <w:t>供应商</w:t>
      </w:r>
      <w:r>
        <w:rPr>
          <w:rFonts w:ascii="宋体" w:hAnsi="宋体"/>
          <w:color w:val="auto"/>
          <w:sz w:val="24"/>
          <w:highlight w:val="none"/>
        </w:rPr>
        <w:t>为</w:t>
      </w:r>
      <w:r>
        <w:rPr>
          <w:rFonts w:hint="eastAsia" w:ascii="宋体" w:hAnsi="宋体"/>
          <w:color w:val="auto"/>
          <w:sz w:val="24"/>
          <w:highlight w:val="none"/>
        </w:rPr>
        <w:t>成交</w:t>
      </w:r>
      <w:r>
        <w:rPr>
          <w:rFonts w:ascii="宋体" w:hAnsi="宋体"/>
          <w:color w:val="auto"/>
          <w:sz w:val="24"/>
          <w:highlight w:val="none"/>
        </w:rPr>
        <w:t>候选人的评标方法。</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采用最低评标价法时，提供相同品牌产品（单一产品或核心产品品牌相同）的不同</w:t>
      </w:r>
      <w:r>
        <w:rPr>
          <w:rFonts w:hint="eastAsia" w:ascii="宋体" w:hAnsi="宋体"/>
          <w:color w:val="auto"/>
          <w:sz w:val="24"/>
          <w:highlight w:val="none"/>
        </w:rPr>
        <w:t>供应商</w:t>
      </w:r>
      <w:r>
        <w:rPr>
          <w:rFonts w:ascii="宋体" w:hAnsi="宋体"/>
          <w:color w:val="auto"/>
          <w:sz w:val="24"/>
          <w:highlight w:val="none"/>
        </w:rPr>
        <w:t>参加同一合同项下</w:t>
      </w:r>
      <w:r>
        <w:rPr>
          <w:rFonts w:hint="eastAsia" w:ascii="宋体" w:hAnsi="宋体"/>
          <w:color w:val="auto"/>
          <w:sz w:val="24"/>
          <w:highlight w:val="none"/>
        </w:rPr>
        <w:t>响应</w:t>
      </w:r>
      <w:r>
        <w:rPr>
          <w:rFonts w:ascii="宋体" w:hAnsi="宋体"/>
          <w:color w:val="auto"/>
          <w:sz w:val="24"/>
          <w:highlight w:val="none"/>
        </w:rPr>
        <w:t>的，以其中通过资格审查、符合性审查且报价最低的参加评标；报价相同的，由采购人或者采购人委托评标委员会按照下述方法确定一个参加评标的</w:t>
      </w:r>
      <w:r>
        <w:rPr>
          <w:rFonts w:hint="eastAsia" w:ascii="宋体" w:hAnsi="宋体"/>
          <w:color w:val="auto"/>
          <w:sz w:val="24"/>
          <w:highlight w:val="none"/>
        </w:rPr>
        <w:t>供应商</w:t>
      </w:r>
      <w:r>
        <w:rPr>
          <w:rFonts w:ascii="宋体" w:hAnsi="宋体"/>
          <w:color w:val="auto"/>
          <w:sz w:val="24"/>
          <w:highlight w:val="none"/>
        </w:rPr>
        <w:t>，其他</w:t>
      </w:r>
      <w:r>
        <w:rPr>
          <w:rFonts w:hint="eastAsia" w:ascii="宋体" w:hAnsi="宋体"/>
          <w:b/>
          <w:color w:val="auto"/>
          <w:sz w:val="24"/>
          <w:highlight w:val="none"/>
        </w:rPr>
        <w:t>响应</w:t>
      </w:r>
      <w:r>
        <w:rPr>
          <w:rFonts w:ascii="宋体" w:hAnsi="宋体"/>
          <w:b/>
          <w:color w:val="auto"/>
          <w:sz w:val="24"/>
          <w:highlight w:val="none"/>
        </w:rPr>
        <w:t>无效</w:t>
      </w:r>
      <w:r>
        <w:rPr>
          <w:rFonts w:ascii="宋体" w:hAnsi="宋体"/>
          <w:color w:val="auto"/>
          <w:sz w:val="24"/>
          <w:highlight w:val="none"/>
        </w:rPr>
        <w:t>。</w:t>
      </w:r>
    </w:p>
    <w:p>
      <w:pPr>
        <w:tabs>
          <w:tab w:val="left" w:pos="1080"/>
          <w:tab w:val="left" w:pos="1589"/>
          <w:tab w:val="left" w:pos="2035"/>
        </w:tabs>
        <w:snapToGrid w:val="0"/>
        <w:spacing w:line="360" w:lineRule="auto"/>
        <w:ind w:left="2035"/>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随机抽取</w:t>
      </w:r>
    </w:p>
    <w:p>
      <w:pPr>
        <w:tabs>
          <w:tab w:val="left" w:pos="1080"/>
          <w:tab w:val="left" w:pos="1589"/>
          <w:tab w:val="left" w:pos="2035"/>
        </w:tabs>
        <w:snapToGrid w:val="0"/>
        <w:spacing w:line="360" w:lineRule="auto"/>
        <w:ind w:left="2035"/>
        <w:rPr>
          <w:rFonts w:ascii="宋体" w:hAnsi="宋体"/>
          <w:color w:val="auto"/>
          <w:sz w:val="24"/>
          <w:highlight w:val="none"/>
          <w:u w:val="single"/>
        </w:rPr>
      </w:pPr>
      <w:r>
        <w:rPr>
          <w:rFonts w:ascii="宋体" w:hAnsi="宋体"/>
          <w:color w:val="auto"/>
          <w:sz w:val="24"/>
          <w:highlight w:val="none"/>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u w:val="singl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s="Tahoma"/>
          <w:color w:val="auto"/>
          <w:kern w:val="0"/>
          <w:sz w:val="24"/>
          <w:highlight w:val="none"/>
          <w:u w:val="single"/>
        </w:rPr>
        <w:t>采购人所采购的设备不涉及政府强制采购，属于节能产品</w:t>
      </w:r>
      <w:r>
        <w:rPr>
          <w:rFonts w:ascii="宋体" w:hAnsi="宋体" w:cs="Tahoma"/>
          <w:color w:val="auto"/>
          <w:kern w:val="0"/>
          <w:sz w:val="24"/>
          <w:highlight w:val="none"/>
          <w:u w:val="single"/>
        </w:rPr>
        <w:t>/环境标志产品政府采购品目清单</w:t>
      </w:r>
      <w:r>
        <w:rPr>
          <w:rFonts w:hint="eastAsia" w:ascii="宋体" w:hAnsi="宋体" w:cs="Tahoma"/>
          <w:color w:val="auto"/>
          <w:kern w:val="0"/>
          <w:sz w:val="24"/>
          <w:highlight w:val="none"/>
          <w:u w:val="single"/>
        </w:rPr>
        <w:t>中优先采购的，所投产品提供了国家确定的认证机构出具的、处于有效期之内的节能产品</w:t>
      </w:r>
      <w:r>
        <w:rPr>
          <w:rFonts w:ascii="宋体" w:hAnsi="宋体" w:cs="Tahoma"/>
          <w:color w:val="auto"/>
          <w:kern w:val="0"/>
          <w:sz w:val="24"/>
          <w:highlight w:val="none"/>
          <w:u w:val="single"/>
        </w:rPr>
        <w:t>/</w:t>
      </w:r>
      <w:r>
        <w:rPr>
          <w:rFonts w:hint="eastAsia" w:ascii="宋体" w:hAnsi="宋体" w:cs="Tahoma"/>
          <w:color w:val="auto"/>
          <w:kern w:val="0"/>
          <w:sz w:val="24"/>
          <w:highlight w:val="none"/>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关于无线局域网认证产品政府采购清单中的产品，优先采购的具体规定（如涉及）__</w:t>
      </w:r>
      <w:r>
        <w:rPr>
          <w:rFonts w:hint="eastAsia"/>
          <w:color w:val="auto"/>
          <w:sz w:val="24"/>
          <w:highlight w:val="none"/>
          <w:u w:val="single"/>
        </w:rPr>
        <w:t xml:space="preserve">/ </w:t>
      </w:r>
      <w:r>
        <w:rPr>
          <w:rFonts w:ascii="宋体" w:hAnsi="宋体"/>
          <w:color w:val="auto"/>
          <w:sz w:val="24"/>
          <w:highlight w:val="none"/>
        </w:rPr>
        <w:t>___。</w:t>
      </w:r>
    </w:p>
    <w:p>
      <w:pPr>
        <w:numPr>
          <w:ilvl w:val="0"/>
          <w:numId w:val="1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确定</w:t>
      </w:r>
      <w:bookmarkStart w:id="632" w:name="_Toc150509297"/>
      <w:bookmarkStart w:id="633" w:name="_Toc520356170"/>
      <w:bookmarkStart w:id="634" w:name="_Toc164608660"/>
      <w:bookmarkStart w:id="635" w:name="_Toc195842911"/>
      <w:bookmarkStart w:id="636" w:name="_Toc149720839"/>
      <w:bookmarkStart w:id="637" w:name="_Toc151193860"/>
      <w:bookmarkStart w:id="638" w:name="_Toc142311048"/>
      <w:bookmarkStart w:id="639" w:name="_Toc127151546"/>
      <w:bookmarkStart w:id="640" w:name="_Toc164351640"/>
      <w:bookmarkStart w:id="641" w:name="_Toc164229241"/>
      <w:bookmarkStart w:id="642" w:name="_Toc151190173"/>
      <w:bookmarkStart w:id="643" w:name="_Toc164229387"/>
      <w:bookmarkStart w:id="644" w:name="_Toc226965736"/>
      <w:bookmarkStart w:id="645" w:name="_Ref467307010"/>
      <w:bookmarkStart w:id="646" w:name="_Toc151193934"/>
      <w:bookmarkStart w:id="647" w:name="_Toc151193716"/>
      <w:bookmarkStart w:id="648" w:name="_Toc151193788"/>
      <w:bookmarkStart w:id="649" w:name="_Toc164608815"/>
      <w:bookmarkStart w:id="650" w:name="_Toc150774751"/>
      <w:bookmarkStart w:id="651" w:name="_Toc150774646"/>
      <w:bookmarkStart w:id="652" w:name="_Toc151193644"/>
      <w:bookmarkStart w:id="653" w:name="_Toc226337242"/>
      <w:bookmarkStart w:id="654" w:name="_Toc264969236"/>
      <w:bookmarkStart w:id="655" w:name="_Toc305158814"/>
      <w:bookmarkStart w:id="656" w:name="_Toc150480784"/>
      <w:bookmarkStart w:id="657" w:name="_Toc127161460"/>
      <w:bookmarkStart w:id="658" w:name="_Toc265228384"/>
      <w:bookmarkStart w:id="659" w:name="_Toc305158888"/>
      <w:bookmarkStart w:id="660" w:name="_Toc226965819"/>
      <w:bookmarkStart w:id="661" w:name="_Toc226309790"/>
      <w:bookmarkStart w:id="662" w:name="_Toc127151747"/>
      <w:r>
        <w:rPr>
          <w:rFonts w:hint="eastAsia" w:ascii="宋体" w:hAnsi="宋体"/>
          <w:color w:val="auto"/>
          <w:sz w:val="24"/>
          <w:highlight w:val="none"/>
        </w:rPr>
        <w:t>成交</w:t>
      </w:r>
      <w:r>
        <w:rPr>
          <w:rFonts w:ascii="宋体" w:hAnsi="宋体"/>
          <w:color w:val="auto"/>
          <w:sz w:val="24"/>
          <w:highlight w:val="none"/>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采用综合评分法时，提供相同品牌产品（单一产品或核心产品品牌相同）且通过资格审查、符合性审查的不同</w:t>
      </w:r>
      <w:r>
        <w:rPr>
          <w:rFonts w:hint="eastAsia" w:ascii="宋体" w:hAnsi="宋体"/>
          <w:color w:val="auto"/>
          <w:sz w:val="24"/>
          <w:highlight w:val="none"/>
        </w:rPr>
        <w:t>供应商</w:t>
      </w:r>
      <w:r>
        <w:rPr>
          <w:rFonts w:ascii="宋体" w:hAnsi="宋体"/>
          <w:color w:val="auto"/>
          <w:sz w:val="24"/>
          <w:highlight w:val="none"/>
        </w:rPr>
        <w:t>参加同一合同项下</w:t>
      </w:r>
      <w:r>
        <w:rPr>
          <w:rFonts w:hint="eastAsia" w:ascii="宋体" w:hAnsi="宋体"/>
          <w:color w:val="auto"/>
          <w:sz w:val="24"/>
          <w:highlight w:val="none"/>
        </w:rPr>
        <w:t>响应</w:t>
      </w:r>
      <w:r>
        <w:rPr>
          <w:rFonts w:ascii="宋体" w:hAnsi="宋体"/>
          <w:color w:val="auto"/>
          <w:sz w:val="24"/>
          <w:highlight w:val="none"/>
        </w:rPr>
        <w:t>的，按一家</w:t>
      </w:r>
      <w:r>
        <w:rPr>
          <w:rFonts w:hint="eastAsia" w:ascii="宋体" w:hAnsi="宋体"/>
          <w:color w:val="auto"/>
          <w:sz w:val="24"/>
          <w:highlight w:val="none"/>
        </w:rPr>
        <w:t>供应商</w:t>
      </w:r>
      <w:r>
        <w:rPr>
          <w:rFonts w:ascii="宋体" w:hAnsi="宋体"/>
          <w:color w:val="auto"/>
          <w:sz w:val="24"/>
          <w:highlight w:val="none"/>
        </w:rPr>
        <w:t>计算，评审后得分最高的同品牌</w:t>
      </w:r>
      <w:r>
        <w:rPr>
          <w:rFonts w:hint="eastAsia" w:ascii="宋体" w:hAnsi="宋体"/>
          <w:color w:val="auto"/>
          <w:sz w:val="24"/>
          <w:highlight w:val="none"/>
        </w:rPr>
        <w:t>供应商</w:t>
      </w:r>
      <w:r>
        <w:rPr>
          <w:rFonts w:ascii="宋体" w:hAnsi="宋体"/>
          <w:color w:val="auto"/>
          <w:sz w:val="24"/>
          <w:highlight w:val="none"/>
        </w:rPr>
        <w:t>获得</w:t>
      </w:r>
      <w:r>
        <w:rPr>
          <w:rFonts w:hint="eastAsia" w:ascii="宋体" w:hAnsi="宋体"/>
          <w:color w:val="auto"/>
          <w:sz w:val="24"/>
          <w:highlight w:val="none"/>
        </w:rPr>
        <w:t>成交人</w:t>
      </w:r>
      <w:r>
        <w:rPr>
          <w:rFonts w:ascii="宋体" w:hAnsi="宋体"/>
          <w:color w:val="auto"/>
          <w:sz w:val="24"/>
          <w:highlight w:val="none"/>
        </w:rPr>
        <w:t>推荐资格；评审得分相同的，评标委员会按照下述规定确定一个</w:t>
      </w:r>
      <w:r>
        <w:rPr>
          <w:rFonts w:hint="eastAsia" w:ascii="宋体" w:hAnsi="宋体"/>
          <w:color w:val="auto"/>
          <w:sz w:val="24"/>
          <w:highlight w:val="none"/>
        </w:rPr>
        <w:t>供应商</w:t>
      </w:r>
      <w:r>
        <w:rPr>
          <w:rFonts w:ascii="宋体" w:hAnsi="宋体"/>
          <w:color w:val="auto"/>
          <w:sz w:val="24"/>
          <w:highlight w:val="none"/>
        </w:rPr>
        <w:t>获得</w:t>
      </w:r>
      <w:r>
        <w:rPr>
          <w:rFonts w:hint="eastAsia" w:ascii="宋体" w:hAnsi="宋体"/>
          <w:color w:val="auto"/>
          <w:sz w:val="24"/>
          <w:highlight w:val="none"/>
        </w:rPr>
        <w:t>成交人</w:t>
      </w:r>
      <w:r>
        <w:rPr>
          <w:rFonts w:ascii="宋体" w:hAnsi="宋体"/>
          <w:color w:val="auto"/>
          <w:sz w:val="24"/>
          <w:highlight w:val="none"/>
        </w:rPr>
        <w:t>推荐资格，其他同品牌</w:t>
      </w:r>
      <w:r>
        <w:rPr>
          <w:rFonts w:hint="eastAsia" w:ascii="宋体" w:hAnsi="宋体"/>
          <w:color w:val="auto"/>
          <w:sz w:val="24"/>
          <w:highlight w:val="none"/>
        </w:rPr>
        <w:t>供应商</w:t>
      </w:r>
      <w:r>
        <w:rPr>
          <w:rFonts w:ascii="宋体" w:hAnsi="宋体"/>
          <w:color w:val="auto"/>
          <w:sz w:val="24"/>
          <w:highlight w:val="none"/>
        </w:rPr>
        <w:t>不作为</w:t>
      </w:r>
      <w:r>
        <w:rPr>
          <w:rFonts w:hint="eastAsia" w:ascii="宋体" w:hAnsi="宋体"/>
          <w:color w:val="auto"/>
          <w:sz w:val="24"/>
          <w:highlight w:val="none"/>
        </w:rPr>
        <w:t>成交</w:t>
      </w:r>
      <w:r>
        <w:rPr>
          <w:rFonts w:ascii="宋体" w:hAnsi="宋体"/>
          <w:color w:val="auto"/>
          <w:sz w:val="24"/>
          <w:highlight w:val="none"/>
        </w:rPr>
        <w:t>候选人。</w:t>
      </w:r>
    </w:p>
    <w:p>
      <w:pPr>
        <w:pStyle w:val="23"/>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int="default" w:hAnsi="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其他方式，具体要求：</w:t>
      </w:r>
      <w:r>
        <w:rPr>
          <w:rFonts w:hAnsi="宋体"/>
          <w:color w:val="auto"/>
          <w:sz w:val="24"/>
          <w:szCs w:val="24"/>
          <w:highlight w:val="none"/>
          <w:u w:val="single"/>
        </w:rPr>
        <w:t>以价格部分得分最高的供应商获得成交人推荐资格</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采用综合评分法时，评标结果按评审后得分由高到低顺序排列。得分相同的，按</w:t>
      </w:r>
      <w:r>
        <w:rPr>
          <w:rFonts w:hint="eastAsia" w:ascii="宋体" w:hAnsi="宋体"/>
          <w:color w:val="auto"/>
          <w:sz w:val="24"/>
          <w:highlight w:val="none"/>
        </w:rPr>
        <w:t>响应</w:t>
      </w:r>
      <w:r>
        <w:rPr>
          <w:rFonts w:ascii="宋体" w:hAnsi="宋体"/>
          <w:color w:val="auto"/>
          <w:sz w:val="24"/>
          <w:highlight w:val="none"/>
        </w:rPr>
        <w:t>报价由低到高顺序排列。得分且</w:t>
      </w:r>
      <w:r>
        <w:rPr>
          <w:rFonts w:hint="eastAsia" w:ascii="宋体" w:hAnsi="宋体"/>
          <w:color w:val="auto"/>
          <w:sz w:val="24"/>
          <w:highlight w:val="none"/>
        </w:rPr>
        <w:t>响应</w:t>
      </w:r>
      <w:r>
        <w:rPr>
          <w:rFonts w:ascii="宋体" w:hAnsi="宋体"/>
          <w:color w:val="auto"/>
          <w:sz w:val="24"/>
          <w:highlight w:val="none"/>
        </w:rPr>
        <w:t>报价相同的并列。</w:t>
      </w:r>
      <w:r>
        <w:rPr>
          <w:rFonts w:hint="eastAsia" w:ascii="宋体" w:hAnsi="宋体"/>
          <w:color w:val="auto"/>
          <w:sz w:val="24"/>
          <w:highlight w:val="none"/>
        </w:rPr>
        <w:t>响应文件</w:t>
      </w:r>
      <w:r>
        <w:rPr>
          <w:rFonts w:ascii="宋体" w:hAnsi="宋体"/>
          <w:color w:val="auto"/>
          <w:sz w:val="24"/>
          <w:highlight w:val="none"/>
        </w:rPr>
        <w:t>满足</w:t>
      </w:r>
      <w:r>
        <w:rPr>
          <w:rFonts w:hint="eastAsia" w:ascii="宋体" w:hAnsi="宋体"/>
          <w:color w:val="auto"/>
          <w:sz w:val="24"/>
          <w:highlight w:val="none"/>
        </w:rPr>
        <w:t>比选文件</w:t>
      </w:r>
      <w:r>
        <w:rPr>
          <w:rFonts w:ascii="宋体" w:hAnsi="宋体"/>
          <w:color w:val="auto"/>
          <w:sz w:val="24"/>
          <w:highlight w:val="none"/>
        </w:rPr>
        <w:t>全部实质性要求，且按照评审因素的量化指标评审得分最高的</w:t>
      </w:r>
      <w:r>
        <w:rPr>
          <w:rFonts w:hint="eastAsia" w:ascii="宋体" w:hAnsi="宋体"/>
          <w:color w:val="auto"/>
          <w:sz w:val="24"/>
          <w:highlight w:val="none"/>
        </w:rPr>
        <w:t>供应商</w:t>
      </w:r>
      <w:r>
        <w:rPr>
          <w:rFonts w:ascii="宋体" w:hAnsi="宋体"/>
          <w:color w:val="auto"/>
          <w:sz w:val="24"/>
          <w:highlight w:val="none"/>
        </w:rPr>
        <w:t>为排名第一的</w:t>
      </w:r>
      <w:r>
        <w:rPr>
          <w:rFonts w:hint="eastAsia" w:ascii="宋体" w:hAnsi="宋体"/>
          <w:color w:val="auto"/>
          <w:sz w:val="24"/>
          <w:highlight w:val="none"/>
        </w:rPr>
        <w:t>成交</w:t>
      </w:r>
      <w:r>
        <w:rPr>
          <w:rFonts w:ascii="宋体" w:hAnsi="宋体"/>
          <w:color w:val="auto"/>
          <w:sz w:val="24"/>
          <w:highlight w:val="none"/>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采用最低评标价法时，评标结果按本章2.4、2.5调整后的</w:t>
      </w:r>
      <w:r>
        <w:rPr>
          <w:rFonts w:hint="eastAsia" w:ascii="宋体" w:hAnsi="宋体"/>
          <w:color w:val="auto"/>
          <w:sz w:val="24"/>
          <w:highlight w:val="none"/>
        </w:rPr>
        <w:t>响应</w:t>
      </w:r>
      <w:r>
        <w:rPr>
          <w:rFonts w:ascii="宋体" w:hAnsi="宋体"/>
          <w:color w:val="auto"/>
          <w:sz w:val="24"/>
          <w:highlight w:val="none"/>
        </w:rPr>
        <w:t>报价由低到高顺序排列。</w:t>
      </w:r>
      <w:r>
        <w:rPr>
          <w:rFonts w:hint="eastAsia" w:ascii="宋体" w:hAnsi="宋体"/>
          <w:color w:val="auto"/>
          <w:sz w:val="24"/>
          <w:highlight w:val="none"/>
        </w:rPr>
        <w:t>响应</w:t>
      </w:r>
      <w:r>
        <w:rPr>
          <w:rFonts w:ascii="宋体" w:hAnsi="宋体"/>
          <w:color w:val="auto"/>
          <w:sz w:val="24"/>
          <w:highlight w:val="none"/>
        </w:rPr>
        <w:t>报价相同的并列。</w:t>
      </w:r>
      <w:r>
        <w:rPr>
          <w:rFonts w:hint="eastAsia" w:ascii="宋体" w:hAnsi="宋体"/>
          <w:color w:val="auto"/>
          <w:sz w:val="24"/>
          <w:highlight w:val="none"/>
        </w:rPr>
        <w:t>响应文件</w:t>
      </w:r>
      <w:r>
        <w:rPr>
          <w:rFonts w:ascii="宋体" w:hAnsi="宋体"/>
          <w:color w:val="auto"/>
          <w:sz w:val="24"/>
          <w:highlight w:val="none"/>
        </w:rPr>
        <w:t>满足</w:t>
      </w:r>
      <w:r>
        <w:rPr>
          <w:rFonts w:hint="eastAsia" w:ascii="宋体" w:hAnsi="宋体"/>
          <w:color w:val="auto"/>
          <w:sz w:val="24"/>
          <w:highlight w:val="none"/>
        </w:rPr>
        <w:t>比选文件</w:t>
      </w:r>
      <w:r>
        <w:rPr>
          <w:rFonts w:ascii="宋体" w:hAnsi="宋体"/>
          <w:color w:val="auto"/>
          <w:sz w:val="24"/>
          <w:highlight w:val="none"/>
        </w:rPr>
        <w:t>全部实质性要求且</w:t>
      </w:r>
      <w:r>
        <w:rPr>
          <w:rFonts w:hint="eastAsia" w:ascii="宋体" w:hAnsi="宋体"/>
          <w:color w:val="auto"/>
          <w:sz w:val="24"/>
          <w:highlight w:val="none"/>
        </w:rPr>
        <w:t>响应</w:t>
      </w:r>
      <w:r>
        <w:rPr>
          <w:rFonts w:ascii="宋体" w:hAnsi="宋体"/>
          <w:color w:val="auto"/>
          <w:sz w:val="24"/>
          <w:highlight w:val="none"/>
        </w:rPr>
        <w:t>报价最低的</w:t>
      </w:r>
      <w:r>
        <w:rPr>
          <w:rFonts w:hint="eastAsia" w:ascii="宋体" w:hAnsi="宋体"/>
          <w:color w:val="auto"/>
          <w:sz w:val="24"/>
          <w:highlight w:val="none"/>
        </w:rPr>
        <w:t>供应商</w:t>
      </w:r>
      <w:r>
        <w:rPr>
          <w:rFonts w:ascii="宋体" w:hAnsi="宋体"/>
          <w:color w:val="auto"/>
          <w:sz w:val="24"/>
          <w:highlight w:val="none"/>
        </w:rPr>
        <w:t>为排名第一的</w:t>
      </w:r>
      <w:r>
        <w:rPr>
          <w:rFonts w:hint="eastAsia" w:ascii="宋体" w:hAnsi="宋体"/>
          <w:color w:val="auto"/>
          <w:sz w:val="24"/>
          <w:highlight w:val="none"/>
        </w:rPr>
        <w:t>成交</w:t>
      </w:r>
      <w:r>
        <w:rPr>
          <w:rFonts w:ascii="宋体" w:hAnsi="宋体"/>
          <w:color w:val="auto"/>
          <w:sz w:val="24"/>
          <w:highlight w:val="none"/>
        </w:rPr>
        <w:t>候选人。</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评标委员会要对评分汇总情况进行复核，特别是对排名第一的、报价最低的、</w:t>
      </w:r>
      <w:r>
        <w:rPr>
          <w:rFonts w:hint="eastAsia" w:ascii="宋体" w:hAnsi="宋体"/>
          <w:color w:val="auto"/>
          <w:sz w:val="24"/>
          <w:highlight w:val="none"/>
        </w:rPr>
        <w:t>响应</w:t>
      </w:r>
      <w:r>
        <w:rPr>
          <w:rFonts w:ascii="宋体" w:hAnsi="宋体"/>
          <w:color w:val="auto"/>
          <w:sz w:val="24"/>
          <w:highlight w:val="none"/>
        </w:rPr>
        <w:t>或</w:t>
      </w:r>
      <w:r>
        <w:rPr>
          <w:rFonts w:hint="eastAsia" w:ascii="宋体" w:hAnsi="宋体"/>
          <w:color w:val="auto"/>
          <w:sz w:val="24"/>
          <w:highlight w:val="none"/>
        </w:rPr>
        <w:t>响应文件</w:t>
      </w:r>
      <w:r>
        <w:rPr>
          <w:rFonts w:ascii="宋体" w:hAnsi="宋体"/>
          <w:color w:val="auto"/>
          <w:sz w:val="24"/>
          <w:highlight w:val="none"/>
        </w:rPr>
        <w:t>被认定为无效的情形进行重点复核。</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评标委员会将根据各</w:t>
      </w:r>
      <w:r>
        <w:rPr>
          <w:rFonts w:hint="eastAsia" w:ascii="宋体" w:hAnsi="宋体"/>
          <w:color w:val="auto"/>
          <w:sz w:val="24"/>
          <w:highlight w:val="none"/>
        </w:rPr>
        <w:t>供应商</w:t>
      </w:r>
      <w:r>
        <w:rPr>
          <w:rFonts w:ascii="宋体" w:hAnsi="宋体"/>
          <w:color w:val="auto"/>
          <w:sz w:val="24"/>
          <w:highlight w:val="none"/>
        </w:rPr>
        <w:t>的评标排序，依次推荐本项目（</w:t>
      </w:r>
      <w:r>
        <w:rPr>
          <w:rFonts w:hint="eastAsia" w:ascii="宋体" w:hAnsi="宋体"/>
          <w:color w:val="auto"/>
          <w:sz w:val="24"/>
          <w:highlight w:val="none"/>
        </w:rPr>
        <w:t>各</w:t>
      </w:r>
      <w:r>
        <w:rPr>
          <w:rFonts w:ascii="宋体" w:hAnsi="宋体"/>
          <w:color w:val="auto"/>
          <w:sz w:val="24"/>
          <w:highlight w:val="none"/>
        </w:rPr>
        <w:t>采购包）的</w:t>
      </w:r>
      <w:r>
        <w:rPr>
          <w:rFonts w:hint="eastAsia" w:ascii="宋体" w:hAnsi="宋体"/>
          <w:color w:val="auto"/>
          <w:sz w:val="24"/>
          <w:highlight w:val="none"/>
        </w:rPr>
        <w:t>成交</w:t>
      </w:r>
      <w:r>
        <w:rPr>
          <w:rFonts w:ascii="宋体" w:hAnsi="宋体"/>
          <w:color w:val="auto"/>
          <w:sz w:val="24"/>
          <w:highlight w:val="none"/>
        </w:rPr>
        <w:t>候选人，起草并签署评标报告。本项目（</w:t>
      </w:r>
      <w:r>
        <w:rPr>
          <w:rFonts w:hint="eastAsia" w:ascii="宋体" w:hAnsi="宋体"/>
          <w:color w:val="auto"/>
          <w:sz w:val="24"/>
          <w:highlight w:val="none"/>
        </w:rPr>
        <w:t>各</w:t>
      </w:r>
      <w:r>
        <w:rPr>
          <w:rFonts w:ascii="宋体" w:hAnsi="宋体"/>
          <w:color w:val="auto"/>
          <w:sz w:val="24"/>
          <w:highlight w:val="none"/>
        </w:rPr>
        <w:t>采购包）评标委员会共（各）推荐</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3 </w:t>
      </w:r>
      <w:r>
        <w:rPr>
          <w:rFonts w:ascii="宋体" w:hAnsi="宋体"/>
          <w:color w:val="auto"/>
          <w:sz w:val="24"/>
          <w:highlight w:val="none"/>
        </w:rPr>
        <w:t>名</w:t>
      </w:r>
      <w:r>
        <w:rPr>
          <w:rFonts w:hint="eastAsia" w:ascii="宋体" w:hAnsi="宋体"/>
          <w:color w:val="auto"/>
          <w:sz w:val="24"/>
          <w:highlight w:val="none"/>
        </w:rPr>
        <w:t>成交</w:t>
      </w:r>
      <w:r>
        <w:rPr>
          <w:rFonts w:ascii="宋体" w:hAnsi="宋体"/>
          <w:color w:val="auto"/>
          <w:sz w:val="24"/>
          <w:highlight w:val="none"/>
        </w:rPr>
        <w:t>候选人。</w:t>
      </w:r>
    </w:p>
    <w:p>
      <w:pPr>
        <w:numPr>
          <w:ilvl w:val="0"/>
          <w:numId w:val="1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报告违法行为</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评标委员会在评标过程中发现</w:t>
      </w:r>
      <w:r>
        <w:rPr>
          <w:rFonts w:hint="eastAsia" w:ascii="宋体" w:hAnsi="宋体"/>
          <w:color w:val="auto"/>
          <w:sz w:val="24"/>
          <w:highlight w:val="none"/>
        </w:rPr>
        <w:t>供应商</w:t>
      </w:r>
      <w:r>
        <w:rPr>
          <w:rFonts w:ascii="宋体" w:hAnsi="宋体"/>
          <w:color w:val="auto"/>
          <w:sz w:val="24"/>
          <w:highlight w:val="none"/>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color w:val="auto"/>
          <w:sz w:val="24"/>
          <w:highlight w:val="none"/>
        </w:rPr>
      </w:pPr>
      <w:r>
        <w:rPr>
          <w:rFonts w:hint="eastAsia" w:ascii="宋体" w:hAnsi="宋体"/>
          <w:color w:val="auto"/>
          <w:sz w:val="24"/>
          <w:highlight w:val="none"/>
        </w:rPr>
        <w:t>评标报告</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color w:val="auto"/>
          <w:sz w:val="24"/>
          <w:highlight w:val="none"/>
        </w:rPr>
      </w:pPr>
      <w:r>
        <w:rPr>
          <w:rFonts w:hint="eastAsia" w:ascii="宋体" w:hAnsi="宋体"/>
          <w:color w:val="auto"/>
          <w:sz w:val="24"/>
          <w:highlight w:val="none"/>
        </w:rPr>
        <w:t>修改评标结果</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color w:val="auto"/>
          <w:sz w:val="24"/>
          <w:highlight w:val="none"/>
        </w:rPr>
      </w:pPr>
      <w:r>
        <w:rPr>
          <w:rFonts w:hint="eastAsia" w:hAnsi="宋体" w:cs="Arial"/>
          <w:color w:val="auto"/>
          <w:kern w:val="0"/>
          <w:sz w:val="24"/>
          <w:highlight w:val="none"/>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color w:val="auto"/>
          <w:sz w:val="24"/>
          <w:highlight w:val="none"/>
        </w:rPr>
      </w:pPr>
      <w:r>
        <w:rPr>
          <w:rFonts w:hint="eastAsia" w:ascii="宋体" w:hAnsi="宋体"/>
          <w:color w:val="auto"/>
          <w:sz w:val="24"/>
          <w:highlight w:val="none"/>
        </w:rPr>
        <w:t>停止评标及招标终止</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color w:val="auto"/>
          <w:sz w:val="24"/>
          <w:highlight w:val="none"/>
        </w:rPr>
      </w:pPr>
      <w:r>
        <w:rPr>
          <w:rFonts w:ascii="宋体" w:hAnsi="宋体"/>
          <w:b/>
          <w:color w:val="auto"/>
          <w:sz w:val="24"/>
          <w:highlight w:val="none"/>
        </w:rPr>
        <w:br w:type="page"/>
      </w:r>
    </w:p>
    <w:p>
      <w:pPr>
        <w:tabs>
          <w:tab w:val="left" w:pos="360"/>
          <w:tab w:val="left" w:pos="900"/>
        </w:tabs>
        <w:snapToGrid w:val="0"/>
        <w:spacing w:line="360" w:lineRule="auto"/>
        <w:jc w:val="center"/>
        <w:outlineLvl w:val="1"/>
        <w:rPr>
          <w:rFonts w:ascii="宋体" w:hAnsi="宋体"/>
          <w:b/>
          <w:color w:val="auto"/>
          <w:sz w:val="24"/>
          <w:highlight w:val="none"/>
        </w:rPr>
      </w:pPr>
      <w:r>
        <w:rPr>
          <w:rFonts w:ascii="宋体" w:hAnsi="宋体"/>
          <w:b/>
          <w:color w:val="auto"/>
          <w:sz w:val="24"/>
          <w:highlight w:val="none"/>
        </w:rPr>
        <w:t>二、评标标准</w:t>
      </w:r>
    </w:p>
    <w:tbl>
      <w:tblPr>
        <w:tblStyle w:val="40"/>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9"/>
        <w:gridCol w:w="567"/>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65" w:type="dxa"/>
            <w:vAlign w:val="center"/>
          </w:tcPr>
          <w:p>
            <w:pPr>
              <w:snapToGrid w:val="0"/>
              <w:spacing w:line="0" w:lineRule="atLeast"/>
              <w:jc w:val="center"/>
              <w:rPr>
                <w:rFonts w:ascii="宋体" w:hAnsi="宋体"/>
                <w:b/>
                <w:color w:val="auto"/>
                <w:sz w:val="18"/>
                <w:szCs w:val="18"/>
                <w:highlight w:val="none"/>
              </w:rPr>
            </w:pPr>
            <w:r>
              <w:rPr>
                <w:rFonts w:hint="eastAsia" w:ascii="宋体" w:hAnsi="宋体"/>
                <w:b/>
                <w:color w:val="auto"/>
                <w:sz w:val="18"/>
                <w:szCs w:val="18"/>
                <w:highlight w:val="none"/>
              </w:rPr>
              <w:t>项目</w:t>
            </w:r>
          </w:p>
        </w:tc>
        <w:tc>
          <w:tcPr>
            <w:tcW w:w="1559" w:type="dxa"/>
            <w:vAlign w:val="center"/>
          </w:tcPr>
          <w:p>
            <w:pPr>
              <w:snapToGrid w:val="0"/>
              <w:spacing w:line="0" w:lineRule="atLeast"/>
              <w:jc w:val="center"/>
              <w:rPr>
                <w:rFonts w:ascii="宋体" w:hAnsi="宋体"/>
                <w:b/>
                <w:color w:val="auto"/>
                <w:sz w:val="18"/>
                <w:szCs w:val="18"/>
                <w:highlight w:val="none"/>
              </w:rPr>
            </w:pPr>
            <w:r>
              <w:rPr>
                <w:rFonts w:hint="eastAsia" w:ascii="宋体" w:hAnsi="宋体"/>
                <w:b/>
                <w:color w:val="auto"/>
                <w:sz w:val="18"/>
                <w:szCs w:val="18"/>
                <w:highlight w:val="none"/>
              </w:rPr>
              <w:t>评审因素</w:t>
            </w:r>
          </w:p>
        </w:tc>
        <w:tc>
          <w:tcPr>
            <w:tcW w:w="567" w:type="dxa"/>
            <w:vAlign w:val="center"/>
          </w:tcPr>
          <w:p>
            <w:pPr>
              <w:snapToGrid w:val="0"/>
              <w:spacing w:line="0" w:lineRule="atLeast"/>
              <w:jc w:val="center"/>
              <w:rPr>
                <w:rFonts w:ascii="宋体" w:hAnsi="宋体"/>
                <w:b/>
                <w:color w:val="auto"/>
                <w:sz w:val="18"/>
                <w:szCs w:val="18"/>
                <w:highlight w:val="none"/>
              </w:rPr>
            </w:pPr>
            <w:r>
              <w:rPr>
                <w:rFonts w:hint="eastAsia" w:ascii="宋体" w:hAnsi="宋体"/>
                <w:b/>
                <w:color w:val="auto"/>
                <w:sz w:val="18"/>
                <w:szCs w:val="18"/>
                <w:highlight w:val="none"/>
              </w:rPr>
              <w:t>分值</w:t>
            </w:r>
          </w:p>
        </w:tc>
        <w:tc>
          <w:tcPr>
            <w:tcW w:w="6682" w:type="dxa"/>
            <w:vAlign w:val="center"/>
          </w:tcPr>
          <w:p>
            <w:pPr>
              <w:snapToGrid w:val="0"/>
              <w:spacing w:line="0" w:lineRule="atLeast"/>
              <w:jc w:val="center"/>
              <w:rPr>
                <w:rFonts w:ascii="宋体" w:hAnsi="宋体"/>
                <w:b/>
                <w:color w:val="auto"/>
                <w:sz w:val="18"/>
                <w:szCs w:val="18"/>
                <w:highlight w:val="none"/>
              </w:rPr>
            </w:pPr>
            <w:r>
              <w:rPr>
                <w:rFonts w:hint="eastAsia" w:ascii="宋体" w:hAnsi="宋体"/>
                <w:b/>
                <w:color w:val="auto"/>
                <w:sz w:val="18"/>
                <w:szCs w:val="18"/>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65" w:type="dxa"/>
            <w:vMerge w:val="restart"/>
            <w:vAlign w:val="center"/>
          </w:tcPr>
          <w:p>
            <w:pPr>
              <w:rPr>
                <w:rFonts w:ascii="宋体" w:hAnsi="宋体"/>
                <w:color w:val="auto"/>
                <w:sz w:val="18"/>
                <w:szCs w:val="18"/>
                <w:highlight w:val="none"/>
              </w:rPr>
            </w:pPr>
            <w:r>
              <w:rPr>
                <w:rFonts w:hint="eastAsia" w:ascii="宋体" w:hAnsi="宋体"/>
                <w:color w:val="auto"/>
                <w:sz w:val="18"/>
                <w:szCs w:val="18"/>
                <w:highlight w:val="none"/>
              </w:rPr>
              <w:t>商务部分（24分）</w:t>
            </w: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专业认证</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提供IS09001系列或GB</w:t>
            </w:r>
            <w:r>
              <w:rPr>
                <w:rFonts w:ascii="宋体" w:hAnsi="宋体" w:cs="宋体"/>
                <w:color w:val="auto"/>
                <w:sz w:val="18"/>
                <w:szCs w:val="18"/>
                <w:highlight w:val="none"/>
              </w:rPr>
              <w:t>/T19001</w:t>
            </w:r>
            <w:r>
              <w:rPr>
                <w:rFonts w:hint="eastAsia" w:ascii="宋体" w:hAnsi="宋体" w:cs="宋体"/>
                <w:color w:val="auto"/>
                <w:sz w:val="18"/>
                <w:szCs w:val="18"/>
                <w:highlight w:val="none"/>
              </w:rPr>
              <w:t>系列质量管理体系认证证书、GB/T24001系列或IS014001系列环境管理体系认证证书、GB/T45001系列或ISO45001系列职业健康安全管理体系认证证书</w:t>
            </w:r>
            <w:r>
              <w:rPr>
                <w:rFonts w:hint="eastAsia"/>
                <w:color w:val="auto"/>
                <w:sz w:val="18"/>
                <w:szCs w:val="18"/>
                <w:highlight w:val="none"/>
              </w:rPr>
              <w:t>、</w:t>
            </w:r>
            <w:r>
              <w:rPr>
                <w:rFonts w:hint="eastAsia" w:ascii="宋体" w:hAnsi="宋体" w:cs="宋体"/>
                <w:color w:val="auto"/>
                <w:sz w:val="18"/>
                <w:szCs w:val="18"/>
                <w:highlight w:val="none"/>
              </w:rPr>
              <w:t>安全生产标准化认证证书。一个证书得2分，本项最高得8分，缺一项不得分。（须提供证书复印件加盖公章，且认证证书必须在有效期内，否则不得分）。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pacing w:line="360" w:lineRule="exact"/>
              <w:jc w:val="center"/>
              <w:rPr>
                <w:rFonts w:ascii="宋体" w:hAnsi="宋体" w:cs="微软雅黑"/>
                <w:color w:val="auto"/>
                <w:sz w:val="18"/>
                <w:szCs w:val="18"/>
                <w:highlight w:val="none"/>
              </w:rPr>
            </w:pPr>
            <w:r>
              <w:rPr>
                <w:rFonts w:hint="eastAsia" w:ascii="宋体" w:hAnsi="宋体" w:cs="微软雅黑"/>
                <w:color w:val="auto"/>
                <w:sz w:val="18"/>
                <w:szCs w:val="18"/>
                <w:highlight w:val="none"/>
              </w:rPr>
              <w:t>响应</w:t>
            </w:r>
            <w:r>
              <w:rPr>
                <w:rFonts w:ascii="宋体" w:hAnsi="宋体" w:cs="微软雅黑"/>
                <w:color w:val="auto"/>
                <w:sz w:val="18"/>
                <w:szCs w:val="18"/>
                <w:highlight w:val="none"/>
              </w:rPr>
              <w:t>文件</w:t>
            </w:r>
          </w:p>
          <w:p>
            <w:pPr>
              <w:snapToGrid w:val="0"/>
              <w:spacing w:line="0" w:lineRule="atLeast"/>
              <w:jc w:val="center"/>
              <w:rPr>
                <w:rFonts w:ascii="宋体" w:hAnsi="宋体"/>
                <w:color w:val="auto"/>
                <w:sz w:val="18"/>
                <w:szCs w:val="18"/>
                <w:highlight w:val="none"/>
              </w:rPr>
            </w:pPr>
            <w:r>
              <w:rPr>
                <w:rFonts w:hint="eastAsia" w:ascii="宋体" w:hAnsi="宋体" w:cs="微软雅黑"/>
                <w:color w:val="auto"/>
                <w:sz w:val="18"/>
                <w:szCs w:val="18"/>
                <w:highlight w:val="none"/>
              </w:rPr>
              <w:t>完整性</w:t>
            </w:r>
          </w:p>
        </w:tc>
        <w:tc>
          <w:tcPr>
            <w:tcW w:w="567" w:type="dxa"/>
            <w:vAlign w:val="center"/>
          </w:tcPr>
          <w:p>
            <w:pPr>
              <w:spacing w:line="360" w:lineRule="exact"/>
              <w:jc w:val="center"/>
              <w:rPr>
                <w:rFonts w:ascii="宋体" w:hAnsi="宋体" w:cs="微软雅黑"/>
                <w:color w:val="auto"/>
                <w:sz w:val="18"/>
                <w:szCs w:val="18"/>
                <w:highlight w:val="none"/>
              </w:rPr>
            </w:pPr>
            <w:r>
              <w:rPr>
                <w:rFonts w:hint="eastAsia" w:ascii="宋体" w:hAnsi="宋体" w:cs="微软雅黑"/>
                <w:color w:val="auto"/>
                <w:sz w:val="18"/>
                <w:szCs w:val="18"/>
                <w:highlight w:val="none"/>
              </w:rPr>
              <w:t>4</w:t>
            </w:r>
          </w:p>
        </w:tc>
        <w:tc>
          <w:tcPr>
            <w:tcW w:w="6682" w:type="dxa"/>
            <w:vAlign w:val="center"/>
          </w:tcPr>
          <w:p>
            <w:pPr>
              <w:spacing w:line="360" w:lineRule="exact"/>
              <w:rPr>
                <w:rFonts w:ascii="宋体" w:hAnsi="宋体" w:cs="微软雅黑"/>
                <w:color w:val="auto"/>
                <w:sz w:val="18"/>
                <w:szCs w:val="18"/>
                <w:highlight w:val="none"/>
              </w:rPr>
            </w:pPr>
            <w:r>
              <w:rPr>
                <w:rFonts w:hint="eastAsia" w:ascii="宋体" w:hAnsi="宋体" w:cs="微软雅黑"/>
                <w:color w:val="auto"/>
                <w:sz w:val="18"/>
                <w:szCs w:val="18"/>
                <w:highlight w:val="none"/>
              </w:rPr>
              <w:t>完全响应招标文件且无负偏离，得4</w:t>
            </w:r>
            <w:r>
              <w:rPr>
                <w:rFonts w:ascii="宋体" w:hAnsi="宋体" w:cs="微软雅黑"/>
                <w:color w:val="auto"/>
                <w:sz w:val="18"/>
                <w:szCs w:val="18"/>
                <w:highlight w:val="none"/>
              </w:rPr>
              <w:t>分，每有一项</w:t>
            </w:r>
            <w:r>
              <w:rPr>
                <w:rFonts w:hint="eastAsia" w:ascii="宋体" w:hAnsi="宋体" w:cs="微软雅黑"/>
                <w:color w:val="auto"/>
                <w:sz w:val="18"/>
                <w:szCs w:val="18"/>
                <w:highlight w:val="none"/>
              </w:rPr>
              <w:t>非实质性</w:t>
            </w:r>
            <w:r>
              <w:rPr>
                <w:rFonts w:ascii="宋体" w:hAnsi="宋体" w:cs="微软雅黑"/>
                <w:color w:val="auto"/>
                <w:sz w:val="18"/>
                <w:szCs w:val="18"/>
                <w:highlight w:val="none"/>
              </w:rPr>
              <w:t>负偏离扣1分，最低0分。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2"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物业管理项目业绩</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近三年（2019年9月1日至今）非住宅类物业管理项目案例，同个案例不同合同期的只可计入一次。每个业绩3分，此项最高6分。</w:t>
            </w:r>
          </w:p>
          <w:p>
            <w:pPr>
              <w:rPr>
                <w:rFonts w:ascii="宋体" w:hAnsi="宋体" w:cs="宋体"/>
                <w:color w:val="auto"/>
                <w:sz w:val="18"/>
                <w:szCs w:val="18"/>
                <w:highlight w:val="none"/>
              </w:rPr>
            </w:pPr>
            <w:r>
              <w:rPr>
                <w:rFonts w:hint="eastAsia" w:ascii="宋体" w:hAnsi="宋体" w:cs="宋体"/>
                <w:color w:val="auto"/>
                <w:sz w:val="18"/>
                <w:szCs w:val="18"/>
                <w:highlight w:val="none"/>
              </w:rPr>
              <w:t>响应文件中须提供业绩合同复印件（合同复印件至少包括合同首页、金额页、双方签字盖章页）并加盖公章缺一不可，否则不得分。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color w:val="auto"/>
                <w:sz w:val="18"/>
                <w:szCs w:val="18"/>
                <w:highlight w:val="none"/>
              </w:rPr>
              <w:t>投标文件编制质量</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按照比选文件规定格式顺序编制，标记清晰准确、无错字、乱码等得1 分，每出现一处错误扣减 0.5 分，本项最低为 0 分；相关证件复印件正文部分内容清晰的得 1 分，每出现一个证件或其中一页不清晰扣减 0.5分，该项最低为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规章制度</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4</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报价人内部规章制度健全的得4分，基本健全的得2分，不健全或未提供的不得分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19" w:hRule="atLeast"/>
          <w:jc w:val="center"/>
        </w:trPr>
        <w:tc>
          <w:tcPr>
            <w:tcW w:w="765" w:type="dxa"/>
            <w:vMerge w:val="restart"/>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技术部分（66分）</w:t>
            </w: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人员配备</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1、本项目派驻的项目经理：</w:t>
            </w:r>
          </w:p>
          <w:p>
            <w:pPr>
              <w:rPr>
                <w:rFonts w:ascii="宋体" w:hAnsi="宋体" w:cs="宋体"/>
                <w:color w:val="auto"/>
                <w:sz w:val="18"/>
                <w:szCs w:val="18"/>
                <w:highlight w:val="none"/>
              </w:rPr>
            </w:pPr>
            <w:r>
              <w:rPr>
                <w:rFonts w:hint="eastAsia" w:ascii="宋体" w:hAnsi="宋体" w:cs="宋体"/>
                <w:color w:val="auto"/>
                <w:sz w:val="18"/>
                <w:szCs w:val="18"/>
                <w:highlight w:val="none"/>
              </w:rPr>
              <w:t>（1）项目经理45周岁（含）以下得2分；</w:t>
            </w:r>
          </w:p>
          <w:p>
            <w:pPr>
              <w:rPr>
                <w:rFonts w:ascii="宋体" w:hAnsi="宋体" w:cs="宋体"/>
                <w:color w:val="auto"/>
                <w:sz w:val="18"/>
                <w:szCs w:val="18"/>
                <w:highlight w:val="none"/>
              </w:rPr>
            </w:pPr>
            <w:r>
              <w:rPr>
                <w:rFonts w:hint="eastAsia" w:ascii="宋体" w:hAnsi="宋体" w:cs="宋体"/>
                <w:color w:val="auto"/>
                <w:sz w:val="18"/>
                <w:szCs w:val="18"/>
                <w:highlight w:val="none"/>
              </w:rPr>
              <w:t>（2）提供大专及以上学历证书复印件，得2分；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（3）提供物业项目经理经验证明资料复印件（提供所在服务单位工作履历证明），5年以上类似项目管理经验的得3分；3年≤经验＜5年的，得2分；1年≤经验＜3年的，得1分；经验＜1年的，得0分。</w:t>
            </w:r>
          </w:p>
          <w:p>
            <w:pPr>
              <w:ind w:left="405" w:leftChars="150" w:hanging="90" w:hangingChars="50"/>
              <w:rPr>
                <w:rFonts w:ascii="宋体" w:hAnsi="宋体" w:cs="宋体"/>
                <w:color w:val="auto"/>
                <w:sz w:val="18"/>
                <w:szCs w:val="18"/>
                <w:highlight w:val="none"/>
              </w:rPr>
            </w:pPr>
            <w:r>
              <w:rPr>
                <w:rFonts w:hint="eastAsia" w:ascii="宋体" w:hAnsi="宋体" w:cs="宋体"/>
                <w:color w:val="auto"/>
                <w:sz w:val="18"/>
                <w:szCs w:val="18"/>
                <w:highlight w:val="none"/>
              </w:rPr>
              <w:t>（备注：项目经理须提供在投标单位6个月内连续三个月的社保缴费证明，如有缺失本项得0分）</w:t>
            </w:r>
          </w:p>
          <w:p>
            <w:pPr>
              <w:rPr>
                <w:rFonts w:ascii="宋体" w:hAnsi="宋体" w:cs="宋体"/>
                <w:color w:val="auto"/>
                <w:sz w:val="18"/>
                <w:szCs w:val="18"/>
                <w:highlight w:val="none"/>
              </w:rPr>
            </w:pPr>
            <w:r>
              <w:rPr>
                <w:rFonts w:hint="eastAsia" w:ascii="宋体" w:hAnsi="宋体" w:cs="宋体"/>
                <w:color w:val="auto"/>
                <w:sz w:val="18"/>
                <w:szCs w:val="18"/>
                <w:highlight w:val="none"/>
              </w:rPr>
              <w:t>2、本项目派驻的物业服务人员情况：</w:t>
            </w:r>
          </w:p>
          <w:p>
            <w:pPr>
              <w:rPr>
                <w:rFonts w:ascii="宋体" w:hAnsi="宋体" w:cs="宋体"/>
                <w:color w:val="auto"/>
                <w:sz w:val="18"/>
                <w:szCs w:val="18"/>
                <w:highlight w:val="none"/>
              </w:rPr>
            </w:pPr>
            <w:r>
              <w:rPr>
                <w:rFonts w:hint="eastAsia" w:ascii="宋体" w:hAnsi="宋体" w:cs="宋体"/>
                <w:color w:val="auto"/>
                <w:sz w:val="18"/>
                <w:szCs w:val="18"/>
                <w:highlight w:val="none"/>
              </w:rPr>
              <w:t>（1）配置人员结构合理，专业齐全的得6分；</w:t>
            </w:r>
          </w:p>
          <w:p>
            <w:pPr>
              <w:rPr>
                <w:rFonts w:ascii="宋体" w:hAnsi="宋体" w:cs="宋体"/>
                <w:color w:val="auto"/>
                <w:sz w:val="18"/>
                <w:szCs w:val="18"/>
                <w:highlight w:val="none"/>
              </w:rPr>
            </w:pPr>
            <w:r>
              <w:rPr>
                <w:rFonts w:hint="eastAsia" w:ascii="宋体" w:hAnsi="宋体" w:cs="宋体"/>
                <w:color w:val="auto"/>
                <w:sz w:val="18"/>
                <w:szCs w:val="18"/>
                <w:highlight w:val="none"/>
              </w:rPr>
              <w:t>（2）配置人员结构较合理，专业较齐全得4分</w:t>
            </w:r>
          </w:p>
          <w:p>
            <w:pPr>
              <w:rPr>
                <w:rFonts w:ascii="宋体" w:hAnsi="宋体" w:cs="宋体"/>
                <w:color w:val="auto"/>
                <w:sz w:val="18"/>
                <w:szCs w:val="18"/>
                <w:highlight w:val="none"/>
              </w:rPr>
            </w:pPr>
            <w:r>
              <w:rPr>
                <w:rFonts w:hint="eastAsia" w:ascii="宋体" w:hAnsi="宋体" w:cs="宋体"/>
                <w:color w:val="auto"/>
                <w:sz w:val="18"/>
                <w:szCs w:val="18"/>
                <w:highlight w:val="none"/>
              </w:rPr>
              <w:t>（3）配置人员结构较合理，专业较一般得2分；</w:t>
            </w:r>
          </w:p>
          <w:p>
            <w:pPr>
              <w:rPr>
                <w:rFonts w:ascii="宋体" w:hAnsi="宋体" w:cs="宋体"/>
                <w:color w:val="auto"/>
                <w:sz w:val="18"/>
                <w:szCs w:val="18"/>
                <w:highlight w:val="none"/>
              </w:rPr>
            </w:pPr>
            <w:r>
              <w:rPr>
                <w:rFonts w:hint="eastAsia" w:ascii="宋体" w:hAnsi="宋体" w:cs="宋体"/>
                <w:color w:val="auto"/>
                <w:sz w:val="18"/>
                <w:szCs w:val="18"/>
                <w:highlight w:val="none"/>
              </w:rPr>
              <w:t>（4）配置人员结构较不合理，专业较差得1分；</w:t>
            </w:r>
          </w:p>
          <w:p>
            <w:pPr>
              <w:rPr>
                <w:rFonts w:ascii="宋体" w:hAnsi="宋体" w:cs="宋体"/>
                <w:color w:val="auto"/>
                <w:sz w:val="18"/>
                <w:szCs w:val="18"/>
                <w:highlight w:val="none"/>
              </w:rPr>
            </w:pPr>
            <w:r>
              <w:rPr>
                <w:rFonts w:hint="eastAsia" w:ascii="宋体" w:hAnsi="宋体" w:cs="宋体"/>
                <w:color w:val="auto"/>
                <w:sz w:val="18"/>
                <w:szCs w:val="18"/>
                <w:highlight w:val="none"/>
              </w:rPr>
              <w:t>（5）未提供的不得分。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日常服务方案</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20</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对各报价人针对本项目所提供的服务方案进行综合评审，服务方案内容包含但不限于以下内容：公共楼宇管理、维修服务、会议服务、秩序维护、安全管理、环境保洁。</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（1）合理性：科学合理5分，科学合理性一般得3分，科学合理性较差得1分，未提供方案得0分；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（2）针对性：针对性强，符合项目需要</w:t>
            </w:r>
            <w:r>
              <w:rPr>
                <w:rFonts w:ascii="宋体" w:hAnsi="宋体" w:cs="宋体"/>
                <w:color w:val="auto"/>
                <w:sz w:val="18"/>
                <w:szCs w:val="18"/>
                <w:highlight w:val="none"/>
              </w:rPr>
              <w:t>5</w:t>
            </w:r>
            <w:r>
              <w:rPr>
                <w:rFonts w:hint="eastAsia" w:ascii="宋体" w:hAnsi="宋体" w:cs="宋体"/>
                <w:color w:val="auto"/>
                <w:sz w:val="18"/>
                <w:szCs w:val="18"/>
                <w:highlight w:val="none"/>
              </w:rPr>
              <w:t>分，针对性一般3分，针对性较差得1分，未提供方案得0分；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（3）全面性：全面细化5分，全面度一般3分，内容不细化1分，未提供相方案得0分；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（4）可实施性：可实施性强，匹配现场情况5分，可实施度一般3分，可实施度差1分，未提供方案0分。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针对本项目日常运行、法定假日、寒暑假、突发公共事件应急预案</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6682" w:type="dxa"/>
            <w:vAlign w:val="center"/>
          </w:tcPr>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（1）报价人提供的应急预案科学全面，可操作性强，适合采购人的特点，得6分；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（2）报价人提供的应急预案较为全面，有一定可操作性，部分适合采购人的需求，得4分；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（3）报价人提供的应急预案基本全面，可操作性一般得2分；</w:t>
            </w:r>
          </w:p>
          <w:p>
            <w:pPr>
              <w:rPr>
                <w:rFonts w:ascii="宋体" w:hAnsi="宋体" w:cs="宋体"/>
                <w:color w:val="auto"/>
                <w:sz w:val="18"/>
                <w:szCs w:val="18"/>
                <w:highlight w:val="none"/>
              </w:rPr>
            </w:pPr>
            <w:r>
              <w:rPr>
                <w:rFonts w:hint="eastAsia" w:ascii="宋体" w:hAnsi="宋体" w:cs="宋体"/>
                <w:color w:val="auto"/>
                <w:sz w:val="18"/>
                <w:szCs w:val="18"/>
                <w:highlight w:val="none"/>
              </w:rPr>
              <w:t>（4）报价人提供的应急预案过于简单，得1分。</w:t>
            </w:r>
          </w:p>
          <w:p>
            <w:pPr>
              <w:rPr>
                <w:rFonts w:ascii="宋体" w:hAnsi="宋体" w:cs="宋体"/>
                <w:color w:val="auto"/>
                <w:sz w:val="18"/>
                <w:szCs w:val="18"/>
                <w:highlight w:val="none"/>
              </w:rPr>
            </w:pPr>
            <w:r>
              <w:rPr>
                <w:rFonts w:hint="eastAsia" w:ascii="宋体" w:hAnsi="宋体" w:cs="宋体"/>
                <w:color w:val="auto"/>
                <w:sz w:val="18"/>
                <w:szCs w:val="18"/>
                <w:highlight w:val="none"/>
              </w:rPr>
              <w:t>（5）没有不得分。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接管验收方案</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6682" w:type="dxa"/>
            <w:vAlign w:val="center"/>
          </w:tcPr>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接管和进驻方案：</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（1）方案制定科学合理，针对性强得8分；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（2）方案制定较科学合理，有一定针对性得5分；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（3）方案制定不够科学合理，针对性一般得3分；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（4）方案制定不符合本项目特点，缺少针对性得1分。</w:t>
            </w:r>
          </w:p>
          <w:p>
            <w:pPr>
              <w:ind w:left="450" w:hanging="450" w:hangingChars="250"/>
              <w:rPr>
                <w:rFonts w:ascii="宋体" w:hAnsi="宋体" w:cs="宋体"/>
                <w:color w:val="auto"/>
                <w:sz w:val="18"/>
                <w:szCs w:val="18"/>
                <w:highlight w:val="none"/>
              </w:rPr>
            </w:pPr>
            <w:r>
              <w:rPr>
                <w:rFonts w:hint="eastAsia" w:ascii="宋体" w:hAnsi="宋体" w:cs="宋体"/>
                <w:color w:val="auto"/>
                <w:sz w:val="18"/>
                <w:szCs w:val="18"/>
                <w:highlight w:val="none"/>
              </w:rPr>
              <w:t>（5）方案制定不合理，无针对性，内容不全面得0分。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员工培训考核方案</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针对本项目的员工培训、考核及奖惩方案：</w:t>
            </w:r>
          </w:p>
          <w:p>
            <w:pPr>
              <w:rPr>
                <w:rFonts w:ascii="宋体" w:hAnsi="宋体" w:cs="宋体"/>
                <w:color w:val="auto"/>
                <w:sz w:val="18"/>
                <w:szCs w:val="18"/>
                <w:highlight w:val="none"/>
              </w:rPr>
            </w:pPr>
            <w:r>
              <w:rPr>
                <w:rFonts w:hint="eastAsia" w:ascii="宋体" w:hAnsi="宋体" w:cs="宋体"/>
                <w:color w:val="auto"/>
                <w:sz w:val="18"/>
                <w:szCs w:val="18"/>
                <w:highlight w:val="none"/>
              </w:rPr>
              <w:t>（1）机制合理、全面，针对性、操作性强得5分；</w:t>
            </w:r>
          </w:p>
          <w:p>
            <w:pPr>
              <w:rPr>
                <w:rFonts w:ascii="宋体" w:hAnsi="宋体" w:cs="宋体"/>
                <w:color w:val="auto"/>
                <w:sz w:val="18"/>
                <w:szCs w:val="18"/>
                <w:highlight w:val="none"/>
              </w:rPr>
            </w:pPr>
            <w:r>
              <w:rPr>
                <w:rFonts w:hint="eastAsia" w:ascii="宋体" w:hAnsi="宋体" w:cs="宋体"/>
                <w:color w:val="auto"/>
                <w:sz w:val="18"/>
                <w:szCs w:val="18"/>
                <w:highlight w:val="none"/>
              </w:rPr>
              <w:t>（2）机制可行、较全面，针对性和操作性较强得3分；</w:t>
            </w:r>
          </w:p>
          <w:p>
            <w:pPr>
              <w:rPr>
                <w:rFonts w:ascii="宋体" w:hAnsi="宋体" w:cs="宋体"/>
                <w:color w:val="auto"/>
                <w:sz w:val="18"/>
                <w:szCs w:val="18"/>
                <w:highlight w:val="none"/>
              </w:rPr>
            </w:pPr>
            <w:r>
              <w:rPr>
                <w:rFonts w:hint="eastAsia" w:ascii="宋体" w:hAnsi="宋体" w:cs="宋体"/>
                <w:color w:val="auto"/>
                <w:sz w:val="18"/>
                <w:szCs w:val="18"/>
                <w:highlight w:val="none"/>
              </w:rPr>
              <w:t>（3）机制欠合理，针对性、操作性一般且内容不够全面得1分；</w:t>
            </w:r>
          </w:p>
          <w:p>
            <w:pPr>
              <w:rPr>
                <w:rFonts w:ascii="宋体" w:hAnsi="宋体" w:cs="宋体"/>
                <w:color w:val="auto"/>
                <w:sz w:val="18"/>
                <w:szCs w:val="18"/>
                <w:highlight w:val="none"/>
              </w:rPr>
            </w:pPr>
            <w:r>
              <w:rPr>
                <w:rFonts w:hint="eastAsia" w:ascii="宋体" w:hAnsi="宋体" w:cs="宋体"/>
                <w:color w:val="auto"/>
                <w:sz w:val="18"/>
                <w:szCs w:val="18"/>
                <w:highlight w:val="none"/>
              </w:rPr>
              <w:t>（4）机制不合理，无针对性，内容不全面得0分。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服务质量保证机制</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制定行之有效的服务质量监督检查机制：</w:t>
            </w:r>
          </w:p>
          <w:p>
            <w:pPr>
              <w:numPr>
                <w:ilvl w:val="0"/>
                <w:numId w:val="11"/>
              </w:numPr>
              <w:rPr>
                <w:rFonts w:ascii="宋体" w:hAnsi="宋体" w:cs="宋体"/>
                <w:color w:val="auto"/>
                <w:sz w:val="18"/>
                <w:szCs w:val="18"/>
                <w:highlight w:val="none"/>
              </w:rPr>
            </w:pPr>
            <w:r>
              <w:rPr>
                <w:rFonts w:hint="eastAsia" w:ascii="宋体" w:hAnsi="宋体" w:cs="宋体"/>
                <w:color w:val="auto"/>
                <w:sz w:val="18"/>
                <w:szCs w:val="18"/>
                <w:highlight w:val="none"/>
              </w:rPr>
              <w:t>措施可行、合理有量化的检查标准得5分；</w:t>
            </w:r>
          </w:p>
          <w:p>
            <w:pPr>
              <w:numPr>
                <w:ilvl w:val="0"/>
                <w:numId w:val="11"/>
              </w:numPr>
              <w:rPr>
                <w:rFonts w:ascii="宋体" w:hAnsi="宋体" w:cs="宋体"/>
                <w:color w:val="auto"/>
                <w:sz w:val="18"/>
                <w:szCs w:val="18"/>
                <w:highlight w:val="none"/>
              </w:rPr>
            </w:pPr>
            <w:r>
              <w:rPr>
                <w:rFonts w:hint="eastAsia" w:ascii="宋体" w:hAnsi="宋体" w:cs="宋体"/>
                <w:color w:val="auto"/>
                <w:sz w:val="18"/>
                <w:szCs w:val="18"/>
                <w:highlight w:val="none"/>
              </w:rPr>
              <w:t>措施基本符合要求，缺乏针对性得3分；</w:t>
            </w:r>
          </w:p>
          <w:p>
            <w:pPr>
              <w:numPr>
                <w:ilvl w:val="0"/>
                <w:numId w:val="11"/>
              </w:numPr>
              <w:rPr>
                <w:rFonts w:ascii="宋体" w:hAnsi="宋体" w:cs="宋体"/>
                <w:color w:val="auto"/>
                <w:sz w:val="18"/>
                <w:szCs w:val="18"/>
                <w:highlight w:val="none"/>
              </w:rPr>
            </w:pPr>
            <w:r>
              <w:rPr>
                <w:rFonts w:hint="eastAsia" w:ascii="宋体" w:hAnsi="宋体" w:cs="宋体"/>
                <w:color w:val="auto"/>
                <w:sz w:val="18"/>
                <w:szCs w:val="18"/>
                <w:highlight w:val="none"/>
              </w:rPr>
              <w:t>措施欠合理，可行性较差得1分；</w:t>
            </w:r>
          </w:p>
          <w:p>
            <w:pPr>
              <w:numPr>
                <w:ilvl w:val="0"/>
                <w:numId w:val="11"/>
              </w:numPr>
              <w:rPr>
                <w:rFonts w:ascii="宋体" w:hAnsi="宋体" w:cs="宋体"/>
                <w:color w:val="auto"/>
                <w:sz w:val="18"/>
                <w:szCs w:val="18"/>
                <w:highlight w:val="none"/>
              </w:rPr>
            </w:pPr>
            <w:r>
              <w:rPr>
                <w:rFonts w:hint="eastAsia" w:ascii="宋体" w:hAnsi="宋体" w:cs="宋体"/>
                <w:color w:val="auto"/>
                <w:sz w:val="18"/>
                <w:szCs w:val="18"/>
                <w:highlight w:val="none"/>
              </w:rPr>
              <w:t>无服务质量保证机制的得0分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0"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节能降耗</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6682" w:type="dxa"/>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结合学校实际制定详细的节能降耗方案。方案科学、合理、可行得3分，方案不具有针对性，得2分，可行性较差得1分，无方案不得分。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765" w:type="dxa"/>
            <w:vMerge w:val="continue"/>
            <w:vAlign w:val="center"/>
          </w:tcPr>
          <w:p>
            <w:pPr>
              <w:snapToGrid w:val="0"/>
              <w:spacing w:line="0" w:lineRule="atLeast"/>
              <w:jc w:val="center"/>
              <w:rPr>
                <w:rFonts w:ascii="宋体" w:hAnsi="宋体"/>
                <w:color w:val="auto"/>
                <w:sz w:val="18"/>
                <w:szCs w:val="18"/>
                <w:highlight w:val="none"/>
              </w:rPr>
            </w:pPr>
          </w:p>
        </w:tc>
        <w:tc>
          <w:tcPr>
            <w:tcW w:w="1559"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雅思考试</w:t>
            </w:r>
          </w:p>
        </w:tc>
        <w:tc>
          <w:tcPr>
            <w:tcW w:w="567"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6682" w:type="dxa"/>
            <w:vAlign w:val="center"/>
          </w:tcPr>
          <w:p>
            <w:pPr>
              <w:numPr>
                <w:ilvl w:val="0"/>
                <w:numId w:val="12"/>
              </w:numPr>
              <w:rPr>
                <w:color w:val="auto"/>
                <w:sz w:val="18"/>
                <w:szCs w:val="18"/>
                <w:highlight w:val="none"/>
              </w:rPr>
            </w:pPr>
            <w:r>
              <w:rPr>
                <w:rFonts w:hint="eastAsia"/>
                <w:color w:val="auto"/>
                <w:sz w:val="18"/>
                <w:szCs w:val="18"/>
                <w:highlight w:val="none"/>
              </w:rPr>
              <w:t>雅思考试服务方案，服务流程符合要求，作业流程详细、科学、标准，质量保证措施详实，得6分；</w:t>
            </w:r>
          </w:p>
          <w:p>
            <w:pPr>
              <w:numPr>
                <w:ilvl w:val="0"/>
                <w:numId w:val="12"/>
              </w:numPr>
              <w:rPr>
                <w:color w:val="auto"/>
                <w:sz w:val="18"/>
                <w:szCs w:val="18"/>
                <w:highlight w:val="none"/>
              </w:rPr>
            </w:pPr>
            <w:r>
              <w:rPr>
                <w:rFonts w:hint="eastAsia"/>
                <w:color w:val="auto"/>
                <w:sz w:val="18"/>
                <w:szCs w:val="18"/>
                <w:highlight w:val="none"/>
              </w:rPr>
              <w:t>雅思考试服务方案，服务流程较符合要求，质量保证措施比较完整，得4分；</w:t>
            </w:r>
          </w:p>
          <w:p>
            <w:pPr>
              <w:pStyle w:val="39"/>
              <w:numPr>
                <w:ilvl w:val="0"/>
                <w:numId w:val="12"/>
              </w:numPr>
              <w:ind w:leftChars="0" w:firstLineChars="0"/>
              <w:rPr>
                <w:color w:val="auto"/>
                <w:sz w:val="18"/>
                <w:szCs w:val="18"/>
                <w:highlight w:val="none"/>
              </w:rPr>
            </w:pPr>
            <w:r>
              <w:rPr>
                <w:rFonts w:hint="eastAsia"/>
                <w:color w:val="auto"/>
                <w:sz w:val="18"/>
                <w:szCs w:val="18"/>
                <w:highlight w:val="none"/>
              </w:rPr>
              <w:t>雅思考试服务方案，服务流程科学度一般，服务流程不完全符合要求，保证措施力度一般，得2分；</w:t>
            </w:r>
          </w:p>
          <w:p>
            <w:pPr>
              <w:numPr>
                <w:ilvl w:val="0"/>
                <w:numId w:val="12"/>
              </w:numPr>
              <w:rPr>
                <w:color w:val="auto"/>
                <w:sz w:val="18"/>
                <w:szCs w:val="18"/>
                <w:highlight w:val="none"/>
              </w:rPr>
            </w:pPr>
            <w:r>
              <w:rPr>
                <w:rFonts w:hint="eastAsia"/>
                <w:color w:val="auto"/>
                <w:sz w:val="18"/>
                <w:szCs w:val="18"/>
                <w:highlight w:val="none"/>
              </w:rPr>
              <w:t>雅思考试服务方案，服务流程不符合要求，缺乏针对性，得1分。</w:t>
            </w:r>
          </w:p>
          <w:p>
            <w:pPr>
              <w:pStyle w:val="39"/>
              <w:numPr>
                <w:ilvl w:val="0"/>
                <w:numId w:val="12"/>
              </w:numPr>
              <w:ind w:leftChars="0" w:firstLineChars="0"/>
              <w:rPr>
                <w:color w:val="auto"/>
                <w:highlight w:val="none"/>
              </w:rPr>
            </w:pPr>
            <w:r>
              <w:rPr>
                <w:rFonts w:hint="eastAsia"/>
                <w:color w:val="auto"/>
                <w:sz w:val="18"/>
                <w:szCs w:val="18"/>
                <w:highlight w:val="none"/>
              </w:rPr>
              <w:t>未提供相应说明得0分。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65" w:type="dxa"/>
            <w:vAlign w:val="center"/>
          </w:tcPr>
          <w:p>
            <w:pPr>
              <w:snapToGrid w:val="0"/>
              <w:spacing w:line="0" w:lineRule="atLeast"/>
              <w:jc w:val="center"/>
              <w:rPr>
                <w:rFonts w:ascii="宋体" w:hAnsi="宋体"/>
                <w:color w:val="auto"/>
                <w:sz w:val="18"/>
                <w:szCs w:val="18"/>
                <w:highlight w:val="none"/>
              </w:rPr>
            </w:pPr>
            <w:r>
              <w:rPr>
                <w:rFonts w:hint="eastAsia" w:ascii="宋体" w:hAnsi="宋体"/>
                <w:color w:val="auto"/>
                <w:sz w:val="18"/>
                <w:szCs w:val="18"/>
                <w:highlight w:val="none"/>
              </w:rPr>
              <w:t>响应报价部分（10分）</w:t>
            </w:r>
          </w:p>
        </w:tc>
        <w:tc>
          <w:tcPr>
            <w:tcW w:w="8808" w:type="dxa"/>
            <w:gridSpan w:val="3"/>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满足比选文件要求且响应价格最低的报价为评标基准价，其价格分为满分。其他报价人的价格分统一按照下列公式计算：</w:t>
            </w:r>
          </w:p>
          <w:p>
            <w:pPr>
              <w:rPr>
                <w:rFonts w:ascii="宋体" w:hAnsi="宋体" w:cs="宋体"/>
                <w:color w:val="auto"/>
                <w:sz w:val="18"/>
                <w:szCs w:val="18"/>
                <w:highlight w:val="none"/>
              </w:rPr>
            </w:pPr>
            <w:r>
              <w:rPr>
                <w:rFonts w:hint="eastAsia" w:ascii="宋体" w:hAnsi="宋体" w:cs="宋体"/>
                <w:color w:val="auto"/>
                <w:sz w:val="18"/>
                <w:szCs w:val="18"/>
                <w:highlight w:val="none"/>
              </w:rPr>
              <w:t>响应报价得分=（评标基准价/投标报价）×10%×100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3" w:hRule="atLeast"/>
          <w:jc w:val="center"/>
        </w:trPr>
        <w:tc>
          <w:tcPr>
            <w:tcW w:w="9573" w:type="dxa"/>
            <w:gridSpan w:val="4"/>
            <w:vAlign w:val="center"/>
          </w:tcPr>
          <w:p>
            <w:pPr>
              <w:snapToGrid w:val="0"/>
              <w:spacing w:line="0" w:lineRule="atLeast"/>
              <w:rPr>
                <w:rFonts w:ascii="宋体" w:hAnsi="宋体"/>
                <w:color w:val="auto"/>
                <w:sz w:val="18"/>
                <w:szCs w:val="18"/>
                <w:highlight w:val="none"/>
              </w:rPr>
            </w:pPr>
            <w:r>
              <w:rPr>
                <w:rFonts w:hint="eastAsia" w:ascii="宋体" w:hAnsi="宋体"/>
                <w:color w:val="auto"/>
                <w:sz w:val="18"/>
                <w:szCs w:val="18"/>
                <w:highlight w:val="none"/>
              </w:rPr>
              <w:t>注：漏报技术条款视为该项不满足比选文件要求。</w:t>
            </w:r>
          </w:p>
        </w:tc>
      </w:tr>
    </w:tbl>
    <w:p>
      <w:pPr>
        <w:spacing w:line="360" w:lineRule="auto"/>
        <w:rPr>
          <w:rFonts w:ascii="宋体" w:hAnsi="宋体"/>
          <w:b/>
          <w:bCs/>
          <w:color w:val="auto"/>
          <w:sz w:val="24"/>
          <w:highlight w:val="none"/>
        </w:rPr>
      </w:pPr>
    </w:p>
    <w:p>
      <w:pPr>
        <w:pStyle w:val="6"/>
        <w:ind w:firstLine="0"/>
        <w:rPr>
          <w:rFonts w:hAnsi="宋体"/>
          <w:b/>
          <w:bCs/>
          <w:color w:val="auto"/>
          <w:highlight w:val="none"/>
        </w:rPr>
      </w:pPr>
    </w:p>
    <w:p>
      <w:pPr>
        <w:pStyle w:val="6"/>
        <w:ind w:firstLine="0"/>
        <w:rPr>
          <w:rFonts w:hAnsi="宋体"/>
          <w:b/>
          <w:bCs/>
          <w:color w:val="auto"/>
          <w:highlight w:val="none"/>
        </w:rPr>
      </w:pPr>
    </w:p>
    <w:p>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br w:type="page"/>
      </w:r>
      <w:bookmarkStart w:id="663" w:name="_Toc26102"/>
      <w:bookmarkStart w:id="664" w:name="_Toc7625"/>
      <w:r>
        <w:rPr>
          <w:rFonts w:ascii="宋体" w:hAnsi="宋体"/>
          <w:b/>
          <w:color w:val="auto"/>
          <w:sz w:val="36"/>
          <w:szCs w:val="36"/>
          <w:highlight w:val="none"/>
        </w:rPr>
        <w:t>第</w:t>
      </w:r>
      <w:r>
        <w:rPr>
          <w:rFonts w:hint="eastAsia" w:ascii="宋体" w:hAnsi="宋体"/>
          <w:b/>
          <w:color w:val="auto"/>
          <w:sz w:val="36"/>
          <w:szCs w:val="36"/>
          <w:highlight w:val="none"/>
        </w:rPr>
        <w:t>四</w:t>
      </w:r>
      <w:r>
        <w:rPr>
          <w:rFonts w:ascii="宋体" w:hAnsi="宋体"/>
          <w:b/>
          <w:color w:val="auto"/>
          <w:sz w:val="36"/>
          <w:szCs w:val="36"/>
          <w:highlight w:val="none"/>
        </w:rPr>
        <w:t>章  采购需求</w:t>
      </w:r>
      <w:bookmarkEnd w:id="663"/>
      <w:bookmarkEnd w:id="664"/>
    </w:p>
    <w:p>
      <w:pPr>
        <w:pStyle w:val="5"/>
        <w:rPr>
          <w:rFonts w:ascii="宋体" w:hAnsi="宋体" w:eastAsia="宋体"/>
          <w:color w:val="auto"/>
          <w:sz w:val="28"/>
          <w:highlight w:val="none"/>
        </w:rPr>
      </w:pPr>
      <w:r>
        <w:rPr>
          <w:rFonts w:hint="eastAsia" w:ascii="宋体" w:hAnsi="宋体" w:eastAsia="宋体"/>
          <w:color w:val="auto"/>
          <w:sz w:val="28"/>
          <w:highlight w:val="none"/>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1"/>
        <w:gridCol w:w="2781"/>
        <w:gridCol w:w="22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color w:val="auto"/>
                <w:sz w:val="18"/>
                <w:szCs w:val="18"/>
                <w:highlight w:val="none"/>
              </w:rPr>
            </w:pPr>
            <w:r>
              <w:rPr>
                <w:rFonts w:hint="eastAsia" w:ascii="宋体" w:hAnsi="宋体"/>
                <w:b/>
                <w:bCs/>
                <w:color w:val="auto"/>
                <w:sz w:val="18"/>
                <w:szCs w:val="18"/>
                <w:highlight w:val="none"/>
              </w:rPr>
              <w:t>包号</w:t>
            </w:r>
          </w:p>
        </w:tc>
        <w:tc>
          <w:tcPr>
            <w:tcW w:w="668" w:type="pct"/>
            <w:vAlign w:val="center"/>
          </w:tcPr>
          <w:p>
            <w:pPr>
              <w:spacing w:line="360" w:lineRule="auto"/>
              <w:jc w:val="center"/>
              <w:rPr>
                <w:rFonts w:ascii="宋体" w:hAnsi="宋体"/>
                <w:b/>
                <w:bCs/>
                <w:color w:val="auto"/>
                <w:sz w:val="18"/>
                <w:szCs w:val="18"/>
                <w:highlight w:val="none"/>
              </w:rPr>
            </w:pPr>
            <w:r>
              <w:rPr>
                <w:rFonts w:hint="eastAsia" w:ascii="宋体" w:hAnsi="宋体"/>
                <w:b/>
                <w:bCs/>
                <w:color w:val="auto"/>
                <w:sz w:val="18"/>
                <w:szCs w:val="18"/>
                <w:highlight w:val="none"/>
              </w:rPr>
              <w:t>采购内容</w:t>
            </w:r>
          </w:p>
        </w:tc>
        <w:tc>
          <w:tcPr>
            <w:tcW w:w="1497" w:type="pct"/>
            <w:vAlign w:val="center"/>
          </w:tcPr>
          <w:p>
            <w:pPr>
              <w:spacing w:line="360" w:lineRule="auto"/>
              <w:jc w:val="center"/>
              <w:rPr>
                <w:rFonts w:ascii="宋体" w:hAnsi="宋体"/>
                <w:b/>
                <w:bCs/>
                <w:color w:val="auto"/>
                <w:sz w:val="18"/>
                <w:szCs w:val="18"/>
                <w:highlight w:val="none"/>
              </w:rPr>
            </w:pPr>
            <w:r>
              <w:rPr>
                <w:rFonts w:hint="eastAsia" w:ascii="宋体" w:hAnsi="宋体"/>
                <w:b/>
                <w:bCs/>
                <w:color w:val="auto"/>
                <w:sz w:val="18"/>
                <w:szCs w:val="18"/>
                <w:highlight w:val="none"/>
              </w:rPr>
              <w:t>数量</w:t>
            </w:r>
          </w:p>
        </w:tc>
        <w:tc>
          <w:tcPr>
            <w:tcW w:w="1198" w:type="pct"/>
            <w:vAlign w:val="center"/>
          </w:tcPr>
          <w:p>
            <w:pPr>
              <w:spacing w:line="360" w:lineRule="auto"/>
              <w:jc w:val="center"/>
              <w:rPr>
                <w:rFonts w:ascii="宋体" w:hAnsi="宋体"/>
                <w:b/>
                <w:bCs/>
                <w:color w:val="auto"/>
                <w:sz w:val="18"/>
                <w:szCs w:val="18"/>
                <w:highlight w:val="none"/>
              </w:rPr>
            </w:pPr>
            <w:r>
              <w:rPr>
                <w:rFonts w:hint="eastAsia" w:ascii="宋体" w:hAnsi="宋体"/>
                <w:b/>
                <w:bCs/>
                <w:color w:val="auto"/>
                <w:sz w:val="18"/>
                <w:szCs w:val="18"/>
                <w:highlight w:val="none"/>
              </w:rPr>
              <w:t>预算（万元）</w:t>
            </w:r>
          </w:p>
        </w:tc>
        <w:tc>
          <w:tcPr>
            <w:tcW w:w="1235" w:type="pct"/>
            <w:vAlign w:val="center"/>
          </w:tcPr>
          <w:p>
            <w:pPr>
              <w:spacing w:line="360" w:lineRule="auto"/>
              <w:jc w:val="center"/>
              <w:rPr>
                <w:rFonts w:ascii="宋体" w:hAnsi="宋体"/>
                <w:b/>
                <w:bCs/>
                <w:color w:val="auto"/>
                <w:sz w:val="18"/>
                <w:szCs w:val="18"/>
                <w:highlight w:val="none"/>
              </w:rPr>
            </w:pPr>
            <w:r>
              <w:rPr>
                <w:rFonts w:hint="eastAsia" w:ascii="宋体" w:hAnsi="宋体"/>
                <w:b/>
                <w:bCs/>
                <w:color w:val="auto"/>
                <w:sz w:val="18"/>
                <w:szCs w:val="18"/>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trPr>
        <w:tc>
          <w:tcPr>
            <w:tcW w:w="402" w:type="pct"/>
            <w:shd w:val="clear" w:color="000000" w:fill="FFFFFF"/>
            <w:vAlign w:val="center"/>
          </w:tcPr>
          <w:p>
            <w:pPr>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668" w:type="pct"/>
            <w:shd w:val="clear" w:color="000000" w:fill="FFFFFF"/>
            <w:vAlign w:val="center"/>
          </w:tcPr>
          <w:p>
            <w:pPr>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物业服务</w:t>
            </w:r>
          </w:p>
        </w:tc>
        <w:tc>
          <w:tcPr>
            <w:tcW w:w="1497" w:type="pct"/>
            <w:shd w:val="clear" w:color="000000" w:fill="FFFFFF"/>
            <w:vAlign w:val="center"/>
          </w:tcPr>
          <w:p>
            <w:pPr>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总建筑面积约11000㎡</w:t>
            </w:r>
          </w:p>
        </w:tc>
        <w:tc>
          <w:tcPr>
            <w:tcW w:w="1198" w:type="pct"/>
            <w:shd w:val="clear" w:color="000000" w:fill="FFFFFF"/>
            <w:vAlign w:val="center"/>
          </w:tcPr>
          <w:p>
            <w:pPr>
              <w:spacing w:line="300" w:lineRule="auto"/>
              <w:jc w:val="center"/>
              <w:rPr>
                <w:rFonts w:ascii="宋体" w:hAnsi="宋体"/>
                <w:color w:val="auto"/>
                <w:sz w:val="18"/>
                <w:szCs w:val="18"/>
                <w:highlight w:val="none"/>
              </w:rPr>
            </w:pPr>
            <w:r>
              <w:rPr>
                <w:rFonts w:hint="eastAsia" w:ascii="宋体" w:hAnsi="宋体"/>
                <w:color w:val="auto"/>
                <w:sz w:val="18"/>
                <w:szCs w:val="18"/>
                <w:highlight w:val="none"/>
              </w:rPr>
              <w:t>255</w:t>
            </w:r>
          </w:p>
        </w:tc>
        <w:tc>
          <w:tcPr>
            <w:tcW w:w="1235" w:type="pct"/>
            <w:shd w:val="clear" w:color="000000" w:fill="FFFFFF"/>
            <w:vAlign w:val="center"/>
          </w:tcPr>
          <w:p>
            <w:pPr>
              <w:spacing w:line="300" w:lineRule="auto"/>
              <w:jc w:val="center"/>
              <w:rPr>
                <w:rFonts w:ascii="宋体" w:hAnsi="宋体"/>
                <w:color w:val="auto"/>
                <w:sz w:val="18"/>
                <w:szCs w:val="18"/>
                <w:highlight w:val="none"/>
              </w:rPr>
            </w:pPr>
            <w:r>
              <w:rPr>
                <w:rFonts w:hint="eastAsia" w:ascii="宋体" w:hAnsi="宋体"/>
                <w:color w:val="auto"/>
                <w:sz w:val="18"/>
                <w:szCs w:val="18"/>
                <w:highlight w:val="none"/>
              </w:rPr>
              <w:t>1年</w:t>
            </w:r>
          </w:p>
        </w:tc>
      </w:tr>
    </w:tbl>
    <w:p>
      <w:pPr>
        <w:rPr>
          <w:color w:val="auto"/>
          <w:highlight w:val="none"/>
        </w:rPr>
      </w:pPr>
    </w:p>
    <w:p>
      <w:pPr>
        <w:spacing w:line="360" w:lineRule="auto"/>
        <w:jc w:val="left"/>
        <w:rPr>
          <w:rFonts w:ascii="宋体" w:hAnsi="宋体"/>
          <w:b/>
          <w:color w:val="auto"/>
          <w:szCs w:val="21"/>
          <w:highlight w:val="none"/>
        </w:rPr>
      </w:pPr>
      <w:r>
        <w:rPr>
          <w:rFonts w:hint="eastAsia" w:ascii="宋体" w:hAnsi="宋体"/>
          <w:b/>
          <w:color w:val="auto"/>
          <w:szCs w:val="21"/>
          <w:highlight w:val="none"/>
        </w:rPr>
        <w:t>注：1、“</w:t>
      </w:r>
      <w:r>
        <w:rPr>
          <w:rFonts w:hint="eastAsia" w:ascii="宋体" w:hAnsi="宋体" w:cs="等线"/>
          <w:b/>
          <w:bCs/>
          <w:color w:val="auto"/>
          <w:kern w:val="0"/>
          <w:szCs w:val="21"/>
          <w:highlight w:val="none"/>
        </w:rPr>
        <w:t>★</w:t>
      </w:r>
      <w:r>
        <w:rPr>
          <w:rFonts w:hint="eastAsia" w:ascii="宋体" w:hAnsi="宋体"/>
          <w:b/>
          <w:color w:val="auto"/>
          <w:szCs w:val="21"/>
          <w:highlight w:val="none"/>
        </w:rPr>
        <w:t>”为实质性条款，不满足的将被视为无效响应予以拒绝。</w:t>
      </w:r>
    </w:p>
    <w:p>
      <w:pPr>
        <w:spacing w:line="360" w:lineRule="auto"/>
        <w:jc w:val="left"/>
        <w:rPr>
          <w:rFonts w:ascii="宋体" w:hAnsi="宋体"/>
          <w:b/>
          <w:color w:val="auto"/>
          <w:szCs w:val="21"/>
          <w:highlight w:val="none"/>
        </w:rPr>
      </w:pPr>
      <w:r>
        <w:rPr>
          <w:rFonts w:hint="eastAsia" w:ascii="宋体" w:hAnsi="宋体"/>
          <w:b/>
          <w:color w:val="auto"/>
          <w:szCs w:val="21"/>
          <w:highlight w:val="none"/>
        </w:rPr>
        <w:t>2、技术参数中所涉品牌、型号、专用技术等为描述所需，不具备强制性，要求所投产品至少满足该配置档次要求，并须确保整体系统兼容性。</w:t>
      </w:r>
    </w:p>
    <w:p>
      <w:pPr>
        <w:spacing w:line="360" w:lineRule="auto"/>
        <w:contextualSpacing/>
        <w:rPr>
          <w:color w:val="auto"/>
          <w:sz w:val="24"/>
          <w:highlight w:val="none"/>
        </w:rPr>
      </w:pPr>
    </w:p>
    <w:p>
      <w:pPr>
        <w:spacing w:line="440" w:lineRule="exact"/>
        <w:rPr>
          <w:b/>
          <w:color w:val="auto"/>
          <w:highlight w:val="none"/>
        </w:rPr>
      </w:pPr>
    </w:p>
    <w:p>
      <w:pPr>
        <w:autoSpaceDE w:val="0"/>
        <w:autoSpaceDN w:val="0"/>
        <w:rPr>
          <w:bCs/>
          <w:color w:val="auto"/>
          <w:highlight w:val="none"/>
        </w:rPr>
      </w:pPr>
    </w:p>
    <w:p>
      <w:pPr>
        <w:rPr>
          <w:rFonts w:ascii="宋体" w:hAnsi="宋体"/>
          <w:color w:val="auto"/>
          <w:highlight w:val="none"/>
        </w:rPr>
      </w:pPr>
      <w:r>
        <w:rPr>
          <w:rFonts w:hint="eastAsia" w:ascii="宋体" w:hAnsi="宋体"/>
          <w:color w:val="auto"/>
          <w:highlight w:val="none"/>
        </w:rPr>
        <w:br w:type="page"/>
      </w:r>
    </w:p>
    <w:p>
      <w:pPr>
        <w:pStyle w:val="5"/>
        <w:rPr>
          <w:rFonts w:ascii="宋体" w:hAnsi="宋体" w:eastAsia="宋体"/>
          <w:color w:val="auto"/>
          <w:highlight w:val="none"/>
        </w:rPr>
      </w:pPr>
      <w:r>
        <w:rPr>
          <w:rFonts w:hint="eastAsia" w:ascii="宋体" w:hAnsi="宋体" w:eastAsia="宋体"/>
          <w:color w:val="auto"/>
          <w:highlight w:val="none"/>
        </w:rPr>
        <w:t>第二部分：服务需求</w:t>
      </w:r>
    </w:p>
    <w:p>
      <w:pPr>
        <w:numPr>
          <w:ilvl w:val="0"/>
          <w:numId w:val="13"/>
        </w:numPr>
        <w:adjustRightInd w:val="0"/>
        <w:spacing w:line="360" w:lineRule="atLeast"/>
        <w:textAlignment w:val="baseline"/>
        <w:rPr>
          <w:rFonts w:ascii="宋体" w:hAnsi="宋体" w:cs="宋体"/>
          <w:b/>
          <w:color w:val="auto"/>
          <w:sz w:val="24"/>
          <w:highlight w:val="none"/>
        </w:rPr>
      </w:pPr>
      <w:r>
        <w:rPr>
          <w:rFonts w:hint="eastAsia" w:ascii="宋体" w:hAnsi="宋体" w:cs="宋体"/>
          <w:b/>
          <w:color w:val="auto"/>
          <w:sz w:val="24"/>
          <w:highlight w:val="none"/>
        </w:rPr>
        <w:t>项目背景或简况</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物业项目情况简介：</w:t>
      </w:r>
    </w:p>
    <w:p>
      <w:p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国际文化学院教学办公楼坐落于海淀区西三环北路83号，首都师范大学北一校区内，隶属国际文化学院。楼宇功能明确，布局合理，集办公科研、教学生活于一体，是功能齐全的综合体建筑。</w:t>
      </w:r>
    </w:p>
    <w:p>
      <w:p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国际文化学院教学办公楼的使用单位国际文化学院成立于1999年，是首都师范大学对外汉语的教学中心，也是国际化教学科研、招生育才的重要窗口，承担着外国留学生汉语教学重要任务。同时，国际文化学院也是北京市“一带一路”国家人才培养基地、国家汉办HSK考点和中国雅思考试考点。大厦总建筑面积1.1万平方米，配套设施完善，配备中央空调、电梯、消防、安全监控等功能设施，集通办公自动化、安全自动化、楼宇机电设备管理自动化于一体。国际文化学院教学办公楼内有普通教室45间，语音教室16间，会议室8间，教师办公室，多功能厅，国际报告厅，可供千余师生同时教学、办公、会议。</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物业资质要求：</w:t>
      </w:r>
    </w:p>
    <w:p>
      <w:p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物业管理应创建具有高校特色的企业文化，以服务留学生、服务教学为本，打造高校文化特色物业服务；建章立制，完善管理制度建立质量体系，提高服务水平；开展活动，培育团队精神。项目经理及主管须有相应的资质证书。</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物业项目地址：北京市海淀区西三环北路83号首都师范大学北一区。</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全部区域：总建筑面积约11000㎡。</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物业管理服务内容包括：</w:t>
      </w:r>
    </w:p>
    <w:p>
      <w:p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国际文化学院教学办公楼（地下一层、地上8层）范围内教学服务、会议服务、环境维护、垃圾清运、水电土建小修、急修、秩序维护、消防安全管理等日常运行维护；配合学校做好安全稳定、能源回收、垃圾分类、节能减排、防汛减灾、活动保障、智慧校园、雅思考试等工作。</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工作内容涉及到的各种能源、办公、耗材、专项维护费用等由采购人提供。</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能够提供物业人员办公场所。</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中标人员工可在学校食堂就餐，餐费自理。</w:t>
      </w:r>
    </w:p>
    <w:p>
      <w:pPr>
        <w:numPr>
          <w:ilvl w:val="0"/>
          <w:numId w:val="14"/>
        </w:numPr>
        <w:adjustRightInd w:val="0"/>
        <w:spacing w:line="360" w:lineRule="auto"/>
        <w:ind w:hanging="136"/>
        <w:textAlignment w:val="baseline"/>
        <w:rPr>
          <w:rFonts w:ascii="宋体" w:hAnsi="宋体" w:cs="宋体"/>
          <w:color w:val="auto"/>
          <w:sz w:val="24"/>
          <w:highlight w:val="none"/>
        </w:rPr>
      </w:pPr>
      <w:r>
        <w:rPr>
          <w:rFonts w:hint="eastAsia" w:ascii="宋体" w:hAnsi="宋体" w:cs="宋体"/>
          <w:color w:val="auto"/>
          <w:sz w:val="24"/>
          <w:highlight w:val="none"/>
        </w:rPr>
        <w:t>★本项目人员配备不得低于35人，需承诺提供服务团队人员数量不少于  35人，报价人服务团队数量少于低限要求将导致响应文件无效。除日常工作外,临时性工作安排和节日或突发事件时的加班费用均包含在物业费用中,采购人不再支付其他额外费用。</w:t>
      </w:r>
    </w:p>
    <w:p>
      <w:pPr>
        <w:numPr>
          <w:ilvl w:val="0"/>
          <w:numId w:val="13"/>
        </w:numPr>
        <w:adjustRightInd w:val="0"/>
        <w:spacing w:line="360" w:lineRule="atLeast"/>
        <w:textAlignment w:val="baseline"/>
        <w:rPr>
          <w:rFonts w:ascii="宋体" w:hAnsi="宋体" w:cs="宋体"/>
          <w:b/>
          <w:color w:val="auto"/>
          <w:sz w:val="24"/>
          <w:highlight w:val="none"/>
        </w:rPr>
      </w:pPr>
      <w:r>
        <w:rPr>
          <w:rFonts w:hint="eastAsia" w:ascii="宋体" w:hAnsi="宋体" w:cs="宋体"/>
          <w:b/>
          <w:color w:val="auto"/>
          <w:sz w:val="24"/>
          <w:highlight w:val="none"/>
        </w:rPr>
        <w:t>技术参数要求（技术指标包括性能、规格、材质等，但不能指定品牌）、服务</w:t>
      </w:r>
    </w:p>
    <w:p>
      <w:pPr>
        <w:adjustRightInd w:val="0"/>
        <w:spacing w:line="360" w:lineRule="atLeast"/>
        <w:textAlignment w:val="baseline"/>
        <w:rPr>
          <w:rFonts w:ascii="宋体" w:hAnsi="宋体" w:cs="宋体"/>
          <w:b/>
          <w:color w:val="auto"/>
          <w:sz w:val="24"/>
          <w:highlight w:val="none"/>
        </w:rPr>
      </w:pPr>
      <w:r>
        <w:rPr>
          <w:rFonts w:hint="eastAsia" w:ascii="宋体" w:hAnsi="宋体" w:cs="宋体"/>
          <w:b/>
          <w:color w:val="auto"/>
          <w:sz w:val="24"/>
          <w:highlight w:val="none"/>
        </w:rPr>
        <w:t>要求</w:t>
      </w:r>
    </w:p>
    <w:p>
      <w:pPr>
        <w:numPr>
          <w:ilvl w:val="0"/>
          <w:numId w:val="15"/>
        </w:numPr>
        <w:spacing w:line="360" w:lineRule="auto"/>
        <w:ind w:hanging="556"/>
        <w:rPr>
          <w:rFonts w:ascii="宋体" w:hAnsi="宋体" w:cs="宋体"/>
          <w:color w:val="auto"/>
          <w:sz w:val="24"/>
          <w:highlight w:val="none"/>
        </w:rPr>
      </w:pPr>
      <w:r>
        <w:rPr>
          <w:rFonts w:hint="eastAsia" w:ascii="宋体" w:hAnsi="宋体" w:cs="宋体"/>
          <w:color w:val="auto"/>
          <w:sz w:val="24"/>
          <w:highlight w:val="none"/>
        </w:rPr>
        <w:t>服务岗位</w:t>
      </w:r>
    </w:p>
    <w:p>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管理岗、会议服务岗、保洁员、秩序维护员、消防中控员、秩序维护员、工程维修工。</w:t>
      </w:r>
    </w:p>
    <w:p>
      <w:pPr>
        <w:numPr>
          <w:ilvl w:val="0"/>
          <w:numId w:val="16"/>
        </w:numPr>
        <w:spacing w:line="360" w:lineRule="auto"/>
        <w:ind w:firstLine="147"/>
        <w:rPr>
          <w:rFonts w:ascii="宋体" w:hAnsi="宋体" w:cs="宋体"/>
          <w:color w:val="auto"/>
          <w:sz w:val="24"/>
          <w:highlight w:val="none"/>
        </w:rPr>
      </w:pPr>
      <w:r>
        <w:rPr>
          <w:rFonts w:hint="eastAsia" w:ascii="宋体" w:hAnsi="宋体" w:cs="宋体"/>
          <w:color w:val="auto"/>
          <w:sz w:val="24"/>
          <w:highlight w:val="none"/>
        </w:rPr>
        <w:t>各岗位任职要求：</w:t>
      </w:r>
    </w:p>
    <w:p>
      <w:pPr>
        <w:numPr>
          <w:ilvl w:val="0"/>
          <w:numId w:val="17"/>
        </w:numPr>
        <w:spacing w:line="360" w:lineRule="auto"/>
        <w:ind w:hanging="556"/>
        <w:rPr>
          <w:rFonts w:ascii="宋体" w:hAnsi="宋体" w:cs="宋体"/>
          <w:color w:val="auto"/>
          <w:sz w:val="24"/>
          <w:highlight w:val="none"/>
        </w:rPr>
      </w:pPr>
      <w:r>
        <w:rPr>
          <w:rFonts w:hint="eastAsia" w:ascii="宋体" w:hAnsi="宋体" w:cs="宋体"/>
          <w:color w:val="auto"/>
          <w:sz w:val="24"/>
          <w:highlight w:val="none"/>
        </w:rPr>
        <w:t>项目经理：派驻的项目经理，有较强的组织领导能力和协调能力，年龄45岁以下。</w:t>
      </w:r>
    </w:p>
    <w:p>
      <w:pPr>
        <w:numPr>
          <w:ilvl w:val="0"/>
          <w:numId w:val="17"/>
        </w:numPr>
        <w:spacing w:line="360" w:lineRule="auto"/>
        <w:ind w:hanging="556"/>
        <w:rPr>
          <w:rFonts w:ascii="宋体" w:hAnsi="宋体" w:cs="宋体"/>
          <w:color w:val="auto"/>
          <w:sz w:val="24"/>
          <w:highlight w:val="none"/>
        </w:rPr>
      </w:pPr>
      <w:r>
        <w:rPr>
          <w:rFonts w:hint="eastAsia" w:ascii="宋体" w:hAnsi="宋体" w:cs="宋体"/>
          <w:color w:val="auto"/>
          <w:sz w:val="24"/>
          <w:highlight w:val="none"/>
        </w:rPr>
        <w:t>部门管理人员：有3年以上同等职务的履历。</w:t>
      </w:r>
    </w:p>
    <w:p>
      <w:pPr>
        <w:numPr>
          <w:ilvl w:val="0"/>
          <w:numId w:val="17"/>
        </w:numPr>
        <w:spacing w:line="360" w:lineRule="auto"/>
        <w:ind w:hanging="556"/>
        <w:rPr>
          <w:rFonts w:ascii="宋体" w:hAnsi="宋体" w:cs="宋体"/>
          <w:color w:val="auto"/>
          <w:sz w:val="24"/>
          <w:highlight w:val="none"/>
        </w:rPr>
      </w:pPr>
      <w:r>
        <w:rPr>
          <w:rFonts w:hint="eastAsia" w:ascii="宋体" w:hAnsi="宋体" w:cs="宋体"/>
          <w:color w:val="auto"/>
          <w:sz w:val="24"/>
          <w:highlight w:val="none"/>
        </w:rPr>
        <w:t>普通工作人员符合以下条件：</w:t>
      </w:r>
    </w:p>
    <w:p>
      <w:pPr>
        <w:numPr>
          <w:ilvl w:val="0"/>
          <w:numId w:val="18"/>
        </w:num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会议服务员：须身体健康，具备相关的礼仪知识，服务得体大方，年龄25岁以下、身高不低于1.68M。</w:t>
      </w:r>
    </w:p>
    <w:p>
      <w:pPr>
        <w:numPr>
          <w:ilvl w:val="0"/>
          <w:numId w:val="18"/>
        </w:num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秩序维护员：须身体健康，责任心强，五官端正，接受过安全保卫或相关训练，掌握基本安全保卫技能，熟悉有关法律法规，思想品德好，无不良记录，持有户籍地安机关开具的无违法犯罪证明，持保安证，年龄40岁以下。</w:t>
      </w:r>
    </w:p>
    <w:p>
      <w:pPr>
        <w:numPr>
          <w:ilvl w:val="0"/>
          <w:numId w:val="18"/>
        </w:num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消防中控员：须身体健康，责任心强，五官端正，熟悉有关法律法规、掌握消防设施、设备操作能力，思想品德好，无不良记录，持有户籍地公安机关开具的无违法犯罪证明，持建（构）筑物消防员证书，年龄40岁以下。</w:t>
      </w:r>
    </w:p>
    <w:p>
      <w:pPr>
        <w:numPr>
          <w:ilvl w:val="0"/>
          <w:numId w:val="18"/>
        </w:num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保洁员：须身体健康，责任心强，五官端正，接受过客房服务相关训练，掌握基本客房服务的技能，熟悉有关法律法规，思想品德好，无不良记录，持有户籍地或居住地公安机关开具的无违法犯罪证明，持有健康证明，年龄45岁以下。</w:t>
      </w:r>
    </w:p>
    <w:p>
      <w:pPr>
        <w:numPr>
          <w:ilvl w:val="0"/>
          <w:numId w:val="18"/>
        </w:num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工程维修人员：须身体健康，必须持有相关行业颁发的资格证书并具有相关工作经验，年龄45岁以下。</w:t>
      </w:r>
    </w:p>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秩序维护服务</w:t>
      </w:r>
    </w:p>
    <w:p>
      <w:pPr>
        <w:numPr>
          <w:ilvl w:val="0"/>
          <w:numId w:val="19"/>
        </w:numPr>
        <w:spacing w:line="360" w:lineRule="auto"/>
        <w:ind w:firstLine="289"/>
        <w:rPr>
          <w:rFonts w:ascii="宋体" w:hAnsi="宋体" w:cs="宋体"/>
          <w:bCs/>
          <w:color w:val="auto"/>
          <w:sz w:val="24"/>
          <w:highlight w:val="none"/>
        </w:rPr>
      </w:pPr>
      <w:r>
        <w:rPr>
          <w:rFonts w:hint="eastAsia" w:ascii="宋体" w:hAnsi="宋体" w:cs="宋体"/>
          <w:bCs/>
          <w:color w:val="auto"/>
          <w:sz w:val="24"/>
          <w:highlight w:val="none"/>
        </w:rPr>
        <w:t>服务内容</w:t>
      </w:r>
    </w:p>
    <w:p>
      <w:pPr>
        <w:numPr>
          <w:ilvl w:val="0"/>
          <w:numId w:val="2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公共秩序维护。负责教学办公楼楼正常生活秩序维护。具体包括：包括门卫管理、公共秩序管理、消防管理，突发事件应急处置。配合学院做好防火、防盗、防自然灾害、防校园暴力等工作。</w:t>
      </w:r>
    </w:p>
    <w:p>
      <w:pPr>
        <w:numPr>
          <w:ilvl w:val="0"/>
          <w:numId w:val="2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紧急事故处理。制定各类安全事故发生时的紧急处理预案，负责各种突发事件的预防与处理。</w:t>
      </w:r>
    </w:p>
    <w:p>
      <w:pPr>
        <w:numPr>
          <w:ilvl w:val="0"/>
          <w:numId w:val="2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安全法制教育。加强自身工作人员的安全教育与法制教育，提高其安全防范工作能力及法制意识，确保不因自身工作人员原因发生安全事故，并配合学院开展各类安全教育。</w:t>
      </w:r>
    </w:p>
    <w:p>
      <w:pPr>
        <w:numPr>
          <w:ilvl w:val="0"/>
          <w:numId w:val="2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安全隐患排查。定期排查各类安全隐患，每周定期排查一次安全隐患，如发现安全隐患，必须立即上报学院安全主管部门，并采取必要安全隐患防范措施。每周定期以书面报告形式上报上周安全隐患排查的情况。</w:t>
      </w:r>
    </w:p>
    <w:p>
      <w:pPr>
        <w:numPr>
          <w:ilvl w:val="0"/>
          <w:numId w:val="19"/>
        </w:numPr>
        <w:spacing w:line="360" w:lineRule="auto"/>
        <w:ind w:firstLine="289"/>
        <w:rPr>
          <w:rFonts w:ascii="宋体" w:hAnsi="宋体" w:cs="宋体"/>
          <w:bCs/>
          <w:color w:val="auto"/>
          <w:sz w:val="24"/>
          <w:highlight w:val="none"/>
        </w:rPr>
      </w:pPr>
      <w:r>
        <w:rPr>
          <w:rFonts w:hint="eastAsia" w:ascii="宋体" w:hAnsi="宋体" w:cs="宋体"/>
          <w:bCs/>
          <w:color w:val="auto"/>
          <w:sz w:val="24"/>
          <w:highlight w:val="none"/>
        </w:rPr>
        <w:t>服务标准</w:t>
      </w:r>
    </w:p>
    <w:p>
      <w:pPr>
        <w:numPr>
          <w:ilvl w:val="0"/>
          <w:numId w:val="21"/>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根据要求对出入人员进行健康监测、登记管理、出入物品进行验证，杜绝闲杂人员进入大厦。</w:t>
      </w:r>
    </w:p>
    <w:p>
      <w:pPr>
        <w:numPr>
          <w:ilvl w:val="0"/>
          <w:numId w:val="21"/>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能及时发现和处理各种安全和事故隐患，并能迅速有效处置突发事件。</w:t>
      </w:r>
    </w:p>
    <w:p>
      <w:pPr>
        <w:numPr>
          <w:ilvl w:val="0"/>
          <w:numId w:val="21"/>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定期开展各项安全演练，提高安全防范技能和意识。</w:t>
      </w:r>
    </w:p>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消防安全管理</w:t>
      </w:r>
    </w:p>
    <w:p>
      <w:pPr>
        <w:numPr>
          <w:ilvl w:val="0"/>
          <w:numId w:val="22"/>
        </w:numPr>
        <w:spacing w:line="360" w:lineRule="auto"/>
        <w:ind w:hanging="278"/>
        <w:rPr>
          <w:rFonts w:ascii="宋体" w:hAnsi="宋体" w:cs="宋体"/>
          <w:bCs/>
          <w:color w:val="auto"/>
          <w:sz w:val="24"/>
          <w:highlight w:val="none"/>
        </w:rPr>
      </w:pPr>
      <w:r>
        <w:rPr>
          <w:rFonts w:hint="eastAsia" w:ascii="宋体" w:hAnsi="宋体" w:cs="宋体"/>
          <w:bCs/>
          <w:color w:val="auto"/>
          <w:sz w:val="24"/>
          <w:highlight w:val="none"/>
        </w:rPr>
        <w:t xml:space="preserve"> 服务内容</w:t>
      </w:r>
    </w:p>
    <w:p>
      <w:pPr>
        <w:numPr>
          <w:ilvl w:val="0"/>
          <w:numId w:val="23"/>
        </w:numPr>
        <w:spacing w:line="360" w:lineRule="auto"/>
        <w:ind w:left="0" w:firstLine="486"/>
        <w:rPr>
          <w:rFonts w:ascii="宋体" w:hAnsi="宋体" w:cs="宋体"/>
          <w:bCs/>
          <w:color w:val="auto"/>
          <w:sz w:val="24"/>
          <w:highlight w:val="none"/>
        </w:rPr>
      </w:pPr>
      <w:r>
        <w:rPr>
          <w:rFonts w:hint="eastAsia" w:ascii="宋体" w:hAnsi="宋体" w:cs="宋体"/>
          <w:bCs/>
          <w:color w:val="auto"/>
          <w:sz w:val="24"/>
          <w:highlight w:val="none"/>
        </w:rPr>
        <w:t>负责楼宇内部区域，包括重点部位的消防及安全巡视。负责对大厦各项消防设施设备的检查、管理和操作。</w:t>
      </w:r>
    </w:p>
    <w:p>
      <w:pPr>
        <w:numPr>
          <w:ilvl w:val="0"/>
          <w:numId w:val="23"/>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负责对大厦各监控设备检查、管理、操作。</w:t>
      </w:r>
    </w:p>
    <w:p>
      <w:pPr>
        <w:numPr>
          <w:ilvl w:val="0"/>
          <w:numId w:val="23"/>
        </w:numPr>
        <w:spacing w:line="360" w:lineRule="auto"/>
        <w:rPr>
          <w:rFonts w:ascii="宋体" w:hAnsi="宋体" w:cs="宋体"/>
          <w:bCs/>
          <w:color w:val="auto"/>
          <w:sz w:val="24"/>
          <w:highlight w:val="none"/>
        </w:rPr>
      </w:pPr>
      <w:r>
        <w:rPr>
          <w:rFonts w:hint="eastAsia" w:ascii="宋体" w:hAnsi="宋体" w:cs="宋体"/>
          <w:bCs/>
          <w:color w:val="auto"/>
          <w:sz w:val="24"/>
          <w:highlight w:val="none"/>
        </w:rPr>
        <w:t>严格履行交接班工作制度，遵守工作程序。</w:t>
      </w:r>
    </w:p>
    <w:p>
      <w:pPr>
        <w:numPr>
          <w:ilvl w:val="0"/>
          <w:numId w:val="23"/>
        </w:numPr>
        <w:spacing w:line="360" w:lineRule="auto"/>
        <w:rPr>
          <w:rFonts w:ascii="宋体" w:hAnsi="宋体" w:cs="宋体"/>
          <w:bCs/>
          <w:color w:val="auto"/>
          <w:sz w:val="24"/>
          <w:highlight w:val="none"/>
        </w:rPr>
      </w:pPr>
      <w:r>
        <w:rPr>
          <w:rFonts w:hint="eastAsia" w:ascii="宋体" w:hAnsi="宋体" w:cs="宋体"/>
          <w:bCs/>
          <w:color w:val="auto"/>
          <w:sz w:val="24"/>
          <w:highlight w:val="none"/>
        </w:rPr>
        <w:t>完成上级领导布置的其它工作。</w:t>
      </w:r>
    </w:p>
    <w:p>
      <w:pPr>
        <w:numPr>
          <w:ilvl w:val="0"/>
          <w:numId w:val="22"/>
        </w:numPr>
        <w:spacing w:line="360" w:lineRule="auto"/>
        <w:ind w:hanging="278"/>
        <w:rPr>
          <w:rFonts w:ascii="宋体" w:hAnsi="宋体" w:cs="宋体"/>
          <w:bCs/>
          <w:color w:val="auto"/>
          <w:sz w:val="24"/>
          <w:highlight w:val="none"/>
        </w:rPr>
      </w:pPr>
      <w:r>
        <w:rPr>
          <w:rFonts w:hint="eastAsia" w:ascii="宋体" w:hAnsi="宋体" w:cs="宋体"/>
          <w:bCs/>
          <w:color w:val="auto"/>
          <w:sz w:val="24"/>
          <w:highlight w:val="none"/>
        </w:rPr>
        <w:t xml:space="preserve"> 服务标准</w:t>
      </w:r>
    </w:p>
    <w:p>
      <w:pPr>
        <w:numPr>
          <w:ilvl w:val="0"/>
          <w:numId w:val="24"/>
        </w:numPr>
        <w:spacing w:line="360" w:lineRule="auto"/>
        <w:ind w:left="0" w:firstLine="566" w:firstLineChars="236"/>
        <w:rPr>
          <w:rFonts w:ascii="宋体" w:hAnsi="宋体" w:cs="宋体"/>
          <w:bCs/>
          <w:color w:val="auto"/>
          <w:sz w:val="24"/>
          <w:highlight w:val="none"/>
        </w:rPr>
      </w:pPr>
      <w:r>
        <w:rPr>
          <w:rFonts w:hint="eastAsia" w:ascii="宋体" w:hAnsi="宋体" w:cs="宋体"/>
          <w:bCs/>
          <w:color w:val="auto"/>
          <w:sz w:val="24"/>
          <w:highlight w:val="none"/>
        </w:rPr>
        <w:t>了解掌握各项消防安全法律法规。</w:t>
      </w:r>
    </w:p>
    <w:p>
      <w:pPr>
        <w:numPr>
          <w:ilvl w:val="0"/>
          <w:numId w:val="24"/>
        </w:numPr>
        <w:spacing w:line="360" w:lineRule="auto"/>
        <w:ind w:left="0" w:firstLine="566" w:firstLineChars="236"/>
        <w:rPr>
          <w:rFonts w:ascii="宋体" w:hAnsi="宋体" w:cs="宋体"/>
          <w:bCs/>
          <w:color w:val="auto"/>
          <w:sz w:val="24"/>
          <w:highlight w:val="none"/>
        </w:rPr>
      </w:pPr>
      <w:r>
        <w:rPr>
          <w:rFonts w:hint="eastAsia" w:ascii="宋体" w:hAnsi="宋体" w:cs="宋体"/>
          <w:bCs/>
          <w:color w:val="auto"/>
          <w:sz w:val="24"/>
          <w:highlight w:val="none"/>
        </w:rPr>
        <w:t>能及时发现和处理各种消防安全事故隐患，并能迅速有效处置初期火灾事件。</w:t>
      </w:r>
    </w:p>
    <w:p>
      <w:pPr>
        <w:numPr>
          <w:ilvl w:val="0"/>
          <w:numId w:val="24"/>
        </w:numPr>
        <w:spacing w:line="360" w:lineRule="auto"/>
        <w:ind w:left="0" w:firstLine="566" w:firstLineChars="236"/>
        <w:rPr>
          <w:rFonts w:ascii="宋体" w:hAnsi="宋体" w:cs="宋体"/>
          <w:bCs/>
          <w:color w:val="auto"/>
          <w:sz w:val="24"/>
          <w:highlight w:val="none"/>
        </w:rPr>
      </w:pPr>
      <w:r>
        <w:rPr>
          <w:rFonts w:hint="eastAsia" w:ascii="宋体" w:hAnsi="宋体" w:cs="宋体"/>
          <w:bCs/>
          <w:color w:val="auto"/>
          <w:sz w:val="24"/>
          <w:highlight w:val="none"/>
        </w:rPr>
        <w:t>定期开展消防安全演练，提高消防安全防范技能和意识。</w:t>
      </w:r>
    </w:p>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环境维护服务</w:t>
      </w:r>
    </w:p>
    <w:p>
      <w:pPr>
        <w:numPr>
          <w:ilvl w:val="0"/>
          <w:numId w:val="25"/>
        </w:numPr>
        <w:spacing w:line="360" w:lineRule="auto"/>
        <w:ind w:firstLine="289"/>
        <w:rPr>
          <w:rFonts w:ascii="宋体" w:hAnsi="宋体" w:cs="宋体"/>
          <w:bCs/>
          <w:color w:val="auto"/>
          <w:sz w:val="24"/>
          <w:highlight w:val="none"/>
        </w:rPr>
      </w:pPr>
      <w:r>
        <w:rPr>
          <w:rFonts w:hint="eastAsia" w:ascii="宋体" w:hAnsi="宋体" w:cs="宋体"/>
          <w:bCs/>
          <w:color w:val="auto"/>
          <w:sz w:val="24"/>
          <w:highlight w:val="none"/>
        </w:rPr>
        <w:t>环境卫生服务内容</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负责教学办公楼内教室、办公室、会议室、楼道、楼梯、卫生间、外围、地下空间等公共设施的卫生保洁。</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负责校园文化设施保洁与维护。包括各类灯饰、宣传栏、警示牌、标志牌、雕塑、壁画以及各类校园文化装饰物。</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负责虫害消杀、石材护理、地毯清洁、外墙清洗等定期专项清洁及监管工作。</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做好日常垃圾分类及清运工作，每天清运到指定地点,确保垃圾分类工作符合北京市要求。</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负责楼宇外围三包区域的卫生保洁、铲雪除冰等工作。</w:t>
      </w:r>
    </w:p>
    <w:p>
      <w:pPr>
        <w:numPr>
          <w:ilvl w:val="0"/>
          <w:numId w:val="26"/>
        </w:numPr>
        <w:spacing w:line="360" w:lineRule="auto"/>
        <w:rPr>
          <w:rFonts w:ascii="宋体" w:hAnsi="宋体" w:cs="宋体"/>
          <w:bCs/>
          <w:color w:val="auto"/>
          <w:sz w:val="24"/>
          <w:highlight w:val="none"/>
        </w:rPr>
      </w:pPr>
      <w:r>
        <w:rPr>
          <w:rFonts w:hint="eastAsia" w:ascii="宋体" w:hAnsi="宋体" w:cs="宋体"/>
          <w:bCs/>
          <w:color w:val="auto"/>
          <w:sz w:val="24"/>
          <w:highlight w:val="none"/>
        </w:rPr>
        <w:t>在流行性传染病高发期或爆发期要严格执行学校有关部门防疫要求。</w:t>
      </w:r>
    </w:p>
    <w:p>
      <w:pPr>
        <w:numPr>
          <w:ilvl w:val="0"/>
          <w:numId w:val="25"/>
        </w:numPr>
        <w:spacing w:line="360" w:lineRule="auto"/>
        <w:ind w:firstLine="289"/>
        <w:rPr>
          <w:rFonts w:ascii="宋体" w:hAnsi="宋体" w:cs="宋体"/>
          <w:bCs/>
          <w:color w:val="auto"/>
          <w:sz w:val="24"/>
          <w:highlight w:val="none"/>
        </w:rPr>
      </w:pPr>
      <w:r>
        <w:rPr>
          <w:rFonts w:hint="eastAsia" w:ascii="宋体" w:hAnsi="宋体" w:cs="宋体"/>
          <w:bCs/>
          <w:color w:val="auto"/>
          <w:sz w:val="24"/>
          <w:highlight w:val="none"/>
        </w:rPr>
        <w:t>服务标准：</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3695"/>
        <w:gridCol w:w="2469"/>
        <w:gridCol w:w="427"/>
        <w:gridCol w:w="427"/>
        <w:gridCol w:w="427"/>
        <w:gridCol w:w="427"/>
        <w:gridCol w:w="427"/>
        <w:gridCol w:w="8"/>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区</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域</w:t>
            </w:r>
          </w:p>
        </w:tc>
        <w:tc>
          <w:tcPr>
            <w:tcW w:w="2042"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保洁项目及作业内容</w:t>
            </w:r>
          </w:p>
        </w:tc>
        <w:tc>
          <w:tcPr>
            <w:tcW w:w="1382"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清洁标准</w:t>
            </w:r>
          </w:p>
        </w:tc>
        <w:tc>
          <w:tcPr>
            <w:tcW w:w="206"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每</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日</w:t>
            </w:r>
          </w:p>
        </w:tc>
        <w:tc>
          <w:tcPr>
            <w:tcW w:w="197"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每</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周</w:t>
            </w:r>
          </w:p>
        </w:tc>
        <w:tc>
          <w:tcPr>
            <w:tcW w:w="178"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每</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月</w:t>
            </w:r>
          </w:p>
        </w:tc>
        <w:tc>
          <w:tcPr>
            <w:tcW w:w="210"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每</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季</w:t>
            </w:r>
          </w:p>
        </w:tc>
        <w:tc>
          <w:tcPr>
            <w:tcW w:w="215" w:type="pc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半</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年</w:t>
            </w:r>
          </w:p>
        </w:tc>
        <w:tc>
          <w:tcPr>
            <w:tcW w:w="206" w:type="pct"/>
            <w:gridSpan w:val="2"/>
            <w:vAlign w:val="center"/>
          </w:tcPr>
          <w:p>
            <w:pPr>
              <w:spacing w:line="360" w:lineRule="auto"/>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入</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口</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处</w:t>
            </w: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6"/>
                <w:szCs w:val="21"/>
                <w:highlight w:val="none"/>
              </w:rPr>
              <w:t>入口处地面的清扫、擦洗，。</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无污物，地面光洁</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2、石材地面的牵尘、擦洗。</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无污物，地面光洁</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3、大堂、电梯厅、电梯轿厢内石材结晶、抛光</w:t>
            </w:r>
          </w:p>
        </w:tc>
        <w:tc>
          <w:tcPr>
            <w:tcW w:w="1382" w:type="pct"/>
          </w:tcPr>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无污物，地面光洁</w:t>
            </w:r>
          </w:p>
        </w:tc>
        <w:tc>
          <w:tcPr>
            <w:tcW w:w="206" w:type="pct"/>
          </w:tcPr>
          <w:p>
            <w:pPr>
              <w:spacing w:line="360" w:lineRule="auto"/>
              <w:jc w:val="center"/>
              <w:rPr>
                <w:rFonts w:ascii="宋体" w:hAnsi="宋体" w:cs="宋体"/>
                <w:bCs/>
                <w:color w:val="auto"/>
                <w:szCs w:val="21"/>
                <w:highlight w:val="none"/>
              </w:rPr>
            </w:pPr>
          </w:p>
        </w:tc>
        <w:tc>
          <w:tcPr>
            <w:tcW w:w="197" w:type="pct"/>
          </w:tcPr>
          <w:p>
            <w:pPr>
              <w:spacing w:line="360" w:lineRule="auto"/>
              <w:jc w:val="center"/>
              <w:rPr>
                <w:rFonts w:ascii="宋体" w:hAnsi="宋体" w:cs="宋体"/>
                <w:bCs/>
                <w:color w:val="auto"/>
                <w:szCs w:val="21"/>
                <w:highlight w:val="none"/>
              </w:rPr>
            </w:pPr>
          </w:p>
        </w:tc>
        <w:tc>
          <w:tcPr>
            <w:tcW w:w="178" w:type="pct"/>
          </w:tcPr>
          <w:p>
            <w:pPr>
              <w:spacing w:line="360" w:lineRule="auto"/>
              <w:jc w:val="center"/>
              <w:rPr>
                <w:rFonts w:ascii="宋体" w:hAnsi="宋体" w:cs="宋体"/>
                <w:bCs/>
                <w:color w:val="auto"/>
                <w:szCs w:val="21"/>
                <w:highlight w:val="none"/>
              </w:rPr>
            </w:pPr>
          </w:p>
        </w:tc>
        <w:tc>
          <w:tcPr>
            <w:tcW w:w="210" w:type="pct"/>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pacing w:val="-6"/>
                <w:szCs w:val="21"/>
                <w:highlight w:val="none"/>
              </w:rPr>
              <w:t>门窗框、拉手、玻璃、墙壁饰物的擦拭。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标牌、开关盒、柱子、金属饰物的擦拭。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6、进口雨棚的刷洗。</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干净明亮</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7、墙面的除尘。</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8、墙面污迹的清除。</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9、天花板饰物、灯、灯筒的擦拭。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10、空调进出风口的擦拭。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干净无污迹</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11、消防器材的擦拭。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12、踢脚线的擦拭。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无印迹</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13、垃圾桶的清洗擦拭及倾倒。</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无杂物、无污迹</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走</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楼</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梯</w:t>
            </w: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1、地面的牵尘、擦拭。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vAlign w:val="center"/>
          </w:tcPr>
          <w:p>
            <w:pPr>
              <w:spacing w:line="360" w:lineRule="auto"/>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2、地面的清洗。</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3、擦拭墙壁上的饰物、开关盒。</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4、擦拭花木、标牌。</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5、墙面的除尘。</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6、墙面污迹的清除。</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7、空调进出风口的擦拭。</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干净无污迹</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8、擦拭楼梯扶手、档板、栏杆。</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无尘土、无污迹</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9、扶手、栏杆的抛光。</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无尘土、无污迹</w:t>
            </w:r>
          </w:p>
        </w:tc>
        <w:tc>
          <w:tcPr>
            <w:tcW w:w="206" w:type="pct"/>
          </w:tcPr>
          <w:p>
            <w:pPr>
              <w:spacing w:line="360" w:lineRule="auto"/>
              <w:jc w:val="center"/>
              <w:rPr>
                <w:rFonts w:ascii="宋体" w:hAnsi="宋体" w:cs="宋体"/>
                <w:color w:val="auto"/>
                <w:szCs w:val="21"/>
                <w:highlight w:val="none"/>
              </w:rPr>
            </w:pPr>
          </w:p>
        </w:tc>
        <w:tc>
          <w:tcPr>
            <w:tcW w:w="197"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tabs>
                <w:tab w:val="left" w:pos="480"/>
              </w:tabs>
              <w:spacing w:line="360" w:lineRule="auto"/>
              <w:rPr>
                <w:rFonts w:ascii="宋体" w:hAnsi="宋体" w:cs="宋体"/>
                <w:color w:val="auto"/>
                <w:szCs w:val="21"/>
                <w:highlight w:val="none"/>
              </w:rPr>
            </w:pPr>
            <w:r>
              <w:rPr>
                <w:rFonts w:hint="eastAsia" w:ascii="宋体" w:hAnsi="宋体" w:cs="宋体"/>
                <w:color w:val="auto"/>
                <w:szCs w:val="21"/>
                <w:highlight w:val="none"/>
              </w:rPr>
              <w:t>10、踢脚线的擦拭。</w:t>
            </w:r>
          </w:p>
        </w:tc>
        <w:tc>
          <w:tcPr>
            <w:tcW w:w="1382" w:type="pct"/>
          </w:tcPr>
          <w:p>
            <w:pPr>
              <w:tabs>
                <w:tab w:val="left" w:pos="480"/>
              </w:tabs>
              <w:spacing w:line="360" w:lineRule="auto"/>
              <w:rPr>
                <w:rFonts w:ascii="宋体" w:hAnsi="宋体" w:cs="宋体"/>
                <w:color w:val="auto"/>
                <w:szCs w:val="21"/>
                <w:highlight w:val="none"/>
              </w:rPr>
            </w:pPr>
            <w:r>
              <w:rPr>
                <w:rFonts w:hint="eastAsia" w:ascii="宋体" w:hAnsi="宋体" w:cs="宋体"/>
                <w:color w:val="auto"/>
                <w:szCs w:val="21"/>
                <w:highlight w:val="none"/>
              </w:rPr>
              <w:t>无印迹</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11、垃圾桶的清洗擦拭及倾倒。</w:t>
            </w:r>
          </w:p>
        </w:tc>
        <w:tc>
          <w:tcPr>
            <w:tcW w:w="1382" w:type="pct"/>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无杂物、无污迹</w:t>
            </w:r>
          </w:p>
        </w:tc>
        <w:tc>
          <w:tcPr>
            <w:tcW w:w="206"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tcPr>
          <w:p>
            <w:pPr>
              <w:spacing w:line="360" w:lineRule="auto"/>
              <w:jc w:val="center"/>
              <w:rPr>
                <w:rFonts w:ascii="宋体" w:hAnsi="宋体" w:cs="宋体"/>
                <w:color w:val="auto"/>
                <w:szCs w:val="21"/>
                <w:highlight w:val="none"/>
              </w:rPr>
            </w:pPr>
          </w:p>
        </w:tc>
        <w:tc>
          <w:tcPr>
            <w:tcW w:w="178" w:type="pct"/>
          </w:tcPr>
          <w:p>
            <w:pPr>
              <w:spacing w:line="360" w:lineRule="auto"/>
              <w:jc w:val="center"/>
              <w:rPr>
                <w:rFonts w:ascii="宋体" w:hAnsi="宋体" w:cs="宋体"/>
                <w:color w:val="auto"/>
                <w:szCs w:val="21"/>
                <w:highlight w:val="none"/>
              </w:rPr>
            </w:pPr>
          </w:p>
        </w:tc>
        <w:tc>
          <w:tcPr>
            <w:tcW w:w="210" w:type="pct"/>
          </w:tcPr>
          <w:p>
            <w:pPr>
              <w:spacing w:line="360" w:lineRule="auto"/>
              <w:jc w:val="center"/>
              <w:rPr>
                <w:rFonts w:ascii="宋体" w:hAnsi="宋体" w:cs="宋体"/>
                <w:color w:val="auto"/>
                <w:szCs w:val="21"/>
                <w:highlight w:val="none"/>
              </w:rPr>
            </w:pPr>
          </w:p>
        </w:tc>
        <w:tc>
          <w:tcPr>
            <w:tcW w:w="215" w:type="pct"/>
          </w:tcPr>
          <w:p>
            <w:pPr>
              <w:spacing w:line="360" w:lineRule="auto"/>
              <w:jc w:val="center"/>
              <w:rPr>
                <w:rFonts w:ascii="宋体" w:hAnsi="宋体" w:cs="宋体"/>
                <w:color w:val="auto"/>
                <w:szCs w:val="21"/>
                <w:highlight w:val="none"/>
              </w:rPr>
            </w:pPr>
          </w:p>
        </w:tc>
        <w:tc>
          <w:tcPr>
            <w:tcW w:w="206" w:type="pct"/>
            <w:gridSpan w:val="2"/>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域</w:t>
            </w:r>
          </w:p>
        </w:tc>
        <w:tc>
          <w:tcPr>
            <w:tcW w:w="204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保洁项目及作业内容</w:t>
            </w:r>
          </w:p>
        </w:tc>
        <w:tc>
          <w:tcPr>
            <w:tcW w:w="138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清洁标准</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日</w:t>
            </w: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周</w:t>
            </w: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210"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季</w:t>
            </w:r>
          </w:p>
        </w:tc>
        <w:tc>
          <w:tcPr>
            <w:tcW w:w="215"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w:t>
            </w: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办公室</w:t>
            </w: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教室</w:t>
            </w: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会议室</w:t>
            </w: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1、地面的牵尘、擦拭。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2、地面的清洗。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3、地毯吸尘。</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无杂物、无污迹浮土</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4、办公家具的擦拭。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5、烟缸的清洗、擦拭。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光亮、无烟灰</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6、沙发的吸尘。</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无污迹、无浮土</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7、门、窗台、纱窗的擦拭。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无尘土、无污迹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8、窗框、玻璃及灯具的擦拭。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无尘土、无污迹</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9、窗帘清洗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无尘土、无污渍</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10、踢脚线的擦拭。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无印迹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11、垃圾的倾倒。</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随时清理</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12、卫生间清洁。</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干净、无异味</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13、绿植清洁。</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干净、无尘土。</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14、室内全面清洁</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干净、无尘土、无异味</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域</w:t>
            </w:r>
          </w:p>
        </w:tc>
        <w:tc>
          <w:tcPr>
            <w:tcW w:w="204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保洁项目及作业内容</w:t>
            </w:r>
          </w:p>
        </w:tc>
        <w:tc>
          <w:tcPr>
            <w:tcW w:w="138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清洁标准</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每日</w:t>
            </w: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2日</w:t>
            </w: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周</w:t>
            </w:r>
          </w:p>
        </w:tc>
        <w:tc>
          <w:tcPr>
            <w:tcW w:w="210"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215"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季</w:t>
            </w:r>
          </w:p>
        </w:tc>
        <w:tc>
          <w:tcPr>
            <w:tcW w:w="206" w:type="pct"/>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梯</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厅</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梯</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轿</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箱</w:t>
            </w: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1、电梯厅地面的牵尘、擦洗。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2、电梯厅地面的清洗。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3、电梯厅墙壁、开关、饰物及厅内陈设的擦拭。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干净整洁</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4、开关、运行显示器的擦拭。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干净明亮</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5、电梯门的擦拭。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6、门下部沟槽的清扫。</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7、电梯箱内四壁的擦拭、开关擦拭。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干净明亮</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8、电梯箱内顶部的擦拭。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无杂物、无污迹浮土</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Merge w:val="restar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9、星期毯的清洗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Merge w:val="continue"/>
            <w:vAlign w:val="center"/>
          </w:tcPr>
          <w:p>
            <w:pPr>
              <w:tabs>
                <w:tab w:val="left" w:pos="662"/>
              </w:tabs>
              <w:spacing w:line="360" w:lineRule="auto"/>
              <w:rPr>
                <w:rFonts w:ascii="宋体" w:hAnsi="宋体" w:cs="宋体"/>
                <w:color w:val="auto"/>
                <w:szCs w:val="21"/>
                <w:highlight w:val="none"/>
              </w:rPr>
            </w:pP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无杂物、无污迹浮土</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垃圾桶</w:t>
            </w:r>
          </w:p>
        </w:tc>
        <w:tc>
          <w:tcPr>
            <w:tcW w:w="204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1、地面的擦拭、除尘。</w:t>
            </w: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无污迹及杂物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2、地面的墩洗。</w:t>
            </w: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干净、整洁</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3、木门的擦拭。</w:t>
            </w: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无污迹、无印迹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4、垃圾桶的分类倾倒及擦拭。</w:t>
            </w: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及时、干净</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5、垃圾桶的清洁。</w:t>
            </w:r>
          </w:p>
        </w:tc>
        <w:tc>
          <w:tcPr>
            <w:tcW w:w="1382" w:type="pct"/>
            <w:vAlign w:val="center"/>
          </w:tcPr>
          <w:p>
            <w:pPr>
              <w:tabs>
                <w:tab w:val="left" w:pos="662"/>
              </w:tabs>
              <w:spacing w:line="360" w:lineRule="auto"/>
              <w:rPr>
                <w:rFonts w:ascii="宋体" w:hAnsi="宋体" w:cs="宋体"/>
                <w:color w:val="auto"/>
                <w:szCs w:val="21"/>
                <w:highlight w:val="none"/>
              </w:rPr>
            </w:pPr>
            <w:r>
              <w:rPr>
                <w:rFonts w:hint="eastAsia" w:ascii="宋体" w:hAnsi="宋体" w:cs="宋体"/>
                <w:color w:val="auto"/>
                <w:szCs w:val="21"/>
                <w:highlight w:val="none"/>
              </w:rPr>
              <w:t>干净、无异味</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5" w:type="pct"/>
            <w:vAlign w:val="center"/>
          </w:tcPr>
          <w:p>
            <w:pPr>
              <w:spacing w:line="360" w:lineRule="auto"/>
              <w:jc w:val="center"/>
              <w:rPr>
                <w:rFonts w:ascii="宋体" w:hAnsi="宋体" w:cs="宋体"/>
                <w:color w:val="auto"/>
                <w:szCs w:val="21"/>
                <w:highlight w:val="none"/>
              </w:rPr>
            </w:pPr>
          </w:p>
        </w:tc>
        <w:tc>
          <w:tcPr>
            <w:tcW w:w="206" w:type="pct"/>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54" w:type="pct"/>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域</w:t>
            </w:r>
          </w:p>
        </w:tc>
        <w:tc>
          <w:tcPr>
            <w:tcW w:w="204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保洁项目及作业内容</w:t>
            </w:r>
          </w:p>
        </w:tc>
        <w:tc>
          <w:tcPr>
            <w:tcW w:w="1382"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清洁标准</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w:t>
            </w: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周</w:t>
            </w: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210"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季</w:t>
            </w:r>
          </w:p>
        </w:tc>
        <w:tc>
          <w:tcPr>
            <w:tcW w:w="219" w:type="pct"/>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w:t>
            </w: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卫</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间</w:t>
            </w: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1、地面的清扫、擦洗。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2、地面的清洗。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光洁，无污迹及杂物</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3、擦拭云台、洗手池。</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光洁，无污迹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4、擦拭镜面、皂液盒、烘干器。</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5、擦拭座便器、小便池。</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清洁无污物、无污迹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6、擦拭门窗、隔板、窗台。</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干净明亮</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7、墙面的擦拭。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无尘土、无印迹</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8、灯具的擦拭。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光洁明亮</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9、冲洗恭桶。</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及时冲洗</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10、纸篓的倾倒。</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随时清理</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pacing w:val="-12"/>
                <w:szCs w:val="21"/>
                <w:highlight w:val="none"/>
              </w:rPr>
              <w:t>补充卫生纸、洗手露、香球</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随时补充</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随时</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12、开窗换气、喷撒清香剂。</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适时换气、喷撒</w:t>
            </w:r>
          </w:p>
        </w:tc>
        <w:tc>
          <w:tcPr>
            <w:tcW w:w="206"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13、空调口的擦拭。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无污迹</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14、内窗玻璃的擦拭。</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光洁明亮</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354" w:type="pct"/>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外围重点区域</w:t>
            </w: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1、平台及大台阶的清洗</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清洁干净无返碱、油渍</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2、楼顶平台清扫</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清洁无杂物、碎石</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p>
        </w:tc>
        <w:tc>
          <w:tcPr>
            <w:tcW w:w="178"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3、地沟清理</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清洁无烟头、杂物</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54" w:type="pct"/>
            <w:vMerge w:val="continue"/>
          </w:tcPr>
          <w:p>
            <w:pPr>
              <w:spacing w:line="360" w:lineRule="auto"/>
              <w:jc w:val="center"/>
              <w:rPr>
                <w:rFonts w:ascii="宋体" w:hAnsi="宋体" w:cs="宋体"/>
                <w:color w:val="auto"/>
                <w:szCs w:val="21"/>
                <w:highlight w:val="none"/>
              </w:rPr>
            </w:pPr>
          </w:p>
        </w:tc>
        <w:tc>
          <w:tcPr>
            <w:tcW w:w="204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4、报告厅落地玻璃擦拭清洁</w:t>
            </w:r>
          </w:p>
        </w:tc>
        <w:tc>
          <w:tcPr>
            <w:tcW w:w="1382" w:type="pc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光洁明亮</w:t>
            </w:r>
          </w:p>
        </w:tc>
        <w:tc>
          <w:tcPr>
            <w:tcW w:w="206" w:type="pct"/>
            <w:vAlign w:val="center"/>
          </w:tcPr>
          <w:p>
            <w:pPr>
              <w:spacing w:line="360" w:lineRule="auto"/>
              <w:jc w:val="center"/>
              <w:rPr>
                <w:rFonts w:ascii="宋体" w:hAnsi="宋体" w:cs="宋体"/>
                <w:color w:val="auto"/>
                <w:szCs w:val="21"/>
                <w:highlight w:val="none"/>
              </w:rPr>
            </w:pPr>
          </w:p>
        </w:tc>
        <w:tc>
          <w:tcPr>
            <w:tcW w:w="197" w:type="pc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8" w:type="pct"/>
            <w:vAlign w:val="center"/>
          </w:tcPr>
          <w:p>
            <w:pPr>
              <w:spacing w:line="360" w:lineRule="auto"/>
              <w:jc w:val="center"/>
              <w:rPr>
                <w:rFonts w:ascii="宋体" w:hAnsi="宋体" w:cs="宋体"/>
                <w:color w:val="auto"/>
                <w:szCs w:val="21"/>
                <w:highlight w:val="none"/>
              </w:rPr>
            </w:pPr>
          </w:p>
        </w:tc>
        <w:tc>
          <w:tcPr>
            <w:tcW w:w="210" w:type="pct"/>
            <w:vAlign w:val="center"/>
          </w:tcPr>
          <w:p>
            <w:pPr>
              <w:spacing w:line="360" w:lineRule="auto"/>
              <w:jc w:val="center"/>
              <w:rPr>
                <w:rFonts w:ascii="宋体" w:hAnsi="宋体" w:cs="宋体"/>
                <w:color w:val="auto"/>
                <w:szCs w:val="21"/>
                <w:highlight w:val="none"/>
              </w:rPr>
            </w:pPr>
          </w:p>
        </w:tc>
        <w:tc>
          <w:tcPr>
            <w:tcW w:w="219" w:type="pct"/>
            <w:gridSpan w:val="2"/>
            <w:vAlign w:val="center"/>
          </w:tcPr>
          <w:p>
            <w:pPr>
              <w:spacing w:line="360" w:lineRule="auto"/>
              <w:jc w:val="center"/>
              <w:rPr>
                <w:rFonts w:ascii="宋体" w:hAnsi="宋体" w:cs="宋体"/>
                <w:color w:val="auto"/>
                <w:szCs w:val="21"/>
                <w:highlight w:val="none"/>
              </w:rPr>
            </w:pPr>
          </w:p>
        </w:tc>
        <w:tc>
          <w:tcPr>
            <w:tcW w:w="206" w:type="pct"/>
            <w:vAlign w:val="center"/>
          </w:tcPr>
          <w:p>
            <w:pPr>
              <w:spacing w:line="360" w:lineRule="auto"/>
              <w:jc w:val="center"/>
              <w:rPr>
                <w:rFonts w:ascii="宋体" w:hAnsi="宋体" w:cs="宋体"/>
                <w:color w:val="auto"/>
                <w:szCs w:val="21"/>
                <w:highlight w:val="none"/>
              </w:rPr>
            </w:pPr>
          </w:p>
        </w:tc>
      </w:tr>
    </w:tbl>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会议服务</w:t>
      </w:r>
    </w:p>
    <w:p>
      <w:pPr>
        <w:numPr>
          <w:ilvl w:val="0"/>
          <w:numId w:val="27"/>
        </w:numPr>
        <w:spacing w:line="360" w:lineRule="auto"/>
        <w:ind w:firstLine="147"/>
        <w:rPr>
          <w:rFonts w:ascii="宋体" w:hAnsi="宋体" w:cs="宋体"/>
          <w:bCs/>
          <w:color w:val="auto"/>
          <w:sz w:val="24"/>
          <w:highlight w:val="none"/>
        </w:rPr>
      </w:pPr>
      <w:r>
        <w:rPr>
          <w:rFonts w:hint="eastAsia" w:ascii="宋体" w:hAnsi="宋体" w:cs="宋体"/>
          <w:bCs/>
          <w:color w:val="auto"/>
          <w:sz w:val="24"/>
          <w:highlight w:val="none"/>
        </w:rPr>
        <w:t>服务内容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负责所有参观接待的各项服务工作；负责大厦所有会议室、阶梯教室、多功能厅、报告厅的服务工作；做好会议服务准备，保证24小时业主会议服务要求。具体如下：</w:t>
      </w:r>
    </w:p>
    <w:p>
      <w:pPr>
        <w:numPr>
          <w:ilvl w:val="0"/>
          <w:numId w:val="28"/>
        </w:numPr>
        <w:spacing w:line="360" w:lineRule="auto"/>
        <w:ind w:hanging="496"/>
        <w:rPr>
          <w:rFonts w:ascii="宋体" w:hAnsi="宋体" w:cs="宋体"/>
          <w:bCs/>
          <w:color w:val="auto"/>
          <w:sz w:val="24"/>
          <w:highlight w:val="none"/>
        </w:rPr>
      </w:pPr>
      <w:r>
        <w:rPr>
          <w:rFonts w:hint="eastAsia" w:ascii="宋体" w:hAnsi="宋体" w:cs="宋体"/>
          <w:bCs/>
          <w:color w:val="auto"/>
          <w:sz w:val="24"/>
          <w:highlight w:val="none"/>
        </w:rPr>
        <w:t>会前、会中、会后等常规服务。</w:t>
      </w:r>
    </w:p>
    <w:p>
      <w:pPr>
        <w:numPr>
          <w:ilvl w:val="0"/>
          <w:numId w:val="28"/>
        </w:numPr>
        <w:spacing w:line="360" w:lineRule="auto"/>
        <w:ind w:hanging="496"/>
        <w:rPr>
          <w:rFonts w:ascii="宋体" w:hAnsi="宋体" w:cs="宋体"/>
          <w:bCs/>
          <w:color w:val="auto"/>
          <w:sz w:val="24"/>
          <w:highlight w:val="none"/>
        </w:rPr>
      </w:pPr>
      <w:r>
        <w:rPr>
          <w:rFonts w:hint="eastAsia" w:ascii="宋体" w:hAnsi="宋体" w:cs="宋体"/>
          <w:bCs/>
          <w:color w:val="auto"/>
          <w:sz w:val="24"/>
          <w:highlight w:val="none"/>
        </w:rPr>
        <w:t>会议接待服务。</w:t>
      </w:r>
    </w:p>
    <w:p>
      <w:pPr>
        <w:numPr>
          <w:ilvl w:val="0"/>
          <w:numId w:val="28"/>
        </w:numPr>
        <w:spacing w:line="360" w:lineRule="auto"/>
        <w:ind w:hanging="496"/>
        <w:rPr>
          <w:rFonts w:ascii="宋体" w:hAnsi="宋体" w:cs="宋体"/>
          <w:bCs/>
          <w:color w:val="auto"/>
          <w:sz w:val="24"/>
          <w:highlight w:val="none"/>
        </w:rPr>
      </w:pPr>
      <w:r>
        <w:rPr>
          <w:rFonts w:hint="eastAsia" w:ascii="宋体" w:hAnsi="宋体" w:cs="宋体"/>
          <w:bCs/>
          <w:color w:val="auto"/>
          <w:sz w:val="24"/>
          <w:highlight w:val="none"/>
        </w:rPr>
        <w:t>会议安全服务。</w:t>
      </w:r>
    </w:p>
    <w:p>
      <w:pPr>
        <w:numPr>
          <w:ilvl w:val="0"/>
          <w:numId w:val="28"/>
        </w:numPr>
        <w:spacing w:line="360" w:lineRule="auto"/>
        <w:ind w:hanging="496"/>
        <w:rPr>
          <w:rFonts w:ascii="宋体" w:hAnsi="宋体" w:cs="宋体"/>
          <w:bCs/>
          <w:color w:val="auto"/>
          <w:sz w:val="24"/>
          <w:highlight w:val="none"/>
        </w:rPr>
      </w:pPr>
      <w:r>
        <w:rPr>
          <w:rFonts w:hint="eastAsia" w:ascii="宋体" w:hAnsi="宋体" w:cs="宋体"/>
          <w:bCs/>
          <w:color w:val="auto"/>
          <w:sz w:val="24"/>
          <w:highlight w:val="none"/>
        </w:rPr>
        <w:t>会议用品洗消服务（要符合卫生防疫规范标准和要求）。</w:t>
      </w:r>
    </w:p>
    <w:p>
      <w:pPr>
        <w:numPr>
          <w:ilvl w:val="0"/>
          <w:numId w:val="27"/>
        </w:numPr>
        <w:spacing w:line="360" w:lineRule="auto"/>
        <w:ind w:firstLine="147"/>
        <w:rPr>
          <w:rFonts w:ascii="宋体" w:hAnsi="宋体" w:cs="宋体"/>
          <w:bCs/>
          <w:color w:val="auto"/>
          <w:sz w:val="24"/>
          <w:highlight w:val="none"/>
        </w:rPr>
      </w:pPr>
      <w:r>
        <w:rPr>
          <w:rFonts w:hint="eastAsia" w:ascii="宋体" w:hAnsi="宋体" w:cs="宋体"/>
          <w:bCs/>
          <w:color w:val="auto"/>
          <w:sz w:val="24"/>
          <w:highlight w:val="none"/>
        </w:rPr>
        <w:t>服务标准：</w:t>
      </w:r>
    </w:p>
    <w:p>
      <w:pPr>
        <w:spacing w:line="360" w:lineRule="auto"/>
        <w:ind w:left="567" w:leftChars="270" w:firstLine="240" w:firstLineChars="100"/>
        <w:rPr>
          <w:rFonts w:ascii="宋体" w:hAnsi="宋体" w:cs="宋体"/>
          <w:bCs/>
          <w:color w:val="auto"/>
          <w:sz w:val="24"/>
          <w:highlight w:val="none"/>
        </w:rPr>
      </w:pPr>
      <w:r>
        <w:rPr>
          <w:rFonts w:hint="eastAsia" w:ascii="宋体" w:hAnsi="宋体" w:cs="宋体"/>
          <w:bCs/>
          <w:color w:val="auto"/>
          <w:sz w:val="24"/>
          <w:highlight w:val="none"/>
        </w:rPr>
        <w:t>会前：</w:t>
      </w:r>
    </w:p>
    <w:p>
      <w:pPr>
        <w:numPr>
          <w:ilvl w:val="0"/>
          <w:numId w:val="29"/>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提前向会议主办单位了解会议时间、参会人员和会议服务要求，并做好会议有关准备工作。</w:t>
      </w:r>
    </w:p>
    <w:p>
      <w:pPr>
        <w:numPr>
          <w:ilvl w:val="0"/>
          <w:numId w:val="29"/>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保持会议区域卫生整洁、提前准备好会议服务用具物品，如摆放座签、指示牌、资料等。</w:t>
      </w:r>
    </w:p>
    <w:p>
      <w:pPr>
        <w:numPr>
          <w:ilvl w:val="0"/>
          <w:numId w:val="29"/>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会场布置应整洁、大方。</w:t>
      </w:r>
    </w:p>
    <w:p>
      <w:pPr>
        <w:numPr>
          <w:ilvl w:val="0"/>
          <w:numId w:val="29"/>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检查调试会议使用的设备器材，保证在正常使用状态。</w:t>
      </w:r>
    </w:p>
    <w:p>
      <w:pPr>
        <w:spacing w:line="360" w:lineRule="auto"/>
        <w:ind w:left="567" w:leftChars="270" w:firstLine="240" w:firstLineChars="100"/>
        <w:rPr>
          <w:rFonts w:ascii="宋体" w:hAnsi="宋体" w:cs="宋体"/>
          <w:bCs/>
          <w:color w:val="auto"/>
          <w:sz w:val="24"/>
          <w:highlight w:val="none"/>
        </w:rPr>
      </w:pPr>
      <w:r>
        <w:rPr>
          <w:rFonts w:hint="eastAsia" w:ascii="宋体" w:hAnsi="宋体" w:cs="宋体"/>
          <w:bCs/>
          <w:color w:val="auto"/>
          <w:sz w:val="24"/>
          <w:highlight w:val="none"/>
        </w:rPr>
        <w:t>会中：</w:t>
      </w:r>
    </w:p>
    <w:p>
      <w:pPr>
        <w:numPr>
          <w:ilvl w:val="0"/>
          <w:numId w:val="3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维护会场秩序，防止无关人员进入会议区域。</w:t>
      </w:r>
    </w:p>
    <w:p>
      <w:pPr>
        <w:numPr>
          <w:ilvl w:val="0"/>
          <w:numId w:val="3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会议服务员仪表仪容合格，佩戴工号牌，使用文明服务用语。</w:t>
      </w:r>
    </w:p>
    <w:p>
      <w:pPr>
        <w:numPr>
          <w:ilvl w:val="0"/>
          <w:numId w:val="30"/>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每15分钟巡视1次会场，观察是否需要续倒茶水或更换矿泉水。</w:t>
      </w:r>
    </w:p>
    <w:p>
      <w:pPr>
        <w:numPr>
          <w:ilvl w:val="0"/>
          <w:numId w:val="30"/>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根据业主的需要在门口、电梯口等场所，设置告示牌，配置引导接待员，会议休息期间，引导会议休息区域和卫生间位置。</w:t>
      </w:r>
    </w:p>
    <w:p>
      <w:pPr>
        <w:spacing w:line="360" w:lineRule="auto"/>
        <w:ind w:left="567" w:leftChars="270" w:firstLine="240" w:firstLineChars="100"/>
        <w:rPr>
          <w:rFonts w:ascii="宋体" w:hAnsi="宋体" w:cs="宋体"/>
          <w:bCs/>
          <w:color w:val="auto"/>
          <w:sz w:val="24"/>
          <w:highlight w:val="none"/>
        </w:rPr>
      </w:pPr>
      <w:r>
        <w:rPr>
          <w:rFonts w:hint="eastAsia" w:ascii="宋体" w:hAnsi="宋体" w:cs="宋体"/>
          <w:bCs/>
          <w:color w:val="auto"/>
          <w:sz w:val="24"/>
          <w:highlight w:val="none"/>
        </w:rPr>
        <w:t>会后：</w:t>
      </w:r>
    </w:p>
    <w:p>
      <w:pPr>
        <w:numPr>
          <w:ilvl w:val="0"/>
          <w:numId w:val="31"/>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及时清理会场，将会场遗留的资料文件、物品等交送会议主办部门并做好会议安全保密工作。</w:t>
      </w:r>
    </w:p>
    <w:p>
      <w:pPr>
        <w:numPr>
          <w:ilvl w:val="0"/>
          <w:numId w:val="31"/>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打扫会议区域卫生，整理会议用品，检查、关闭会议使用电源和有关设备，关闭门窗。</w:t>
      </w:r>
    </w:p>
    <w:p>
      <w:pPr>
        <w:numPr>
          <w:ilvl w:val="0"/>
          <w:numId w:val="31"/>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按规范做好杯具、毛巾的洗消工作。全面负责大厦宾客的入住接待，服务咨询、投诉处理、行李寄存、结账服务等工作。</w:t>
      </w:r>
    </w:p>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工程维修服务</w:t>
      </w:r>
    </w:p>
    <w:p>
      <w:pPr>
        <w:numPr>
          <w:ilvl w:val="0"/>
          <w:numId w:val="32"/>
        </w:numPr>
        <w:spacing w:line="360" w:lineRule="auto"/>
        <w:ind w:firstLine="147"/>
        <w:rPr>
          <w:rFonts w:ascii="宋体" w:hAnsi="宋体" w:cs="宋体"/>
          <w:bCs/>
          <w:color w:val="auto"/>
          <w:sz w:val="24"/>
          <w:highlight w:val="none"/>
        </w:rPr>
      </w:pPr>
      <w:r>
        <w:rPr>
          <w:rFonts w:hint="eastAsia" w:ascii="宋体" w:hAnsi="宋体" w:cs="宋体"/>
          <w:bCs/>
          <w:color w:val="auto"/>
          <w:sz w:val="24"/>
          <w:highlight w:val="none"/>
        </w:rPr>
        <w:t>服务内容</w:t>
      </w:r>
    </w:p>
    <w:p>
      <w:pPr>
        <w:numPr>
          <w:ilvl w:val="0"/>
          <w:numId w:val="33"/>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负责房屋非建筑本体、公共设施设备的维修与管理。包括室内墙面、地面，照明、给排水、供暖、供电、制冷、消防、电梯、强弱电等系统的日常小修、急修，保障其正常运行。</w:t>
      </w:r>
    </w:p>
    <w:p>
      <w:pPr>
        <w:numPr>
          <w:ilvl w:val="0"/>
          <w:numId w:val="33"/>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制定详细的公共设施日常检查、维修计划及实施方案。</w:t>
      </w:r>
    </w:p>
    <w:p>
      <w:pPr>
        <w:numPr>
          <w:ilvl w:val="0"/>
          <w:numId w:val="33"/>
        </w:numPr>
        <w:spacing w:line="360" w:lineRule="auto"/>
        <w:ind w:firstLine="6"/>
        <w:rPr>
          <w:rFonts w:ascii="宋体" w:hAnsi="宋体" w:cs="宋体"/>
          <w:bCs/>
          <w:color w:val="auto"/>
          <w:sz w:val="24"/>
          <w:highlight w:val="none"/>
        </w:rPr>
      </w:pPr>
      <w:r>
        <w:rPr>
          <w:rFonts w:hint="eastAsia" w:ascii="宋体" w:hAnsi="宋体" w:cs="宋体"/>
          <w:bCs/>
          <w:color w:val="auto"/>
          <w:sz w:val="24"/>
          <w:highlight w:val="none"/>
        </w:rPr>
        <w:t>制定详尽的各类突发事故应急方案，并能迅速有效进行处置。</w:t>
      </w:r>
    </w:p>
    <w:p>
      <w:pPr>
        <w:numPr>
          <w:ilvl w:val="0"/>
          <w:numId w:val="32"/>
        </w:numPr>
        <w:spacing w:line="360" w:lineRule="auto"/>
        <w:ind w:firstLine="147"/>
        <w:rPr>
          <w:rFonts w:ascii="宋体" w:hAnsi="宋体" w:cs="宋体"/>
          <w:bCs/>
          <w:color w:val="auto"/>
          <w:sz w:val="24"/>
          <w:highlight w:val="none"/>
        </w:rPr>
      </w:pPr>
      <w:r>
        <w:rPr>
          <w:rFonts w:hint="eastAsia" w:ascii="宋体" w:hAnsi="宋体" w:cs="宋体"/>
          <w:bCs/>
          <w:color w:val="auto"/>
          <w:sz w:val="24"/>
          <w:highlight w:val="none"/>
        </w:rPr>
        <w:t>管理标准</w:t>
      </w:r>
    </w:p>
    <w:p>
      <w:pPr>
        <w:numPr>
          <w:ilvl w:val="0"/>
          <w:numId w:val="34"/>
        </w:numPr>
        <w:spacing w:line="360" w:lineRule="auto"/>
        <w:ind w:hanging="594"/>
        <w:rPr>
          <w:rFonts w:ascii="宋体" w:hAnsi="宋体" w:cs="宋体"/>
          <w:bCs/>
          <w:color w:val="auto"/>
          <w:sz w:val="24"/>
          <w:highlight w:val="none"/>
        </w:rPr>
      </w:pPr>
      <w:r>
        <w:rPr>
          <w:rFonts w:hint="eastAsia" w:ascii="宋体" w:hAnsi="宋体" w:cs="宋体"/>
          <w:bCs/>
          <w:color w:val="auto"/>
          <w:sz w:val="24"/>
          <w:highlight w:val="none"/>
        </w:rPr>
        <w:t>建立完善的质量保证体系，提供切实可行的运行管理、维护保养、维修的实施方案和各种措施。</w:t>
      </w:r>
    </w:p>
    <w:p>
      <w:pPr>
        <w:numPr>
          <w:ilvl w:val="0"/>
          <w:numId w:val="34"/>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制定设备安全运行管理、岗位责任制、定期巡视检查、操作规程及监督检查制度，建立岗位责任制，并严格执行。做到科学管理、正确使用，精心维护，备齐备件，及时维修。</w:t>
      </w:r>
    </w:p>
    <w:p>
      <w:pPr>
        <w:numPr>
          <w:ilvl w:val="0"/>
          <w:numId w:val="34"/>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建立安全检查制度，所服务区域设备设施进行日常安全巡检和定期安全检查，并记录备查。实行24小时值班制度，保证设备良好，运行正常，无重大管理责任事故。</w:t>
      </w:r>
    </w:p>
    <w:p>
      <w:pPr>
        <w:numPr>
          <w:ilvl w:val="0"/>
          <w:numId w:val="34"/>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 xml:space="preserve">所需各种专业技术人员配备齐全、维修和操作人员持证上岗。有解决各类故障和事件的能力。 </w:t>
      </w:r>
    </w:p>
    <w:p>
      <w:pPr>
        <w:numPr>
          <w:ilvl w:val="0"/>
          <w:numId w:val="34"/>
        </w:numPr>
        <w:spacing w:line="360" w:lineRule="auto"/>
        <w:ind w:left="0" w:firstLine="426"/>
        <w:rPr>
          <w:rFonts w:ascii="宋体" w:hAnsi="宋体" w:cs="宋体"/>
          <w:bCs/>
          <w:color w:val="auto"/>
          <w:sz w:val="24"/>
          <w:highlight w:val="none"/>
        </w:rPr>
      </w:pPr>
      <w:r>
        <w:rPr>
          <w:rFonts w:hint="eastAsia" w:ascii="宋体" w:hAnsi="宋体" w:cs="宋体"/>
          <w:bCs/>
          <w:color w:val="auto"/>
          <w:sz w:val="24"/>
          <w:highlight w:val="none"/>
        </w:rPr>
        <w:t>建立设备台帐和档案，项目齐全，目录清晰，设备图纸档案、技术资料齐全，管理完善，可随时查阅。</w:t>
      </w:r>
    </w:p>
    <w:p>
      <w:pPr>
        <w:numPr>
          <w:ilvl w:val="0"/>
          <w:numId w:val="15"/>
        </w:numPr>
        <w:spacing w:line="360" w:lineRule="auto"/>
        <w:ind w:hanging="556"/>
        <w:rPr>
          <w:rFonts w:ascii="宋体" w:hAnsi="宋体" w:cs="宋体"/>
          <w:bCs/>
          <w:color w:val="auto"/>
          <w:sz w:val="24"/>
          <w:highlight w:val="none"/>
        </w:rPr>
      </w:pPr>
      <w:r>
        <w:rPr>
          <w:rFonts w:hint="eastAsia" w:ascii="宋体" w:hAnsi="宋体" w:cs="宋体"/>
          <w:bCs/>
          <w:color w:val="auto"/>
          <w:sz w:val="24"/>
          <w:highlight w:val="none"/>
        </w:rPr>
        <w:t>保密工作要求</w:t>
      </w:r>
    </w:p>
    <w:p>
      <w:pPr>
        <w:numPr>
          <w:ilvl w:val="0"/>
          <w:numId w:val="35"/>
        </w:num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中标人应遵守采购人保密规定及相应违约责任，本项目物业服务人员应按照采购人有关部门要求签订保密协议，对知悉、获取的采购人任何信息、资料等均有保密义务，不得转告、传送和持有。同时应承担违反保密规定的法律责任与经济赔偿责任。</w:t>
      </w:r>
    </w:p>
    <w:p>
      <w:pPr>
        <w:numPr>
          <w:ilvl w:val="0"/>
          <w:numId w:val="35"/>
        </w:num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对物业工作中可能涉及的保密工作提出总体性要求：企业及员工不得将大厦内所涉相关人员、数据、内容情况以及其他不应或不适合向外透露的内容透露给第三方。</w:t>
      </w:r>
    </w:p>
    <w:p>
      <w:pPr>
        <w:numPr>
          <w:ilvl w:val="0"/>
          <w:numId w:val="13"/>
        </w:numPr>
        <w:adjustRightInd w:val="0"/>
        <w:spacing w:line="360" w:lineRule="atLeast"/>
        <w:textAlignment w:val="baseline"/>
        <w:rPr>
          <w:rFonts w:ascii="宋体" w:hAnsi="宋体" w:cs="宋体"/>
          <w:b/>
          <w:color w:val="auto"/>
          <w:sz w:val="24"/>
          <w:highlight w:val="none"/>
        </w:rPr>
      </w:pPr>
      <w:r>
        <w:rPr>
          <w:rFonts w:hint="eastAsia" w:ascii="宋体" w:hAnsi="宋体" w:cs="宋体"/>
          <w:b/>
          <w:color w:val="auto"/>
          <w:sz w:val="24"/>
          <w:highlight w:val="none"/>
        </w:rPr>
        <w:t>售后服务及培训要求</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中标人管理人员、专业操作人员按照国家有关规定取得物业管理职业资格证书或者上岗证书，定期培训。</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中标人须把好物业管理工作人员的政审聘用关，经采购人同意后方可录用，签订正式劳动合同，加强思想和职业道德教育，培训相关业务和处理问题的应变能力与保密意识，并保证所有上岗人员均配有行业通用的相应岗位操作资格证书。持证上岗，员工统一着装（如需变更服装式样应事先征求采购人意见），佩戴明显标志，工作规范，作风严谨。</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中标人服务人数应为工作日服务人数不得低于29人（不含正常轮休），服务</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质量应符合本合同技术参数要求的标准，采购人每日对中标人服务人员数量和质量进行核查和验收。如中标人出现服务人员不足时，采购人有权对中标人进行处罚。</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中标人应有岗前培训机制，服务人员100%经过岗前培训合格上岗。同时必须提交岗前培训记录。</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中标人应设立服务电话，接受采购人对管理服务报修、求助、建议、问询、质疑、投诉等各类信息的收集和反馈，并及时处理，有回访制度和记录。定期与采购人沟通，并发放物业管理服务工作征求意见单，对合理的建议及时整改。</w:t>
      </w:r>
    </w:p>
    <w:p>
      <w:pPr>
        <w:numPr>
          <w:ilvl w:val="0"/>
          <w:numId w:val="36"/>
        </w:numPr>
        <w:spacing w:line="360" w:lineRule="auto"/>
        <w:ind w:left="283" w:firstLine="0"/>
        <w:rPr>
          <w:rFonts w:ascii="宋体" w:hAnsi="宋体" w:cs="宋体"/>
          <w:bCs/>
          <w:color w:val="auto"/>
          <w:sz w:val="24"/>
          <w:highlight w:val="none"/>
        </w:rPr>
      </w:pPr>
      <w:r>
        <w:rPr>
          <w:rFonts w:hint="eastAsia" w:ascii="宋体" w:hAnsi="宋体" w:cs="宋体"/>
          <w:bCs/>
          <w:color w:val="auto"/>
          <w:sz w:val="24"/>
          <w:highlight w:val="none"/>
        </w:rPr>
        <w:t>采购人不定期对本物业项目的相关工作进行考核，根据中标人承诺的物业服务标准及作业频次开展检查。考核实行经济惩罚制度，对没有达到服务标准的不合格项采购人有权扣减1000元/项。若出现三次及以上服务标准不合格或对采购人产生不良影响的，采购人有权无条件中指合同。</w:t>
      </w:r>
    </w:p>
    <w:p>
      <w:pPr>
        <w:numPr>
          <w:ilvl w:val="0"/>
          <w:numId w:val="36"/>
        </w:numPr>
        <w:spacing w:line="360" w:lineRule="auto"/>
        <w:ind w:left="283" w:firstLine="0"/>
        <w:rPr>
          <w:rFonts w:ascii="宋体" w:hAnsi="宋体" w:cs="宋体"/>
          <w:color w:val="auto"/>
          <w:sz w:val="24"/>
          <w:highlight w:val="none"/>
        </w:rPr>
      </w:pPr>
      <w:r>
        <w:rPr>
          <w:rFonts w:hint="eastAsia" w:ascii="宋体" w:hAnsi="宋体" w:cs="宋体"/>
          <w:bCs/>
          <w:color w:val="auto"/>
          <w:sz w:val="24"/>
          <w:highlight w:val="none"/>
        </w:rPr>
        <w:t>因中标人未按约定依法按时足额发放员工工资、加班费等费用，或未按约定及时结算经采购人同意的第三方分包费用与报酬，或未提供相关凭证证明上述情况的，采购人除有权扣减相应服务费外，中标人还应向采购人支付合同总金额10%的违约金。若情节严重或为采购人产生严重不良影响，采购</w:t>
      </w:r>
      <w:r>
        <w:rPr>
          <w:rFonts w:hint="eastAsia" w:ascii="宋体" w:hAnsi="宋体" w:cs="宋体"/>
          <w:color w:val="auto"/>
          <w:sz w:val="24"/>
          <w:highlight w:val="none"/>
        </w:rPr>
        <w:t>人有权无条件中止合同。</w:t>
      </w:r>
    </w:p>
    <w:p>
      <w:pPr>
        <w:numPr>
          <w:ilvl w:val="0"/>
          <w:numId w:val="13"/>
        </w:numPr>
        <w:adjustRightInd w:val="0"/>
        <w:spacing w:line="360" w:lineRule="auto"/>
        <w:textAlignment w:val="baseline"/>
        <w:rPr>
          <w:rFonts w:ascii="宋体" w:hAnsi="宋体" w:cs="宋体"/>
          <w:b/>
          <w:color w:val="auto"/>
          <w:sz w:val="24"/>
          <w:highlight w:val="none"/>
        </w:rPr>
      </w:pPr>
      <w:r>
        <w:rPr>
          <w:rFonts w:hint="eastAsia" w:ascii="宋体" w:hAnsi="宋体" w:cs="宋体"/>
          <w:b/>
          <w:color w:val="auto"/>
          <w:sz w:val="24"/>
          <w:highlight w:val="none"/>
        </w:rPr>
        <w:t>交货时间及地点：</w:t>
      </w:r>
    </w:p>
    <w:p>
      <w:pPr>
        <w:numPr>
          <w:ilvl w:val="0"/>
          <w:numId w:val="37"/>
        </w:numPr>
        <w:adjustRightIn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服务期限1年，具体起始日期由首都师范大学（采购人）确定。</w:t>
      </w:r>
    </w:p>
    <w:p>
      <w:pPr>
        <w:numPr>
          <w:ilvl w:val="0"/>
          <w:numId w:val="37"/>
        </w:numPr>
        <w:adjustRightIn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服务地点：北京市海淀区西三环北路83号国际文化学院教学办公楼。</w:t>
      </w:r>
    </w:p>
    <w:p>
      <w:pPr>
        <w:numPr>
          <w:ilvl w:val="0"/>
          <w:numId w:val="13"/>
        </w:numPr>
        <w:adjustRightInd w:val="0"/>
        <w:spacing w:line="360" w:lineRule="auto"/>
        <w:textAlignment w:val="baseline"/>
        <w:rPr>
          <w:rFonts w:ascii="宋体" w:hAnsi="宋体" w:cs="宋体"/>
          <w:b/>
          <w:color w:val="auto"/>
          <w:sz w:val="24"/>
          <w:highlight w:val="none"/>
        </w:rPr>
      </w:pPr>
      <w:r>
        <w:rPr>
          <w:rFonts w:hint="eastAsia" w:ascii="宋体" w:hAnsi="宋体" w:cs="宋体"/>
          <w:b/>
          <w:color w:val="auto"/>
          <w:sz w:val="24"/>
          <w:highlight w:val="none"/>
        </w:rPr>
        <w:t>验收服务要求</w:t>
      </w:r>
    </w:p>
    <w:p>
      <w:pPr>
        <w:numPr>
          <w:ilvl w:val="0"/>
          <w:numId w:val="38"/>
        </w:numPr>
        <w:adjustRightInd w:val="0"/>
        <w:spacing w:line="360" w:lineRule="auto"/>
        <w:ind w:firstLine="6"/>
        <w:textAlignment w:val="baseline"/>
        <w:rPr>
          <w:rFonts w:ascii="宋体" w:hAnsi="宋体" w:cs="宋体"/>
          <w:color w:val="auto"/>
          <w:sz w:val="24"/>
          <w:highlight w:val="none"/>
        </w:rPr>
      </w:pPr>
      <w:r>
        <w:rPr>
          <w:rFonts w:hint="eastAsia" w:ascii="宋体" w:hAnsi="宋体" w:cs="宋体"/>
          <w:color w:val="auto"/>
          <w:sz w:val="24"/>
          <w:highlight w:val="none"/>
        </w:rPr>
        <w:t>物业管理服务质量标准：本合同约定的服务质量标准及物业管理的行业一般标准。两种标准有冲突时，以合同约定为准。</w:t>
      </w:r>
    </w:p>
    <w:p>
      <w:pPr>
        <w:numPr>
          <w:ilvl w:val="0"/>
          <w:numId w:val="38"/>
        </w:numPr>
        <w:adjustRightInd w:val="0"/>
        <w:spacing w:line="360" w:lineRule="auto"/>
        <w:ind w:firstLine="6"/>
        <w:textAlignment w:val="baseline"/>
        <w:rPr>
          <w:rFonts w:ascii="宋体" w:hAnsi="宋体" w:cs="宋体"/>
          <w:color w:val="auto"/>
          <w:sz w:val="24"/>
          <w:highlight w:val="none"/>
        </w:rPr>
      </w:pPr>
      <w:r>
        <w:rPr>
          <w:rFonts w:hint="eastAsia" w:ascii="宋体" w:hAnsi="宋体" w:cs="宋体"/>
          <w:color w:val="auto"/>
          <w:sz w:val="24"/>
          <w:highlight w:val="none"/>
        </w:rPr>
        <w:t>采购人有权要求中标人按投标响应文件提供及时服务,对服务的各阶段及工作成果进行评估和确认，提出修改意见。</w:t>
      </w:r>
    </w:p>
    <w:p>
      <w:pPr>
        <w:numPr>
          <w:ilvl w:val="0"/>
          <w:numId w:val="38"/>
        </w:numPr>
        <w:adjustRightInd w:val="0"/>
        <w:spacing w:line="360" w:lineRule="auto"/>
        <w:ind w:firstLine="6"/>
        <w:textAlignment w:val="baseline"/>
        <w:rPr>
          <w:rFonts w:ascii="宋体" w:hAnsi="宋体" w:cs="宋体"/>
          <w:color w:val="auto"/>
          <w:sz w:val="24"/>
          <w:highlight w:val="none"/>
        </w:rPr>
      </w:pPr>
      <w:r>
        <w:rPr>
          <w:rFonts w:hint="eastAsia" w:ascii="宋体" w:hAnsi="宋体" w:cs="宋体"/>
          <w:color w:val="auto"/>
          <w:sz w:val="24"/>
          <w:highlight w:val="none"/>
        </w:rPr>
        <w:t>如果中标人不能按照本合同的要求履行义务，采购人以书面形式通知中标人，中标人应在7日内予以补正和改进，如果中标人在规定的期限内未能补正和改进，采购人有权中止支付，直至中标人能够按照本合同规定的内容履行义务。</w:t>
      </w:r>
    </w:p>
    <w:p>
      <w:pPr>
        <w:numPr>
          <w:ilvl w:val="0"/>
          <w:numId w:val="38"/>
        </w:numPr>
        <w:adjustRightInd w:val="0"/>
        <w:spacing w:line="360" w:lineRule="auto"/>
        <w:ind w:firstLine="6"/>
        <w:textAlignment w:val="baseline"/>
        <w:rPr>
          <w:rFonts w:ascii="宋体" w:hAnsi="宋体" w:cs="宋体"/>
          <w:color w:val="auto"/>
          <w:sz w:val="24"/>
          <w:highlight w:val="none"/>
        </w:rPr>
      </w:pPr>
      <w:r>
        <w:rPr>
          <w:rFonts w:hint="eastAsia" w:ascii="宋体" w:hAnsi="宋体" w:cs="宋体"/>
          <w:color w:val="auto"/>
          <w:sz w:val="24"/>
          <w:highlight w:val="none"/>
        </w:rPr>
        <w:t>采购人有权检查监督中标人管理工作的实施情况,并有权随时对中标人的管理和服务提出意见、建议。</w:t>
      </w:r>
    </w:p>
    <w:p>
      <w:pPr>
        <w:numPr>
          <w:ilvl w:val="0"/>
          <w:numId w:val="13"/>
        </w:numPr>
        <w:adjustRightInd w:val="0"/>
        <w:spacing w:line="360" w:lineRule="auto"/>
        <w:textAlignment w:val="baseline"/>
        <w:rPr>
          <w:rFonts w:ascii="宋体" w:hAnsi="宋体" w:cs="宋体"/>
          <w:color w:val="auto"/>
          <w:sz w:val="24"/>
          <w:highlight w:val="none"/>
        </w:rPr>
      </w:pPr>
      <w:r>
        <w:rPr>
          <w:rFonts w:hint="eastAsia" w:ascii="宋体" w:hAnsi="宋体" w:cs="宋体"/>
          <w:b/>
          <w:color w:val="auto"/>
          <w:sz w:val="24"/>
          <w:highlight w:val="none"/>
        </w:rPr>
        <w:t>付款方式：在合同签订后，采购人按月度支付服务费。</w:t>
      </w:r>
    </w:p>
    <w:p>
      <w:pPr>
        <w:numPr>
          <w:ilvl w:val="0"/>
          <w:numId w:val="13"/>
        </w:numPr>
        <w:adjustRightInd w:val="0"/>
        <w:spacing w:line="360" w:lineRule="auto"/>
        <w:textAlignment w:val="baseline"/>
        <w:rPr>
          <w:rFonts w:ascii="宋体" w:hAnsi="宋体" w:cs="宋体"/>
          <w:b/>
          <w:color w:val="auto"/>
          <w:sz w:val="24"/>
          <w:highlight w:val="none"/>
        </w:rPr>
      </w:pPr>
      <w:r>
        <w:rPr>
          <w:rFonts w:hint="eastAsia" w:ascii="宋体" w:hAnsi="宋体" w:cs="宋体"/>
          <w:b/>
          <w:color w:val="auto"/>
          <w:sz w:val="24"/>
          <w:highlight w:val="none"/>
        </w:rPr>
        <w:t>其他相关要求</w:t>
      </w:r>
    </w:p>
    <w:p>
      <w:pPr>
        <w:numPr>
          <w:ilvl w:val="0"/>
          <w:numId w:val="39"/>
        </w:numPr>
        <w:spacing w:line="408" w:lineRule="auto"/>
        <w:ind w:firstLine="6"/>
        <w:rPr>
          <w:rFonts w:ascii="宋体" w:hAnsi="宋体" w:cs="宋体"/>
          <w:color w:val="auto"/>
          <w:sz w:val="24"/>
          <w:highlight w:val="none"/>
        </w:rPr>
      </w:pPr>
      <w:r>
        <w:rPr>
          <w:rFonts w:hint="eastAsia" w:ascii="宋体" w:hAnsi="宋体" w:cs="宋体"/>
          <w:color w:val="auto"/>
          <w:sz w:val="24"/>
          <w:highlight w:val="none"/>
        </w:rPr>
        <w:t>采购人</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采购人无偿为中标人提供采购项目运行所需能源、材料、机械、服装等物资配备，中标人配合采购人定期对各种物料配备和日常使用情况进行检查。</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采购人为中标人提供日常所用的办公用房、库房、值班室，满足中标人日常办公需要。</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采购人负责派人监督承包范围内的物业服务质量，发现问题及时通知中标人，以便处理。</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采购人积极采纳中标人在物业服务中的合理化建议，协助处理有关投诉。</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采购人如遇特殊工作需求时，提前通知中标人安排人员。</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采购人有权制定相应的管理措施，以保证中标人按照合同及其它双方议定的标准执行。</w:t>
      </w:r>
    </w:p>
    <w:p>
      <w:pPr>
        <w:numPr>
          <w:ilvl w:val="0"/>
          <w:numId w:val="40"/>
        </w:numPr>
        <w:spacing w:line="480" w:lineRule="exact"/>
        <w:ind w:firstLine="147"/>
        <w:rPr>
          <w:rFonts w:ascii="宋体" w:hAnsi="宋体" w:cs="宋体"/>
          <w:color w:val="auto"/>
          <w:sz w:val="24"/>
          <w:highlight w:val="none"/>
        </w:rPr>
      </w:pPr>
      <w:r>
        <w:rPr>
          <w:rFonts w:hint="eastAsia" w:ascii="宋体" w:hAnsi="宋体" w:cs="宋体"/>
          <w:color w:val="auto"/>
          <w:sz w:val="24"/>
          <w:highlight w:val="none"/>
        </w:rPr>
        <w:t xml:space="preserve">当月业务结束后，采购人对中标人业务完成质量进行确认，经双方确认后方可给付前一个月服务费，如有罚款可在当月服务费中扣除。 </w:t>
      </w:r>
    </w:p>
    <w:p>
      <w:pPr>
        <w:numPr>
          <w:ilvl w:val="0"/>
          <w:numId w:val="41"/>
        </w:numPr>
        <w:spacing w:line="408" w:lineRule="auto"/>
        <w:rPr>
          <w:rFonts w:ascii="宋体" w:hAnsi="宋体" w:cs="宋体"/>
          <w:color w:val="auto"/>
          <w:sz w:val="24"/>
          <w:highlight w:val="none"/>
        </w:rPr>
      </w:pPr>
      <w:r>
        <w:rPr>
          <w:rFonts w:hint="eastAsia" w:ascii="宋体" w:hAnsi="宋体" w:cs="宋体"/>
          <w:color w:val="auto"/>
          <w:sz w:val="24"/>
          <w:highlight w:val="none"/>
        </w:rPr>
        <w:t>中标人</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中标人需按项目要求制定实施细则、工作细则、奖罚措施和人员编制情况及有关管理制度，针对留学生公寓服务管理工作措施，保障质量措施等，以及突发事件的应急处置流程。必须指定常驻现场负责人具体安排及全面督导日常服务工作，巡检（分自检和参与采购人联检）现场物业服务质量，及时处理采购人投诉，并保持与采购人相关负责人的日常联系，配合、协调各项工作。</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中标人全体人员的就餐、劳保福利、医疗、工伤、死亡、保险等问题由中标人自行解决，与采购人无任何关系。由于中标人责任在物业服务过程中造成的物业员工及他人伤害，由中标人承担全部责任。</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中标人派驻采购人的工作人员，应接受采购人主管的监督和指导，并接受采购人按双方确定的标准对其工作进行检查。</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须向采购人提交所有驻本项目人员的身份证复印件,需填写人员在岗登记表，每月上交采购人以备检。员工着装整齐，在工作时间内须统一穿着工作服、佩带工牌，在工作时间内不得擅自离开工作岗位。中标人更换人员须经采购人同意，并重新提供新更换人员的身份证复印件，擅自更改或不到位均属违约行为。</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服从采购人日常临时工作安排，必须保障节假日、上级检查参观或者大厦内部临时性大型活动的场地布置与服务保障工作。</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积极听取采购人对本项目物业服务工作的意见，认真配合并完成其他特殊服务保障事项。如遇台风、水浸等意外情况，有义务在采购人的统一指挥下参加抢险工作。</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遵守采购人的各项规章制度，爱护采购人的财物，维护采购人良好的形象。损坏采购人物品须照价赔偿，对有违法乱纪或违反采购人各项规定的员工，中标人应予以严肃处理。</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中标人现场工作人员有责任向采购人反映公共设施、设备的完好状况，在采购人管辖范围内发现安全隐患及可疑人员时，应及时做好安全防范工作。</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若因中标人承包范围内的物业服务质量达不到标准而受到有关部门的批评或处罚，由中标人承担罚金等全部责任。</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如遇突发状况，中标人需增派人员紧急支援，增派人员应服从采购人统一安排无条件的支持。</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制定全年工作计划，并分解到各月，每年度组织一次满意度调查，如遇工作调整须及时通知采购人。</w:t>
      </w:r>
    </w:p>
    <w:p>
      <w:pPr>
        <w:numPr>
          <w:ilvl w:val="0"/>
          <w:numId w:val="42"/>
        </w:numPr>
        <w:spacing w:line="408" w:lineRule="auto"/>
        <w:ind w:firstLine="147"/>
        <w:rPr>
          <w:rFonts w:ascii="宋体" w:hAnsi="宋体" w:cs="宋体"/>
          <w:color w:val="auto"/>
          <w:sz w:val="24"/>
          <w:highlight w:val="none"/>
        </w:rPr>
      </w:pPr>
      <w:r>
        <w:rPr>
          <w:rFonts w:hint="eastAsia" w:ascii="宋体" w:hAnsi="宋体" w:cs="宋体"/>
          <w:color w:val="auto"/>
          <w:sz w:val="24"/>
          <w:highlight w:val="none"/>
        </w:rPr>
        <w:t>做到：每月28日前以书面形式向采购人提交下月作业计划，每月10日以前以书面形式向采购人提交上月月度工作总结及整改措施，并接受采购人关于计划的合理建议和要求。已制定的月度作业计划如需修正或调整须及时通知采购人。</w:t>
      </w:r>
    </w:p>
    <w:p>
      <w:pPr>
        <w:numPr>
          <w:ilvl w:val="0"/>
          <w:numId w:val="41"/>
        </w:numPr>
        <w:spacing w:line="408" w:lineRule="auto"/>
        <w:rPr>
          <w:rFonts w:ascii="宋体" w:hAnsi="宋体" w:cs="宋体"/>
          <w:color w:val="auto"/>
          <w:sz w:val="24"/>
          <w:highlight w:val="none"/>
        </w:rPr>
      </w:pPr>
      <w:r>
        <w:rPr>
          <w:rFonts w:hint="eastAsia" w:ascii="宋体" w:hAnsi="宋体" w:cs="宋体"/>
          <w:color w:val="auto"/>
          <w:sz w:val="24"/>
          <w:highlight w:val="none"/>
        </w:rPr>
        <w:t>其它</w:t>
      </w:r>
    </w:p>
    <w:p>
      <w:pPr>
        <w:numPr>
          <w:ilvl w:val="0"/>
          <w:numId w:val="43"/>
        </w:numPr>
        <w:spacing w:line="408" w:lineRule="auto"/>
        <w:ind w:firstLine="6"/>
        <w:rPr>
          <w:rFonts w:ascii="宋体" w:hAnsi="宋体" w:cs="宋体"/>
          <w:color w:val="auto"/>
          <w:sz w:val="24"/>
          <w:highlight w:val="none"/>
        </w:rPr>
      </w:pPr>
      <w:r>
        <w:rPr>
          <w:rFonts w:hint="eastAsia" w:ascii="宋体" w:hAnsi="宋体" w:cs="宋体"/>
          <w:color w:val="auto"/>
          <w:sz w:val="24"/>
          <w:highlight w:val="none"/>
        </w:rPr>
        <w:t>如有临时任务，中标者须按照采购人要求的工作开始时间派遣服务人员到位，并正常开展工作。</w:t>
      </w:r>
    </w:p>
    <w:p>
      <w:pPr>
        <w:numPr>
          <w:ilvl w:val="0"/>
          <w:numId w:val="43"/>
        </w:numPr>
        <w:spacing w:line="408" w:lineRule="auto"/>
        <w:ind w:firstLine="6"/>
        <w:rPr>
          <w:rFonts w:ascii="宋体" w:hAnsi="宋体" w:cs="宋体"/>
          <w:color w:val="auto"/>
          <w:sz w:val="24"/>
          <w:highlight w:val="none"/>
        </w:rPr>
      </w:pPr>
      <w:r>
        <w:rPr>
          <w:rFonts w:hint="eastAsia" w:ascii="宋体" w:hAnsi="宋体" w:cs="宋体"/>
          <w:color w:val="auto"/>
          <w:sz w:val="24"/>
          <w:highlight w:val="none"/>
        </w:rPr>
        <w:t>采购人的招标文件、中标人的投标文件及其承诺书均为签定合同的依据及合同组成文件。</w:t>
      </w:r>
    </w:p>
    <w:p>
      <w:pPr>
        <w:rPr>
          <w:rFonts w:ascii="宋体" w:hAnsi="宋体"/>
          <w:b/>
          <w:color w:val="auto"/>
          <w:sz w:val="36"/>
          <w:szCs w:val="36"/>
          <w:highlight w:val="none"/>
        </w:rPr>
      </w:pPr>
    </w:p>
    <w:p>
      <w:pPr>
        <w:rPr>
          <w:rFonts w:ascii="宋体" w:hAnsi="宋体"/>
          <w:b/>
          <w:color w:val="auto"/>
          <w:sz w:val="36"/>
          <w:szCs w:val="36"/>
          <w:highlight w:val="none"/>
        </w:rPr>
      </w:pPr>
      <w:bookmarkStart w:id="665" w:name="_Toc29306"/>
      <w:bookmarkStart w:id="666" w:name="_Toc10792"/>
      <w:r>
        <w:rPr>
          <w:rFonts w:ascii="宋体" w:hAnsi="宋体"/>
          <w:b/>
          <w:color w:val="auto"/>
          <w:sz w:val="36"/>
          <w:szCs w:val="36"/>
          <w:highlight w:val="none"/>
        </w:rPr>
        <w:br w:type="page"/>
      </w:r>
    </w:p>
    <w:p>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w:t>
      </w:r>
      <w:r>
        <w:rPr>
          <w:rFonts w:hint="eastAsia" w:ascii="宋体" w:hAnsi="宋体"/>
          <w:b/>
          <w:color w:val="auto"/>
          <w:sz w:val="36"/>
          <w:szCs w:val="36"/>
          <w:highlight w:val="none"/>
        </w:rPr>
        <w:t>五</w:t>
      </w:r>
      <w:r>
        <w:rPr>
          <w:rFonts w:ascii="宋体" w:hAnsi="宋体"/>
          <w:b/>
          <w:color w:val="auto"/>
          <w:sz w:val="36"/>
          <w:szCs w:val="36"/>
          <w:highlight w:val="none"/>
        </w:rPr>
        <w:t>章  拟签订的合同文本</w:t>
      </w:r>
      <w:bookmarkEnd w:id="665"/>
      <w:bookmarkEnd w:id="666"/>
    </w:p>
    <w:p>
      <w:pPr>
        <w:jc w:val="center"/>
        <w:rPr>
          <w:rFonts w:ascii="宋体" w:hAnsi="宋体"/>
          <w:color w:val="auto"/>
          <w:highlight w:val="none"/>
        </w:rPr>
      </w:pPr>
      <w:r>
        <w:rPr>
          <w:rFonts w:hint="eastAsia" w:ascii="宋体" w:hAnsi="宋体"/>
          <w:color w:val="auto"/>
          <w:highlight w:val="none"/>
        </w:rPr>
        <w:t>（以实际签订为准）</w:t>
      </w:r>
    </w:p>
    <w:p>
      <w:pPr>
        <w:widowControl/>
        <w:jc w:val="left"/>
        <w:rPr>
          <w:rFonts w:ascii="宋体" w:hAnsi="宋体"/>
          <w:b/>
          <w:color w:val="auto"/>
          <w:sz w:val="36"/>
          <w:szCs w:val="36"/>
          <w:highlight w:val="none"/>
        </w:rPr>
      </w:pPr>
    </w:p>
    <w:p>
      <w:pPr>
        <w:rPr>
          <w:color w:val="auto"/>
          <w:highlight w:val="none"/>
        </w:rPr>
      </w:pPr>
    </w:p>
    <w:p>
      <w:pPr>
        <w:rPr>
          <w:color w:val="auto"/>
          <w:highlight w:val="none"/>
        </w:rPr>
      </w:pPr>
    </w:p>
    <w:p>
      <w:pPr>
        <w:widowControl/>
        <w:spacing w:line="360" w:lineRule="auto"/>
        <w:jc w:val="center"/>
        <w:rPr>
          <w:rFonts w:ascii="宋体" w:hAnsi="宋体" w:eastAsia="Arial Unicode MS" w:cs="宋体"/>
          <w:b/>
          <w:color w:val="auto"/>
          <w:kern w:val="0"/>
          <w:sz w:val="24"/>
          <w:highlight w:val="none"/>
        </w:rPr>
      </w:pPr>
      <w:r>
        <w:rPr>
          <w:rFonts w:hint="eastAsia" w:ascii="宋体" w:hAnsi="宋体" w:eastAsia="Arial Unicode MS" w:cs="宋体"/>
          <w:b/>
          <w:color w:val="auto"/>
          <w:kern w:val="0"/>
          <w:sz w:val="24"/>
          <w:highlight w:val="none"/>
        </w:rPr>
        <w:t>国际文化学院教学办公楼物业委托管理合同</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w:t>
      </w:r>
    </w:p>
    <w:p>
      <w:pPr>
        <w:widowControl/>
        <w:spacing w:line="360" w:lineRule="auto"/>
        <w:jc w:val="left"/>
        <w:rPr>
          <w:rFonts w:ascii="宋体" w:hAnsi="宋体" w:eastAsia="Arial Unicode MS" w:cs="宋体"/>
          <w:color w:val="auto"/>
          <w:kern w:val="0"/>
          <w:sz w:val="24"/>
          <w:highlight w:val="none"/>
        </w:rPr>
      </w:pPr>
    </w:p>
    <w:p>
      <w:pPr>
        <w:widowControl/>
        <w:spacing w:line="360" w:lineRule="auto"/>
        <w:ind w:firstLine="600" w:firstLineChars="25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根据中华人民共和国有关法律规定，甲方将“首都师范大学国际文化学院教学办公楼”物业进行委托管理。该楼宇集教学科研、办公会议为一体，总建筑面积11000平方米；鉴于乙方具有发展、经营和管理大厦物业所必需的知识经验，甲方愿意按照本合同条款内容，委托乙方协助甲方对国际文化学院教学办公楼进行物业管理工作。乙方愿意接受委托，依法开展物业管理活动，通过严格科学的管理，热情优质的服务为学院创造整洁、优美、舒适、安全的环境，并为大厦的物业管理做出贡献，并承担受托事项的法律责任。为此双方达成如下协议：</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第一条  </w:t>
      </w:r>
      <w:r>
        <w:rPr>
          <w:rFonts w:hint="eastAsia" w:ascii="宋体" w:hAnsi="宋体" w:eastAsia="Arial Unicode MS" w:cs="宋体"/>
          <w:color w:val="auto"/>
          <w:kern w:val="0"/>
          <w:sz w:val="24"/>
          <w:highlight w:val="none"/>
        </w:rPr>
        <w:t xml:space="preserve"> 委托期限：自   年   月  日起至   年  月  日止，期限  年。</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第二条  </w:t>
      </w:r>
      <w:r>
        <w:rPr>
          <w:rFonts w:hint="eastAsia" w:ascii="宋体" w:hAnsi="宋体" w:eastAsia="Arial Unicode MS" w:cs="宋体"/>
          <w:color w:val="auto"/>
          <w:kern w:val="0"/>
          <w:sz w:val="24"/>
          <w:highlight w:val="none"/>
        </w:rPr>
        <w:t xml:space="preserve"> 物业委托管理内容</w:t>
      </w:r>
    </w:p>
    <w:p>
      <w:pPr>
        <w:numPr>
          <w:ilvl w:val="0"/>
          <w:numId w:val="44"/>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教学办公楼建筑物本体公用设施设备及其配套设施的日常维护、养护管理和</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运行服务。</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物业管理区域内公共秩序和环境卫生的维护；</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供水、供电、供气、通讯等教学办公楼内专业设备设施的管理及维护养护；</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物业管理区域内的秩序安全、消防安全及相关工作；</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物业管理区域内的教学服务、会议服务；</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物业档案资料的保管及物业相关账务的管理；</w:t>
      </w:r>
    </w:p>
    <w:p>
      <w:pPr>
        <w:numPr>
          <w:ilvl w:val="0"/>
          <w:numId w:val="44"/>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其他法规和政策规定由物业管理的其他事项。</w:t>
      </w:r>
    </w:p>
    <w:p>
      <w:pPr>
        <w:pStyle w:val="17"/>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第三条 </w:t>
      </w:r>
      <w:r>
        <w:rPr>
          <w:rFonts w:hint="eastAsia" w:ascii="宋体" w:hAnsi="宋体" w:eastAsia="Arial Unicode MS" w:cs="宋体"/>
          <w:color w:val="auto"/>
          <w:kern w:val="0"/>
          <w:sz w:val="24"/>
          <w:highlight w:val="none"/>
        </w:rPr>
        <w:t xml:space="preserve">  物业管理服务标准：乙方按照整洁、有序、安全原则提供管理服务，服务标准不得低于《北京高校标准化物业服务标准—教室（学）楼标准（试行）》中规定的相应要求。</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第四条 </w:t>
      </w:r>
      <w:r>
        <w:rPr>
          <w:rFonts w:hint="eastAsia" w:ascii="宋体" w:hAnsi="宋体" w:eastAsia="Arial Unicode MS" w:cs="宋体"/>
          <w:color w:val="auto"/>
          <w:kern w:val="0"/>
          <w:sz w:val="24"/>
          <w:highlight w:val="none"/>
        </w:rPr>
        <w:t xml:space="preserve">  甲方权利义务</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甲方应按照资金管理计划，提供能满足教学办公楼正常经营及管理所需资金，</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保证资金及时到位并承担大厦运行中的各项费用。</w:t>
      </w:r>
    </w:p>
    <w:p>
      <w:pPr>
        <w:numPr>
          <w:ilvl w:val="0"/>
          <w:numId w:val="45"/>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甲方向乙方提供教学办公楼相关资料，供乙方制定各项方案之参考。</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甲方为乙方的物业项目经理提供标准间一个及必要的办公设备、设施。甲方</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为乙方的其它管理人员提供必需的办公条件。</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甲方审核批准物业会计年度的财务预算及资产预算报告建议书（包括收入预</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测、费用预算、资产重置计划、人力资源配置等重大经营管理事项）。</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大厦有关物业管理的运行费用由甲方财务直接划转至用款人帐户并实施有效</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监管。</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甲方有权向乙方提出物业管理要求，对物业管理工作进行监督，有权要求乙</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方按约定提供服务，如服务达不到标准，有权书面通知乙方限期整改，预期未改的，甲方有权对乙方进行处罚。</w:t>
      </w:r>
    </w:p>
    <w:p>
      <w:pPr>
        <w:numPr>
          <w:ilvl w:val="0"/>
          <w:numId w:val="45"/>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对乙方指派招聘的物业管理和服务人员有下列情形之一的，甲方有权要求乙</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方无条件更换或解聘。</w:t>
      </w:r>
    </w:p>
    <w:p>
      <w:pPr>
        <w:numPr>
          <w:ilvl w:val="0"/>
          <w:numId w:val="46"/>
        </w:numPr>
        <w:spacing w:line="360" w:lineRule="auto"/>
        <w:ind w:left="851" w:hanging="1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不能胜任所在岗位的工作；</w:t>
      </w:r>
    </w:p>
    <w:p>
      <w:pPr>
        <w:numPr>
          <w:ilvl w:val="0"/>
          <w:numId w:val="46"/>
        </w:numPr>
        <w:spacing w:line="360" w:lineRule="auto"/>
        <w:ind w:left="851" w:hanging="1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推诿、抵触甲方正常监督检查工作；</w:t>
      </w:r>
    </w:p>
    <w:p>
      <w:pPr>
        <w:numPr>
          <w:ilvl w:val="0"/>
          <w:numId w:val="46"/>
        </w:numPr>
        <w:spacing w:line="360" w:lineRule="auto"/>
        <w:ind w:left="851" w:hanging="1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无视甲方提出的合理化建议；</w:t>
      </w:r>
    </w:p>
    <w:p>
      <w:pPr>
        <w:numPr>
          <w:ilvl w:val="0"/>
          <w:numId w:val="46"/>
        </w:numPr>
        <w:spacing w:line="360" w:lineRule="auto"/>
        <w:ind w:left="851" w:hanging="1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对工作严重失职或有违法行为的责任人及其主管人员。</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第五条 </w:t>
      </w:r>
      <w:r>
        <w:rPr>
          <w:rFonts w:hint="eastAsia" w:ascii="宋体" w:hAnsi="宋体" w:eastAsia="Arial Unicode MS" w:cs="宋体"/>
          <w:color w:val="auto"/>
          <w:kern w:val="0"/>
          <w:sz w:val="24"/>
          <w:highlight w:val="none"/>
        </w:rPr>
        <w:t xml:space="preserve">  乙方的权利义务</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乙方按照本合同要求提供服务技术管理，合法经营，优质高效地在合同内完</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成各项工作内容，使大厦顺利运营。合同有效期内，在乙方所管辖领域内如因乙方管理过错造成人身、财产损害，由乙方承担相应责任，甲方有权解除本合同。</w:t>
      </w:r>
    </w:p>
    <w:p>
      <w:pPr>
        <w:numPr>
          <w:ilvl w:val="0"/>
          <w:numId w:val="47"/>
        </w:numPr>
        <w:spacing w:line="360" w:lineRule="auto"/>
        <w:ind w:left="85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如乙方提供的服务不能满足甲方要求，甲方应对乙方存在的问题发出书面整</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改限期通知，乙方须积极、主动与甲方沟通，并及时整改。</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妥善保管甲方移交的各种资料，并在本合同解除或终止后，十五日内完备交</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还甲方。</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乙方按照教学办公楼经营管理需要委派物业管理人员，根据运营需求，在甲</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方不增加人力资源成本费的情况下，双方协商增减乙方派遣的工作人员。</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乙方协助甲方制订教学办公楼年度计划建议书，于每年十一月底前协助甲方</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编制下一会计年度的财务预算及资产预算报告建议书（包括收入预测、费用测算、资产重置计划、人力资源配置等其他重大经营管理事项）。</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乙方应制定物业的人事、劳动、工资、奖惩、福利和保险等制度，报甲方备</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案。</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根据《中华人民共和国劳动法》在物业实行全员劳动合同制，应依法为员工</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上国家规定的所有险项，并严格按照《劳动合同法》规定签订、续签或解除、终止各级、各类从业人员。</w:t>
      </w:r>
    </w:p>
    <w:p>
      <w:pPr>
        <w:numPr>
          <w:ilvl w:val="0"/>
          <w:numId w:val="47"/>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任免各部、室经理时，需甲乙双方同意并严格执行人力资源配置的有关规定。</w:t>
      </w:r>
    </w:p>
    <w:p>
      <w:pPr>
        <w:numPr>
          <w:ilvl w:val="0"/>
          <w:numId w:val="47"/>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严格管理物业的财务与财产，确保甲方资产的保值增值，注意节能。</w:t>
      </w:r>
    </w:p>
    <w:p>
      <w:pPr>
        <w:numPr>
          <w:ilvl w:val="0"/>
          <w:numId w:val="47"/>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乙方对大厦实施规范化、标准化管理保证服务质量，优化住宿生活环境。</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乙方必须严保甲方及大厦所有业务资料和商业机密，未经甲方事先书面许可，</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不得泄露给第三方。</w:t>
      </w:r>
    </w:p>
    <w:p>
      <w:pPr>
        <w:numPr>
          <w:ilvl w:val="0"/>
          <w:numId w:val="47"/>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遵从甲方的财务管理制度。</w:t>
      </w:r>
    </w:p>
    <w:p>
      <w:pPr>
        <w:numPr>
          <w:ilvl w:val="0"/>
          <w:numId w:val="47"/>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如甲方遇假期等特殊情况不能及时支付物业所需费用时，乙方应先行垫付，</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甲方一个月内支付乙方。</w:t>
      </w:r>
    </w:p>
    <w:p>
      <w:pPr>
        <w:numPr>
          <w:ilvl w:val="0"/>
          <w:numId w:val="47"/>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本合同期满，乙方应配合甲方在合同终止日之前十五日办理移交事项。</w:t>
      </w:r>
    </w:p>
    <w:p>
      <w:pPr>
        <w:numPr>
          <w:ilvl w:val="0"/>
          <w:numId w:val="48"/>
        </w:numPr>
        <w:spacing w:line="360" w:lineRule="auto"/>
        <w:ind w:left="993" w:hanging="13"/>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对教学办公楼物业管理服务进行财务审计；</w:t>
      </w:r>
    </w:p>
    <w:p>
      <w:pPr>
        <w:numPr>
          <w:ilvl w:val="0"/>
          <w:numId w:val="48"/>
        </w:numPr>
        <w:spacing w:line="360" w:lineRule="auto"/>
        <w:ind w:left="993" w:hanging="13"/>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共同就委托管理服务的资产进行清查和资产移交；</w:t>
      </w:r>
    </w:p>
    <w:p>
      <w:pPr>
        <w:numPr>
          <w:ilvl w:val="0"/>
          <w:numId w:val="48"/>
        </w:numPr>
        <w:spacing w:line="360" w:lineRule="auto"/>
        <w:ind w:left="993" w:hanging="13"/>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乙方应将管理服务过程中的一切文件、档案、图纸等书面资料同时移交给甲</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方；</w:t>
      </w:r>
    </w:p>
    <w:p>
      <w:pPr>
        <w:numPr>
          <w:ilvl w:val="0"/>
          <w:numId w:val="48"/>
        </w:numPr>
        <w:spacing w:line="360" w:lineRule="auto"/>
        <w:ind w:left="993" w:hanging="13"/>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乙方须向甲方移交由甲方提供的办公及仓储用房和设施设备；</w:t>
      </w:r>
    </w:p>
    <w:p>
      <w:pPr>
        <w:numPr>
          <w:ilvl w:val="0"/>
          <w:numId w:val="48"/>
        </w:numPr>
        <w:spacing w:line="360" w:lineRule="auto"/>
        <w:ind w:left="993" w:hanging="13"/>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乙方对物业管理过程中自身应承担的债务负清偿责任。</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第六条</w:t>
      </w:r>
      <w:r>
        <w:rPr>
          <w:rFonts w:hint="eastAsia" w:ascii="宋体" w:hAnsi="宋体" w:eastAsia="Arial Unicode MS" w:cs="宋体"/>
          <w:color w:val="auto"/>
          <w:kern w:val="0"/>
          <w:sz w:val="24"/>
          <w:highlight w:val="none"/>
        </w:rPr>
        <w:t xml:space="preserve">  人力资源成本及支付</w:t>
      </w:r>
    </w:p>
    <w:p>
      <w:pPr>
        <w:widowControl/>
        <w:spacing w:line="360" w:lineRule="auto"/>
        <w:ind w:firstLine="600" w:firstLineChars="25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根据甲乙双方约定，大厦物业管理运作所需的人力资源等成本费用全年为人民币</w:t>
      </w:r>
      <w:r>
        <w:rPr>
          <w:rFonts w:hint="eastAsia" w:ascii="宋体" w:hAnsi="宋体" w:eastAsia="Arial Unicode MS" w:cs="宋体"/>
          <w:color w:val="auto"/>
          <w:kern w:val="0"/>
          <w:sz w:val="24"/>
          <w:highlight w:val="none"/>
          <w:u w:val="single"/>
        </w:rPr>
        <w:t xml:space="preserve">        </w:t>
      </w:r>
      <w:r>
        <w:rPr>
          <w:rFonts w:hint="eastAsia" w:ascii="宋体" w:hAnsi="宋体" w:eastAsia="Arial Unicode MS" w:cs="宋体"/>
          <w:color w:val="auto"/>
          <w:kern w:val="0"/>
          <w:sz w:val="24"/>
          <w:highlight w:val="none"/>
        </w:rPr>
        <w:t>万元，由甲方按月据实支付给乙方，每月15日前将本月的费用划拨至乙方指定账户。</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第七条 </w:t>
      </w:r>
      <w:r>
        <w:rPr>
          <w:rFonts w:hint="eastAsia" w:ascii="宋体" w:hAnsi="宋体" w:eastAsia="Arial Unicode MS" w:cs="宋体"/>
          <w:color w:val="auto"/>
          <w:kern w:val="0"/>
          <w:sz w:val="24"/>
          <w:highlight w:val="none"/>
        </w:rPr>
        <w:t xml:space="preserve"> 履约保证金数额及管理使用</w:t>
      </w:r>
    </w:p>
    <w:p>
      <w:pPr>
        <w:widowControl/>
        <w:spacing w:line="360" w:lineRule="auto"/>
        <w:ind w:firstLine="480" w:firstLineChars="20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乙方应在签约时缴纳人民币20万元履约保证金，用于乙方违约或侵权时的费用承担；乙方应在上述费用发生后五日内补足；每逾期一日应缴纳500元违约金；合同解除或终止之日起五日内，甲方据实与乙方结清履约保证金。</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第八条</w:t>
      </w:r>
      <w:r>
        <w:rPr>
          <w:rFonts w:hint="eastAsia" w:ascii="宋体" w:hAnsi="宋体" w:eastAsia="Arial Unicode MS" w:cs="宋体"/>
          <w:color w:val="auto"/>
          <w:kern w:val="0"/>
          <w:sz w:val="24"/>
          <w:highlight w:val="none"/>
        </w:rPr>
        <w:t xml:space="preserve">  违约条款</w:t>
      </w:r>
    </w:p>
    <w:p>
      <w:pPr>
        <w:numPr>
          <w:ilvl w:val="0"/>
          <w:numId w:val="49"/>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如甲方不及时足额付款，从违约日起每日承担应付款项的万分之三违约金。</w:t>
      </w:r>
    </w:p>
    <w:p>
      <w:pPr>
        <w:numPr>
          <w:ilvl w:val="0"/>
          <w:numId w:val="49"/>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如乙方非法经营或聘请无资质人员上岗，甲方有权解除合同。</w:t>
      </w:r>
    </w:p>
    <w:p>
      <w:pPr>
        <w:numPr>
          <w:ilvl w:val="0"/>
          <w:numId w:val="49"/>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甲方有权随时检查乙方工作人员的出勤情况，乙方服务人数应为工作日服务</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人数不得低于29人（不含正常轮休），每缺少1个，乙方应向甲方支付当月物业管理费的5%的违约金，违约金可从应支付的物业管理费中直接扣除。缺岗超过2人或在一个月内被甲方发现缺岗超过三次以上（含三次）的，甲方有权解除合同并不予支付当月的物业管理费。</w:t>
      </w:r>
    </w:p>
    <w:p>
      <w:pPr>
        <w:numPr>
          <w:ilvl w:val="0"/>
          <w:numId w:val="49"/>
        </w:numPr>
        <w:spacing w:line="360" w:lineRule="auto"/>
        <w:ind w:left="851" w:hanging="291"/>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甲方不定期对本物业项目的相关工作进行考核，根据乙方承诺的物业服务标</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准及作业频次开展检查。考核实行经济惩罚制度，对没有达到服务标准的不合格项有权扣减1000元/项。若考核出现三次及以上服务标准不合格或对甲方产生不良影响，甲方有权无条件中止合同。</w:t>
      </w:r>
    </w:p>
    <w:p>
      <w:pPr>
        <w:numPr>
          <w:ilvl w:val="0"/>
          <w:numId w:val="49"/>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因乙方未按约定依法按时足额发放员工工资、加班费等费用，或未按约定及</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时结算经乙方同意的第三方分包费用与报酬，或未提供相关凭证证明上述情况的，甲方除有权扣减相应服务费外，乙方还应向甲方支付本合同总金额10%的违约金。若情节严重或对甲方产生严重不良影响，甲方有权无条件中止合同。</w:t>
      </w:r>
    </w:p>
    <w:p>
      <w:pPr>
        <w:numPr>
          <w:ilvl w:val="0"/>
          <w:numId w:val="49"/>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如乙方在经营及管理中不尽安全保障义务造成人身财产损害等，由乙方承担</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全部责任。</w:t>
      </w:r>
    </w:p>
    <w:p>
      <w:pPr>
        <w:numPr>
          <w:ilvl w:val="0"/>
          <w:numId w:val="49"/>
        </w:numPr>
        <w:spacing w:line="360" w:lineRule="auto"/>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若物业管理区域发生大件物品失窃、失火、人身伤害等给乙方带来不良影响</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的事故，属乙方员工故意或管理不当造成的，甲方有权单方面终止合同，乙方需赔偿甲方遭受的全部经济损失，情节严重的，由司法机关追究相关人员的刑事责任。</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第九条   </w:t>
      </w:r>
      <w:r>
        <w:rPr>
          <w:rFonts w:hint="eastAsia" w:ascii="宋体" w:hAnsi="宋体" w:eastAsia="Arial Unicode MS" w:cs="宋体"/>
          <w:color w:val="auto"/>
          <w:kern w:val="0"/>
          <w:sz w:val="24"/>
          <w:highlight w:val="none"/>
        </w:rPr>
        <w:t>争议解决</w:t>
      </w:r>
    </w:p>
    <w:p>
      <w:pPr>
        <w:widowControl/>
        <w:spacing w:line="360" w:lineRule="auto"/>
        <w:ind w:firstLine="480" w:firstLineChars="20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在本合同履行中如发生争议，双方应协商解决，协商不成一方可诉请北京市海淀区人民法院依法裁决。</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第十条 </w:t>
      </w:r>
      <w:r>
        <w:rPr>
          <w:rFonts w:hint="eastAsia" w:ascii="宋体" w:hAnsi="宋体" w:eastAsia="Arial Unicode MS" w:cs="宋体"/>
          <w:color w:val="auto"/>
          <w:kern w:val="0"/>
          <w:sz w:val="24"/>
          <w:highlight w:val="none"/>
        </w:rPr>
        <w:t xml:space="preserve">  约束</w:t>
      </w:r>
    </w:p>
    <w:p>
      <w:pPr>
        <w:widowControl/>
        <w:spacing w:line="360" w:lineRule="auto"/>
        <w:ind w:firstLine="480" w:firstLineChars="20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本合同受中华人民共和国的法律保护和约束。如本合同有未尽事宜或本合同中的任何部分，由国家（含地方政府）有关法律、法规的变化而进行相应条款的调整时，两方重新修改本合同或修订补充条款。</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第十一条</w:t>
      </w:r>
      <w:r>
        <w:rPr>
          <w:rFonts w:hint="eastAsia" w:ascii="宋体" w:hAnsi="宋体" w:eastAsia="Arial Unicode MS" w:cs="宋体"/>
          <w:color w:val="auto"/>
          <w:kern w:val="0"/>
          <w:sz w:val="24"/>
          <w:highlight w:val="none"/>
        </w:rPr>
        <w:t xml:space="preserve">   本合同解除或终止之日后十五日内，乙方应完成工作交接，如因乙方原因造成交接迟延，每逾期壹日乙方应支付人民币壹万元违约金。</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第十二条</w:t>
      </w:r>
      <w:r>
        <w:rPr>
          <w:rFonts w:hint="eastAsia" w:ascii="宋体" w:hAnsi="宋体" w:eastAsia="Arial Unicode MS" w:cs="宋体"/>
          <w:color w:val="auto"/>
          <w:kern w:val="0"/>
          <w:sz w:val="24"/>
          <w:highlight w:val="none"/>
        </w:rPr>
        <w:t xml:space="preserve">   本合同一式捌份，甲、乙双方各执肆份，具有同等法律效力。</w:t>
      </w:r>
    </w:p>
    <w:p>
      <w:pPr>
        <w:widowControl/>
        <w:spacing w:line="360" w:lineRule="auto"/>
        <w:ind w:firstLine="482" w:firstLineChars="200"/>
        <w:jc w:val="left"/>
        <w:rPr>
          <w:rFonts w:ascii="宋体" w:hAnsi="宋体" w:eastAsia="Arial Unicode MS" w:cs="宋体"/>
          <w:color w:val="auto"/>
          <w:kern w:val="0"/>
          <w:sz w:val="24"/>
          <w:highlight w:val="none"/>
        </w:rPr>
      </w:pPr>
      <w:r>
        <w:rPr>
          <w:rFonts w:hint="eastAsia" w:ascii="宋体" w:hAnsi="宋体" w:eastAsia="Arial Unicode MS" w:cs="宋体"/>
          <w:b/>
          <w:color w:val="auto"/>
          <w:kern w:val="0"/>
          <w:sz w:val="24"/>
          <w:highlight w:val="none"/>
        </w:rPr>
        <w:t xml:space="preserve">第十三条  </w:t>
      </w:r>
      <w:r>
        <w:rPr>
          <w:rFonts w:hint="eastAsia" w:ascii="宋体" w:hAnsi="宋体" w:eastAsia="Arial Unicode MS" w:cs="宋体"/>
          <w:color w:val="auto"/>
          <w:kern w:val="0"/>
          <w:sz w:val="24"/>
          <w:highlight w:val="none"/>
        </w:rPr>
        <w:t xml:space="preserve"> 本合同经甲、乙双方盖章并经双方授权代表签字后生效，修改时亦同。</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（本页无正文）</w:t>
      </w:r>
    </w:p>
    <w:p>
      <w:pPr>
        <w:widowControl/>
        <w:spacing w:line="360" w:lineRule="auto"/>
        <w:ind w:left="1155" w:leftChars="93" w:hanging="960" w:hangingChars="40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 xml:space="preserve">甲方：                     乙方： </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（公章）                   （公章）</w:t>
      </w:r>
    </w:p>
    <w:p>
      <w:pPr>
        <w:widowControl/>
        <w:spacing w:line="360" w:lineRule="auto"/>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授权代表（签字）            授权代表（签字）</w:t>
      </w:r>
    </w:p>
    <w:p>
      <w:pPr>
        <w:widowControl/>
        <w:spacing w:line="360" w:lineRule="auto"/>
        <w:ind w:left="1521" w:leftChars="267" w:hanging="960" w:hangingChars="400"/>
        <w:jc w:val="left"/>
        <w:rPr>
          <w:rFonts w:ascii="宋体" w:hAnsi="宋体" w:eastAsia="Arial Unicode MS" w:cs="宋体"/>
          <w:color w:val="auto"/>
          <w:kern w:val="0"/>
          <w:sz w:val="24"/>
          <w:highlight w:val="none"/>
        </w:rPr>
      </w:pPr>
      <w:r>
        <w:rPr>
          <w:rFonts w:hint="eastAsia" w:ascii="宋体" w:hAnsi="宋体" w:eastAsia="Arial Unicode MS" w:cs="宋体"/>
          <w:color w:val="auto"/>
          <w:kern w:val="0"/>
          <w:sz w:val="24"/>
          <w:highlight w:val="none"/>
        </w:rPr>
        <w:t>年  月  日                  年   月  日</w:t>
      </w:r>
    </w:p>
    <w:p>
      <w:pPr>
        <w:widowControl/>
        <w:jc w:val="left"/>
        <w:rPr>
          <w:rFonts w:ascii="仿宋" w:hAnsi="仿宋" w:eastAsia="仿宋" w:cs="Arial Unicode MS"/>
          <w:color w:val="auto"/>
          <w:kern w:val="0"/>
          <w:sz w:val="24"/>
          <w:highlight w:val="none"/>
          <w:lang w:val="zh-CN"/>
        </w:rPr>
      </w:pPr>
    </w:p>
    <w:p>
      <w:pPr>
        <w:widowControl/>
        <w:jc w:val="left"/>
        <w:rPr>
          <w:rFonts w:ascii="仿宋" w:hAnsi="仿宋" w:eastAsia="仿宋" w:cs="Arial Unicode MS"/>
          <w:color w:val="auto"/>
          <w:kern w:val="0"/>
          <w:sz w:val="24"/>
          <w:highlight w:val="none"/>
          <w:lang w:val="zh-CN"/>
        </w:rPr>
      </w:pPr>
    </w:p>
    <w:p>
      <w:pPr>
        <w:widowControl/>
        <w:jc w:val="left"/>
        <w:rPr>
          <w:rFonts w:ascii="仿宋" w:hAnsi="仿宋" w:eastAsia="仿宋" w:cs="Arial Unicode MS"/>
          <w:color w:val="auto"/>
          <w:kern w:val="0"/>
          <w:sz w:val="24"/>
          <w:highlight w:val="none"/>
          <w:lang w:val="zh-CN"/>
        </w:rPr>
      </w:pPr>
    </w:p>
    <w:p>
      <w:pPr>
        <w:widowControl/>
        <w:jc w:val="left"/>
        <w:rPr>
          <w:rFonts w:ascii="仿宋" w:hAnsi="仿宋" w:eastAsia="仿宋" w:cs="Arial Unicode MS"/>
          <w:color w:val="auto"/>
          <w:kern w:val="0"/>
          <w:sz w:val="24"/>
          <w:highlight w:val="none"/>
          <w:lang w:val="zh-CN"/>
        </w:rPr>
      </w:pPr>
    </w:p>
    <w:p>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br w:type="page"/>
      </w:r>
      <w:bookmarkStart w:id="667" w:name="_Toc20502"/>
      <w:bookmarkStart w:id="668" w:name="_Toc27794"/>
      <w:r>
        <w:rPr>
          <w:rFonts w:ascii="宋体" w:hAnsi="宋体"/>
          <w:b/>
          <w:color w:val="auto"/>
          <w:sz w:val="36"/>
          <w:szCs w:val="36"/>
          <w:highlight w:val="none"/>
        </w:rPr>
        <w:t>第</w:t>
      </w:r>
      <w:r>
        <w:rPr>
          <w:rFonts w:hint="eastAsia" w:ascii="宋体" w:hAnsi="宋体"/>
          <w:b/>
          <w:color w:val="auto"/>
          <w:sz w:val="36"/>
          <w:szCs w:val="36"/>
          <w:highlight w:val="none"/>
        </w:rPr>
        <w:t>六</w:t>
      </w:r>
      <w:r>
        <w:rPr>
          <w:rFonts w:ascii="宋体" w:hAnsi="宋体"/>
          <w:b/>
          <w:color w:val="auto"/>
          <w:sz w:val="36"/>
          <w:szCs w:val="36"/>
          <w:highlight w:val="none"/>
        </w:rPr>
        <w:t xml:space="preserve">章  </w:t>
      </w:r>
      <w:r>
        <w:rPr>
          <w:rFonts w:hint="eastAsia" w:ascii="宋体" w:hAnsi="宋体"/>
          <w:b/>
          <w:color w:val="auto"/>
          <w:sz w:val="36"/>
          <w:szCs w:val="36"/>
          <w:highlight w:val="none"/>
        </w:rPr>
        <w:t>响应文件</w:t>
      </w:r>
      <w:r>
        <w:rPr>
          <w:rFonts w:ascii="宋体" w:hAnsi="宋体"/>
          <w:b/>
          <w:color w:val="auto"/>
          <w:sz w:val="36"/>
          <w:szCs w:val="36"/>
          <w:highlight w:val="none"/>
        </w:rPr>
        <w:t>格式</w:t>
      </w:r>
      <w:bookmarkEnd w:id="667"/>
      <w:bookmarkEnd w:id="668"/>
    </w:p>
    <w:p>
      <w:pPr>
        <w:tabs>
          <w:tab w:val="left" w:pos="900"/>
          <w:tab w:val="left" w:pos="1980"/>
        </w:tabs>
        <w:snapToGrid w:val="0"/>
        <w:spacing w:line="360" w:lineRule="auto"/>
        <w:ind w:left="142"/>
        <w:rPr>
          <w:rFonts w:ascii="宋体" w:hAnsi="宋体"/>
          <w:b/>
          <w:color w:val="auto"/>
          <w:sz w:val="24"/>
          <w:highlight w:val="none"/>
        </w:rPr>
      </w:pPr>
    </w:p>
    <w:p>
      <w:pPr>
        <w:tabs>
          <w:tab w:val="left" w:pos="900"/>
          <w:tab w:val="left" w:pos="1980"/>
        </w:tabs>
        <w:snapToGrid w:val="0"/>
        <w:spacing w:line="360" w:lineRule="auto"/>
        <w:ind w:left="142"/>
        <w:rPr>
          <w:rFonts w:ascii="宋体" w:hAnsi="宋体"/>
          <w:b/>
          <w:color w:val="auto"/>
          <w:sz w:val="24"/>
          <w:highlight w:val="none"/>
        </w:rPr>
      </w:pPr>
    </w:p>
    <w:p>
      <w:pPr>
        <w:tabs>
          <w:tab w:val="left" w:pos="900"/>
          <w:tab w:val="left" w:pos="1980"/>
        </w:tabs>
        <w:snapToGrid w:val="0"/>
        <w:spacing w:line="360" w:lineRule="auto"/>
        <w:ind w:left="142"/>
        <w:rPr>
          <w:rFonts w:ascii="宋体" w:hAnsi="宋体"/>
          <w:color w:val="auto"/>
          <w:sz w:val="24"/>
          <w:highlight w:val="none"/>
        </w:rPr>
      </w:pPr>
      <w:r>
        <w:rPr>
          <w:rFonts w:hint="eastAsia" w:ascii="宋体" w:hAnsi="宋体"/>
          <w:b/>
          <w:color w:val="auto"/>
          <w:sz w:val="24"/>
          <w:highlight w:val="none"/>
        </w:rPr>
        <w:t>供应商</w:t>
      </w:r>
      <w:r>
        <w:rPr>
          <w:rFonts w:ascii="宋体" w:hAnsi="宋体"/>
          <w:b/>
          <w:color w:val="auto"/>
          <w:sz w:val="24"/>
          <w:highlight w:val="none"/>
        </w:rPr>
        <w:t>编制文件须知</w:t>
      </w:r>
    </w:p>
    <w:p>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w:t>
      </w:r>
      <w:r>
        <w:rPr>
          <w:rFonts w:ascii="宋体" w:hAnsi="宋体"/>
          <w:color w:val="auto"/>
          <w:sz w:val="24"/>
          <w:highlight w:val="none"/>
        </w:rPr>
        <w:t>按照本部分的顺序编制</w:t>
      </w:r>
      <w:r>
        <w:rPr>
          <w:rFonts w:hint="eastAsia" w:ascii="宋体" w:hAnsi="宋体"/>
          <w:color w:val="auto"/>
          <w:sz w:val="24"/>
          <w:highlight w:val="none"/>
        </w:rPr>
        <w:t>响应文件</w:t>
      </w:r>
      <w:r>
        <w:rPr>
          <w:rFonts w:ascii="宋体" w:hAnsi="宋体"/>
          <w:color w:val="auto"/>
          <w:sz w:val="24"/>
          <w:highlight w:val="none"/>
        </w:rPr>
        <w:t>（资格证明文件）、</w:t>
      </w:r>
      <w:r>
        <w:rPr>
          <w:rFonts w:hint="eastAsia" w:ascii="宋体" w:hAnsi="宋体"/>
          <w:color w:val="auto"/>
          <w:sz w:val="24"/>
          <w:highlight w:val="none"/>
        </w:rPr>
        <w:t>响应文件</w:t>
      </w:r>
      <w:r>
        <w:rPr>
          <w:rFonts w:ascii="宋体" w:hAnsi="宋体"/>
          <w:color w:val="auto"/>
          <w:sz w:val="24"/>
          <w:highlight w:val="none"/>
        </w:rPr>
        <w:t>（商务技术文件），</w:t>
      </w:r>
      <w:r>
        <w:rPr>
          <w:rFonts w:hint="eastAsia" w:ascii="宋体" w:hAnsi="宋体"/>
          <w:color w:val="auto"/>
          <w:sz w:val="24"/>
          <w:highlight w:val="none"/>
        </w:rPr>
        <w:t>资格证明文件和商务技术文件可装订成一本；</w:t>
      </w:r>
      <w:r>
        <w:rPr>
          <w:rFonts w:ascii="宋体" w:hAnsi="宋体"/>
          <w:color w:val="auto"/>
          <w:sz w:val="24"/>
          <w:highlight w:val="none"/>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w:t>
      </w:r>
      <w:r>
        <w:rPr>
          <w:rFonts w:hint="eastAsia" w:ascii="宋体" w:hAnsi="宋体"/>
          <w:color w:val="auto"/>
          <w:kern w:val="0"/>
          <w:sz w:val="24"/>
          <w:highlight w:val="none"/>
        </w:rPr>
        <w:t>比选文件成交</w:t>
      </w:r>
      <w:r>
        <w:rPr>
          <w:rFonts w:ascii="宋体" w:hAnsi="宋体"/>
          <w:color w:val="auto"/>
          <w:kern w:val="0"/>
          <w:sz w:val="24"/>
          <w:highlight w:val="none"/>
        </w:rPr>
        <w:t>记了“实质性格式”文件的，</w:t>
      </w:r>
      <w:r>
        <w:rPr>
          <w:rFonts w:hint="eastAsia" w:ascii="宋体" w:hAnsi="宋体"/>
          <w:color w:val="auto"/>
          <w:sz w:val="24"/>
          <w:highlight w:val="none"/>
        </w:rPr>
        <w:t>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hint="eastAsia" w:ascii="宋体" w:hAnsi="宋体"/>
          <w:b/>
          <w:color w:val="auto"/>
          <w:kern w:val="0"/>
          <w:sz w:val="24"/>
          <w:highlight w:val="none"/>
        </w:rPr>
        <w:t>响应</w:t>
      </w:r>
      <w:r>
        <w:rPr>
          <w:rFonts w:ascii="宋体" w:hAnsi="宋体"/>
          <w:b/>
          <w:color w:val="auto"/>
          <w:kern w:val="0"/>
          <w:sz w:val="24"/>
          <w:highlight w:val="none"/>
        </w:rPr>
        <w:t>无效</w:t>
      </w:r>
      <w:r>
        <w:rPr>
          <w:rFonts w:ascii="宋体" w:hAnsi="宋体"/>
          <w:color w:val="auto"/>
          <w:kern w:val="0"/>
          <w:sz w:val="24"/>
          <w:highlight w:val="none"/>
        </w:rPr>
        <w:t>。未标记“实质性格式”的文件和</w:t>
      </w:r>
      <w:r>
        <w:rPr>
          <w:rFonts w:hint="eastAsia" w:ascii="宋体" w:hAnsi="宋体"/>
          <w:color w:val="auto"/>
          <w:kern w:val="0"/>
          <w:sz w:val="24"/>
          <w:highlight w:val="none"/>
        </w:rPr>
        <w:t>比选文件</w:t>
      </w:r>
      <w:r>
        <w:rPr>
          <w:rFonts w:ascii="宋体" w:hAnsi="宋体"/>
          <w:color w:val="auto"/>
          <w:kern w:val="0"/>
          <w:sz w:val="24"/>
          <w:highlight w:val="none"/>
        </w:rPr>
        <w:t>未提供格式的内容，可由</w:t>
      </w:r>
      <w:r>
        <w:rPr>
          <w:rFonts w:hint="eastAsia" w:ascii="宋体" w:hAnsi="宋体"/>
          <w:color w:val="auto"/>
          <w:kern w:val="0"/>
          <w:sz w:val="24"/>
          <w:highlight w:val="none"/>
        </w:rPr>
        <w:t>供应商</w:t>
      </w:r>
      <w:r>
        <w:rPr>
          <w:rFonts w:ascii="宋体" w:hAnsi="宋体"/>
          <w:color w:val="auto"/>
          <w:kern w:val="0"/>
          <w:sz w:val="24"/>
          <w:highlight w:val="none"/>
        </w:rPr>
        <w:t>自行编写。</w:t>
      </w:r>
    </w:p>
    <w:p>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3、全部声明和问题的回答及所附材料必须是真实的、准确的和完整的。</w:t>
      </w:r>
    </w:p>
    <w:p>
      <w:pPr>
        <w:widowControl/>
        <w:jc w:val="left"/>
        <w:rPr>
          <w:rFonts w:ascii="宋体" w:hAnsi="宋体"/>
          <w:color w:val="auto"/>
          <w:sz w:val="24"/>
          <w:highlight w:val="none"/>
        </w:rPr>
      </w:pPr>
      <w:r>
        <w:rPr>
          <w:rFonts w:ascii="宋体" w:hAnsi="宋体"/>
          <w:color w:val="auto"/>
          <w:sz w:val="24"/>
          <w:highlight w:val="none"/>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color w:val="auto"/>
          <w:kern w:val="0"/>
          <w:sz w:val="30"/>
          <w:szCs w:val="20"/>
          <w:highlight w:val="none"/>
        </w:rPr>
      </w:pPr>
      <w:r>
        <w:rPr>
          <w:rFonts w:ascii="宋体" w:hAnsi="宋体"/>
          <w:b/>
          <w:color w:val="auto"/>
          <w:spacing w:val="20"/>
          <w:sz w:val="24"/>
          <w:highlight w:val="none"/>
        </w:rPr>
        <w:t>一、资格证明文件格式</w:t>
      </w:r>
    </w:p>
    <w:p>
      <w:pPr>
        <w:rPr>
          <w:rFonts w:ascii="宋体" w:hAnsi="宋体"/>
          <w:b/>
          <w:color w:val="auto"/>
          <w:spacing w:val="20"/>
          <w:szCs w:val="21"/>
          <w:highlight w:val="none"/>
        </w:rPr>
      </w:pPr>
    </w:p>
    <w:p>
      <w:pPr>
        <w:rPr>
          <w:rFonts w:ascii="宋体" w:hAnsi="宋体"/>
          <w:b/>
          <w:color w:val="auto"/>
          <w:sz w:val="24"/>
          <w:highlight w:val="none"/>
        </w:rPr>
      </w:pPr>
      <w:r>
        <w:rPr>
          <w:rFonts w:hint="eastAsia" w:ascii="宋体" w:hAnsi="宋体"/>
          <w:b/>
          <w:color w:val="auto"/>
          <w:spacing w:val="20"/>
          <w:sz w:val="24"/>
          <w:highlight w:val="none"/>
        </w:rPr>
        <w:t>响应文件</w:t>
      </w:r>
      <w:r>
        <w:rPr>
          <w:rFonts w:ascii="宋体" w:hAnsi="宋体"/>
          <w:b/>
          <w:color w:val="auto"/>
          <w:spacing w:val="20"/>
          <w:sz w:val="24"/>
          <w:highlight w:val="none"/>
        </w:rPr>
        <w:t>（资格证明文件）</w:t>
      </w:r>
      <w:r>
        <w:rPr>
          <w:rFonts w:ascii="宋体" w:hAnsi="宋体"/>
          <w:b/>
          <w:color w:val="auto"/>
          <w:sz w:val="24"/>
          <w:highlight w:val="none"/>
        </w:rPr>
        <w:t>封面（非实质性格式）</w:t>
      </w:r>
    </w:p>
    <w:p>
      <w:pPr>
        <w:jc w:val="center"/>
        <w:rPr>
          <w:rFonts w:ascii="宋体" w:hAnsi="宋体"/>
          <w:color w:val="auto"/>
          <w:szCs w:val="21"/>
          <w:highlight w:val="none"/>
        </w:rPr>
      </w:pPr>
    </w:p>
    <w:p>
      <w:pPr>
        <w:jc w:val="center"/>
        <w:rPr>
          <w:rFonts w:ascii="宋体" w:hAnsi="宋体"/>
          <w:b/>
          <w:color w:val="auto"/>
          <w:spacing w:val="60"/>
          <w:sz w:val="84"/>
          <w:szCs w:val="84"/>
          <w:highlight w:val="none"/>
        </w:rPr>
      </w:pPr>
      <w:r>
        <w:rPr>
          <w:rFonts w:hint="eastAsia" w:ascii="宋体" w:hAnsi="宋体"/>
          <w:b/>
          <w:color w:val="auto"/>
          <w:spacing w:val="60"/>
          <w:sz w:val="84"/>
          <w:szCs w:val="84"/>
          <w:highlight w:val="none"/>
        </w:rPr>
        <w:t>响</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应</w:t>
      </w:r>
      <w:r>
        <w:rPr>
          <w:rFonts w:ascii="宋体" w:hAnsi="宋体"/>
          <w:b/>
          <w:color w:val="auto"/>
          <w:spacing w:val="60"/>
          <w:sz w:val="84"/>
          <w:szCs w:val="84"/>
          <w:highlight w:val="none"/>
        </w:rPr>
        <w:t xml:space="preserve"> 文 件</w:t>
      </w:r>
    </w:p>
    <w:p>
      <w:pPr>
        <w:jc w:val="center"/>
        <w:rPr>
          <w:rFonts w:ascii="宋体" w:hAnsi="宋体"/>
          <w:b/>
          <w:color w:val="auto"/>
          <w:spacing w:val="60"/>
          <w:sz w:val="52"/>
          <w:szCs w:val="52"/>
          <w:highlight w:val="none"/>
        </w:rPr>
      </w:pPr>
      <w:r>
        <w:rPr>
          <w:rFonts w:ascii="宋体" w:hAnsi="宋体"/>
          <w:b/>
          <w:color w:val="auto"/>
          <w:spacing w:val="60"/>
          <w:sz w:val="52"/>
          <w:szCs w:val="52"/>
          <w:highlight w:val="none"/>
        </w:rPr>
        <w:t>（资格证明文件）</w:t>
      </w: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ascii="宋体" w:hAnsi="宋体"/>
          <w:b/>
          <w:color w:val="auto"/>
          <w:spacing w:val="20"/>
          <w:sz w:val="32"/>
          <w:szCs w:val="32"/>
          <w:highlight w:val="none"/>
        </w:rPr>
      </w:pPr>
      <w:r>
        <w:rPr>
          <w:rFonts w:ascii="宋体" w:hAnsi="宋体"/>
          <w:b/>
          <w:color w:val="auto"/>
          <w:spacing w:val="20"/>
          <w:sz w:val="32"/>
          <w:szCs w:val="32"/>
          <w:highlight w:val="none"/>
        </w:rPr>
        <w:t>项目编号/包号：</w:t>
      </w: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pacing w:val="20"/>
          <w:sz w:val="32"/>
          <w:szCs w:val="32"/>
          <w:highlight w:val="none"/>
        </w:rPr>
      </w:pPr>
    </w:p>
    <w:p>
      <w:pPr>
        <w:jc w:val="center"/>
        <w:rPr>
          <w:rFonts w:ascii="宋体" w:hAnsi="宋体"/>
          <w:b/>
          <w:color w:val="auto"/>
          <w:spacing w:val="20"/>
          <w:sz w:val="32"/>
          <w:szCs w:val="32"/>
          <w:highlight w:val="none"/>
        </w:rPr>
      </w:pPr>
    </w:p>
    <w:p>
      <w:pPr>
        <w:jc w:val="center"/>
        <w:rPr>
          <w:rFonts w:ascii="宋体" w:hAnsi="宋体"/>
          <w:b/>
          <w:color w:val="auto"/>
          <w:spacing w:val="20"/>
          <w:sz w:val="32"/>
          <w:szCs w:val="32"/>
          <w:highlight w:val="none"/>
        </w:rPr>
      </w:pPr>
    </w:p>
    <w:p>
      <w:pPr>
        <w:spacing w:line="360" w:lineRule="auto"/>
        <w:ind w:firstLine="1445" w:firstLineChars="400"/>
        <w:jc w:val="left"/>
        <w:rPr>
          <w:rFonts w:ascii="宋体" w:hAnsi="宋体"/>
          <w:b/>
          <w:color w:val="auto"/>
          <w:spacing w:val="20"/>
          <w:sz w:val="32"/>
          <w:szCs w:val="32"/>
          <w:highlight w:val="none"/>
        </w:rPr>
      </w:pPr>
      <w:r>
        <w:rPr>
          <w:rFonts w:hint="eastAsia" w:ascii="宋体" w:hAnsi="宋体"/>
          <w:b/>
          <w:color w:val="auto"/>
          <w:spacing w:val="20"/>
          <w:sz w:val="32"/>
          <w:szCs w:val="32"/>
          <w:highlight w:val="none"/>
        </w:rPr>
        <w:t>供应商</w:t>
      </w:r>
      <w:r>
        <w:rPr>
          <w:rFonts w:ascii="宋体" w:hAnsi="宋体"/>
          <w:b/>
          <w:color w:val="auto"/>
          <w:spacing w:val="20"/>
          <w:sz w:val="32"/>
          <w:szCs w:val="32"/>
          <w:highlight w:val="none"/>
        </w:rPr>
        <w:t>名称：</w:t>
      </w:r>
    </w:p>
    <w:p>
      <w:pPr>
        <w:jc w:val="center"/>
        <w:rPr>
          <w:rFonts w:ascii="宋体" w:hAnsi="宋体"/>
          <w:b/>
          <w:color w:val="auto"/>
          <w:sz w:val="32"/>
          <w:szCs w:val="32"/>
          <w:highlight w:val="none"/>
        </w:rPr>
      </w:pPr>
    </w:p>
    <w:p>
      <w:pPr>
        <w:rPr>
          <w:rFonts w:ascii="宋体" w:hAnsi="宋体"/>
          <w:b/>
          <w:color w:val="auto"/>
          <w:highlight w:val="none"/>
        </w:rPr>
      </w:pPr>
      <w:r>
        <w:rPr>
          <w:rFonts w:ascii="宋体" w:hAnsi="宋体"/>
          <w:b/>
          <w:color w:val="auto"/>
          <w:spacing w:val="20"/>
          <w:sz w:val="32"/>
          <w:szCs w:val="32"/>
          <w:highlight w:val="none"/>
        </w:rPr>
        <w:br w:type="page"/>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t xml:space="preserve">1 </w:t>
      </w:r>
      <w:r>
        <w:rPr>
          <w:rFonts w:ascii="宋体" w:hAnsi="宋体"/>
          <w:color w:val="auto"/>
          <w:sz w:val="24"/>
          <w:highlight w:val="none"/>
        </w:rPr>
        <w:t>满足《中华人民共和国政府采购法》第二十二条规定及法律法规的其他规定</w:t>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t>1-1营业执照等证明文件</w:t>
      </w:r>
    </w:p>
    <w:p>
      <w:pPr>
        <w:tabs>
          <w:tab w:val="left" w:pos="1080"/>
        </w:tabs>
        <w:snapToGrid w:val="0"/>
        <w:rPr>
          <w:rFonts w:ascii="宋体" w:hAnsi="宋体"/>
          <w:color w:val="auto"/>
          <w:sz w:val="24"/>
          <w:highlight w:val="none"/>
        </w:rPr>
      </w:pPr>
    </w:p>
    <w:p>
      <w:pPr>
        <w:widowControl/>
        <w:jc w:val="left"/>
        <w:rPr>
          <w:rFonts w:ascii="宋体" w:hAnsi="宋体"/>
          <w:color w:val="auto"/>
          <w:sz w:val="24"/>
          <w:szCs w:val="20"/>
          <w:highlight w:val="none"/>
        </w:rPr>
      </w:pPr>
      <w:r>
        <w:rPr>
          <w:rFonts w:ascii="宋体" w:hAnsi="宋体"/>
          <w:color w:val="auto"/>
          <w:sz w:val="24"/>
          <w:highlight w:val="none"/>
        </w:rPr>
        <w:br w:type="page"/>
      </w:r>
    </w:p>
    <w:p>
      <w:pPr>
        <w:pStyle w:val="7"/>
        <w:rPr>
          <w:rFonts w:hAnsi="宋体"/>
          <w:b w:val="0"/>
          <w:bCs/>
          <w:color w:val="auto"/>
          <w:highlight w:val="none"/>
          <w:u w:val="none"/>
        </w:rPr>
      </w:pPr>
      <w:r>
        <w:rPr>
          <w:rFonts w:hAnsi="宋体"/>
          <w:b w:val="0"/>
          <w:color w:val="auto"/>
          <w:highlight w:val="none"/>
          <w:u w:val="none"/>
        </w:rPr>
        <w:t xml:space="preserve">1-2 </w:t>
      </w:r>
      <w:r>
        <w:rPr>
          <w:rFonts w:hint="eastAsia" w:hAnsi="宋体"/>
          <w:b w:val="0"/>
          <w:color w:val="auto"/>
          <w:highlight w:val="none"/>
          <w:u w:val="none"/>
        </w:rPr>
        <w:t>供应商</w:t>
      </w:r>
      <w:r>
        <w:rPr>
          <w:rFonts w:hAnsi="宋体"/>
          <w:b w:val="0"/>
          <w:color w:val="auto"/>
          <w:highlight w:val="none"/>
          <w:u w:val="none"/>
        </w:rPr>
        <w:t>资格声明书（实质性格式）</w:t>
      </w:r>
    </w:p>
    <w:p>
      <w:pPr>
        <w:jc w:val="center"/>
        <w:rPr>
          <w:rFonts w:ascii="宋体" w:hAnsi="宋体"/>
          <w:b/>
          <w:color w:val="auto"/>
          <w:sz w:val="36"/>
          <w:szCs w:val="36"/>
          <w:highlight w:val="none"/>
        </w:rPr>
      </w:pPr>
      <w:r>
        <w:rPr>
          <w:rFonts w:hint="eastAsia" w:ascii="宋体" w:hAnsi="宋体"/>
          <w:b/>
          <w:color w:val="auto"/>
          <w:sz w:val="36"/>
          <w:szCs w:val="36"/>
          <w:highlight w:val="none"/>
        </w:rPr>
        <w:t>供应商资格声明书</w:t>
      </w:r>
    </w:p>
    <w:p>
      <w:pPr>
        <w:tabs>
          <w:tab w:val="left" w:pos="5580"/>
        </w:tabs>
        <w:spacing w:line="360" w:lineRule="auto"/>
        <w:rPr>
          <w:rFonts w:ascii="宋体" w:hAnsi="宋体"/>
          <w:color w:val="auto"/>
          <w:sz w:val="24"/>
          <w:highlight w:val="none"/>
        </w:rPr>
      </w:pPr>
    </w:p>
    <w:p>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在参与本次项目</w:t>
      </w:r>
      <w:r>
        <w:rPr>
          <w:rFonts w:hint="eastAsia" w:ascii="宋体" w:hAnsi="宋体"/>
          <w:color w:val="auto"/>
          <w:sz w:val="24"/>
          <w:highlight w:val="none"/>
        </w:rPr>
        <w:t>比选</w:t>
      </w:r>
      <w:r>
        <w:rPr>
          <w:rFonts w:ascii="宋体" w:hAnsi="宋体"/>
          <w:color w:val="auto"/>
          <w:sz w:val="24"/>
          <w:highlight w:val="none"/>
        </w:rPr>
        <w:t>中，我单位承诺：</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具有良好的商业信誉和健全的财务会计制度；</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具有履行合同所必需的设备和专业技术能力；</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有依法缴纳税收和社会保障资金的良好记录；</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50"/>
        </w:numPr>
        <w:spacing w:line="360" w:lineRule="auto"/>
        <w:ind w:left="1134"/>
        <w:rPr>
          <w:rFonts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olor w:val="auto"/>
                <w:sz w:val="24"/>
                <w:highlight w:val="none"/>
              </w:rPr>
            </w:pPr>
            <w:r>
              <w:rPr>
                <w:rFonts w:ascii="宋体" w:hAnsi="宋体"/>
                <w:color w:val="auto"/>
                <w:sz w:val="24"/>
                <w:highlight w:val="none"/>
              </w:rPr>
              <w:t>序号</w:t>
            </w:r>
          </w:p>
        </w:tc>
        <w:tc>
          <w:tcPr>
            <w:tcW w:w="4574" w:type="dxa"/>
            <w:vAlign w:val="center"/>
          </w:tcPr>
          <w:p>
            <w:pPr>
              <w:jc w:val="center"/>
              <w:rPr>
                <w:rFonts w:ascii="宋体" w:hAnsi="宋体"/>
                <w:color w:val="auto"/>
                <w:sz w:val="24"/>
                <w:highlight w:val="none"/>
              </w:rPr>
            </w:pPr>
            <w:r>
              <w:rPr>
                <w:rFonts w:ascii="宋体" w:hAnsi="宋体"/>
                <w:color w:val="auto"/>
                <w:sz w:val="24"/>
                <w:highlight w:val="none"/>
              </w:rPr>
              <w:t>单位名称</w:t>
            </w:r>
          </w:p>
        </w:tc>
        <w:tc>
          <w:tcPr>
            <w:tcW w:w="2976" w:type="dxa"/>
            <w:vAlign w:val="center"/>
          </w:tcPr>
          <w:p>
            <w:pPr>
              <w:jc w:val="center"/>
              <w:rPr>
                <w:rFonts w:ascii="宋体" w:hAnsi="宋体"/>
                <w:color w:val="auto"/>
                <w:sz w:val="24"/>
                <w:highlight w:val="none"/>
              </w:rPr>
            </w:pPr>
            <w:r>
              <w:rPr>
                <w:rFonts w:ascii="宋体" w:hAnsi="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olor w:val="auto"/>
                <w:sz w:val="24"/>
                <w:highlight w:val="none"/>
              </w:rPr>
            </w:pPr>
            <w:r>
              <w:rPr>
                <w:rFonts w:ascii="宋体" w:hAnsi="宋体"/>
                <w:color w:val="auto"/>
                <w:sz w:val="24"/>
                <w:highlight w:val="none"/>
              </w:rPr>
              <w:t>1</w:t>
            </w:r>
          </w:p>
        </w:tc>
        <w:tc>
          <w:tcPr>
            <w:tcW w:w="4574" w:type="dxa"/>
            <w:vAlign w:val="center"/>
          </w:tcPr>
          <w:p>
            <w:pPr>
              <w:jc w:val="center"/>
              <w:rPr>
                <w:rFonts w:ascii="宋体" w:hAnsi="宋体"/>
                <w:color w:val="auto"/>
                <w:sz w:val="24"/>
                <w:highlight w:val="none"/>
              </w:rPr>
            </w:pPr>
          </w:p>
        </w:tc>
        <w:tc>
          <w:tcPr>
            <w:tcW w:w="2976" w:type="dxa"/>
            <w:vAlign w:val="center"/>
          </w:tcPr>
          <w:p>
            <w:pPr>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olor w:val="auto"/>
                <w:sz w:val="24"/>
                <w:highlight w:val="none"/>
              </w:rPr>
            </w:pPr>
            <w:r>
              <w:rPr>
                <w:rFonts w:ascii="宋体" w:hAnsi="宋体"/>
                <w:color w:val="auto"/>
                <w:sz w:val="24"/>
                <w:highlight w:val="none"/>
              </w:rPr>
              <w:t>2</w:t>
            </w:r>
          </w:p>
        </w:tc>
        <w:tc>
          <w:tcPr>
            <w:tcW w:w="4574" w:type="dxa"/>
            <w:vAlign w:val="center"/>
          </w:tcPr>
          <w:p>
            <w:pPr>
              <w:jc w:val="center"/>
              <w:rPr>
                <w:rFonts w:ascii="宋体" w:hAnsi="宋体"/>
                <w:color w:val="auto"/>
                <w:sz w:val="24"/>
                <w:highlight w:val="none"/>
              </w:rPr>
            </w:pPr>
          </w:p>
        </w:tc>
        <w:tc>
          <w:tcPr>
            <w:tcW w:w="2976" w:type="dxa"/>
            <w:vAlign w:val="center"/>
          </w:tcPr>
          <w:p>
            <w:pPr>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olor w:val="auto"/>
                <w:sz w:val="24"/>
                <w:highlight w:val="none"/>
              </w:rPr>
            </w:pPr>
            <w:r>
              <w:rPr>
                <w:rFonts w:ascii="宋体" w:hAnsi="宋体"/>
                <w:color w:val="auto"/>
                <w:sz w:val="24"/>
                <w:highlight w:val="none"/>
              </w:rPr>
              <w:t>…</w:t>
            </w:r>
          </w:p>
        </w:tc>
        <w:tc>
          <w:tcPr>
            <w:tcW w:w="4574" w:type="dxa"/>
            <w:vAlign w:val="center"/>
          </w:tcPr>
          <w:p>
            <w:pPr>
              <w:jc w:val="center"/>
              <w:rPr>
                <w:rFonts w:ascii="宋体" w:hAnsi="宋体"/>
                <w:color w:val="auto"/>
                <w:sz w:val="24"/>
                <w:highlight w:val="none"/>
              </w:rPr>
            </w:pPr>
          </w:p>
        </w:tc>
        <w:tc>
          <w:tcPr>
            <w:tcW w:w="2976" w:type="dxa"/>
            <w:vAlign w:val="center"/>
          </w:tcPr>
          <w:p>
            <w:pPr>
              <w:jc w:val="center"/>
              <w:rPr>
                <w:rFonts w:ascii="宋体" w:hAnsi="宋体"/>
                <w:color w:val="auto"/>
                <w:sz w:val="24"/>
                <w:highlight w:val="none"/>
              </w:rPr>
            </w:pPr>
          </w:p>
        </w:tc>
      </w:tr>
    </w:tbl>
    <w:p>
      <w:pPr>
        <w:ind w:firstLine="480" w:firstLineChars="200"/>
        <w:rPr>
          <w:rFonts w:ascii="宋体" w:hAnsi="宋体"/>
          <w:color w:val="auto"/>
          <w:sz w:val="24"/>
          <w:szCs w:val="22"/>
          <w:highlight w:val="none"/>
        </w:rPr>
      </w:pPr>
      <w:r>
        <w:rPr>
          <w:rFonts w:ascii="宋体" w:hAnsi="宋体"/>
          <w:color w:val="auto"/>
          <w:sz w:val="24"/>
          <w:highlight w:val="none"/>
        </w:rPr>
        <w:t>上述声明真实有效，否则我方负全部责任。</w:t>
      </w:r>
    </w:p>
    <w:p>
      <w:pPr>
        <w:autoSpaceDE w:val="0"/>
        <w:autoSpaceDN w:val="0"/>
        <w:adjustRightInd w:val="0"/>
        <w:snapToGrid w:val="0"/>
        <w:spacing w:before="25" w:after="25" w:line="360" w:lineRule="auto"/>
        <w:jc w:val="right"/>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    ____________</w:t>
      </w:r>
    </w:p>
    <w:p>
      <w:pPr>
        <w:spacing w:line="360" w:lineRule="auto"/>
        <w:ind w:right="360" w:firstLine="480"/>
        <w:jc w:val="right"/>
        <w:rPr>
          <w:rFonts w:ascii="宋体" w:hAnsi="宋体"/>
          <w:color w:val="auto"/>
          <w:sz w:val="24"/>
          <w:highlight w:val="none"/>
        </w:rPr>
      </w:pPr>
      <w:r>
        <w:rPr>
          <w:rFonts w:ascii="宋体" w:hAnsi="宋体"/>
          <w:color w:val="auto"/>
          <w:sz w:val="24"/>
          <w:szCs w:val="20"/>
          <w:highlight w:val="none"/>
        </w:rPr>
        <w:t xml:space="preserve">日期：_____年______月______日   </w:t>
      </w:r>
    </w:p>
    <w:p>
      <w:pPr>
        <w:spacing w:line="360" w:lineRule="auto"/>
        <w:rPr>
          <w:rFonts w:ascii="宋体" w:hAnsi="宋体"/>
          <w:color w:val="auto"/>
          <w:sz w:val="24"/>
          <w:highlight w:val="none"/>
        </w:rPr>
      </w:pPr>
      <w:r>
        <w:rPr>
          <w:rFonts w:ascii="宋体" w:hAnsi="宋体"/>
          <w:color w:val="auto"/>
          <w:sz w:val="24"/>
          <w:highlight w:val="none"/>
        </w:rPr>
        <w:t>说明：</w:t>
      </w:r>
      <w:r>
        <w:rPr>
          <w:rFonts w:hint="eastAsia" w:ascii="宋体" w:hAnsi="宋体"/>
          <w:color w:val="auto"/>
          <w:sz w:val="24"/>
          <w:highlight w:val="none"/>
        </w:rPr>
        <w:t>供应商承诺不实的，依据《政府采购法》第七十七条“提供虚假材料谋取中标、成交的”有关规定予以处理</w:t>
      </w:r>
      <w:r>
        <w:rPr>
          <w:rFonts w:ascii="宋体" w:hAnsi="宋体"/>
          <w:color w:val="auto"/>
          <w:sz w:val="24"/>
          <w:highlight w:val="none"/>
        </w:rPr>
        <w:t>。</w:t>
      </w:r>
    </w:p>
    <w:p>
      <w:pPr>
        <w:widowControl/>
        <w:jc w:val="left"/>
        <w:rPr>
          <w:rFonts w:ascii="宋体" w:hAnsi="宋体"/>
          <w:color w:val="auto"/>
          <w:sz w:val="24"/>
          <w:highlight w:val="none"/>
        </w:rPr>
      </w:pPr>
      <w:r>
        <w:rPr>
          <w:rFonts w:ascii="宋体" w:hAnsi="宋体"/>
          <w:color w:val="auto"/>
          <w:sz w:val="24"/>
          <w:highlight w:val="none"/>
        </w:rPr>
        <w:br w:type="page"/>
      </w:r>
    </w:p>
    <w:p>
      <w:pPr>
        <w:spacing w:line="360" w:lineRule="auto"/>
        <w:outlineLvl w:val="2"/>
        <w:rPr>
          <w:color w:val="auto"/>
          <w:sz w:val="24"/>
          <w:szCs w:val="20"/>
          <w:highlight w:val="none"/>
        </w:rPr>
      </w:pPr>
      <w:r>
        <w:rPr>
          <w:color w:val="auto"/>
          <w:sz w:val="24"/>
          <w:szCs w:val="20"/>
          <w:highlight w:val="none"/>
        </w:rPr>
        <w:t>2 落实政府采购政策需满足的资格要求（如有）</w:t>
      </w:r>
    </w:p>
    <w:p>
      <w:pPr>
        <w:spacing w:line="360" w:lineRule="auto"/>
        <w:outlineLvl w:val="2"/>
        <w:rPr>
          <w:color w:val="auto"/>
          <w:sz w:val="24"/>
          <w:szCs w:val="20"/>
          <w:highlight w:val="none"/>
        </w:rPr>
      </w:pPr>
      <w:r>
        <w:rPr>
          <w:color w:val="auto"/>
          <w:sz w:val="24"/>
          <w:szCs w:val="20"/>
          <w:highlight w:val="none"/>
        </w:rPr>
        <w:t>2-1中小企业声明函</w:t>
      </w:r>
    </w:p>
    <w:p>
      <w:pPr>
        <w:tabs>
          <w:tab w:val="left" w:pos="5580"/>
        </w:tabs>
        <w:spacing w:line="360" w:lineRule="auto"/>
        <w:rPr>
          <w:color w:val="auto"/>
          <w:sz w:val="24"/>
          <w:highlight w:val="none"/>
        </w:rPr>
      </w:pPr>
    </w:p>
    <w:p>
      <w:pPr>
        <w:tabs>
          <w:tab w:val="left" w:pos="5580"/>
        </w:tabs>
        <w:spacing w:line="360" w:lineRule="auto"/>
        <w:rPr>
          <w:color w:val="auto"/>
          <w:sz w:val="24"/>
          <w:highlight w:val="none"/>
        </w:rPr>
      </w:pPr>
      <w:r>
        <w:rPr>
          <w:color w:val="auto"/>
          <w:sz w:val="24"/>
          <w:highlight w:val="none"/>
        </w:rPr>
        <w:t>说明：</w:t>
      </w:r>
    </w:p>
    <w:p>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资格证明文件部分</w:t>
      </w:r>
      <w:r>
        <w:rPr>
          <w:color w:val="auto"/>
          <w:sz w:val="24"/>
          <w:highlight w:val="none"/>
        </w:rPr>
        <w:t>无需提供《中小企业声明函》。</w:t>
      </w:r>
    </w:p>
    <w:p>
      <w:pPr>
        <w:tabs>
          <w:tab w:val="left" w:pos="5580"/>
        </w:tabs>
        <w:spacing w:line="360" w:lineRule="auto"/>
        <w:rPr>
          <w:b/>
          <w:bCs/>
          <w:color w:val="auto"/>
          <w:sz w:val="24"/>
          <w:highlight w:val="none"/>
        </w:rPr>
      </w:pPr>
      <w:r>
        <w:rPr>
          <w:b/>
          <w:bCs/>
          <w:color w:val="auto"/>
          <w:sz w:val="24"/>
          <w:highlight w:val="none"/>
        </w:rPr>
        <w:t>（2）如本项目（包）专门面向中小/小微企业采购，须提供《中小企业声明函》</w:t>
      </w:r>
      <w:r>
        <w:rPr>
          <w:b/>
          <w:bCs/>
          <w:color w:val="auto"/>
          <w:sz w:val="24"/>
          <w:szCs w:val="20"/>
          <w:highlight w:val="none"/>
        </w:rPr>
        <w:t>（实质性格式）</w:t>
      </w:r>
      <w:r>
        <w:rPr>
          <w:b/>
          <w:bCs/>
          <w:color w:val="auto"/>
          <w:sz w:val="24"/>
          <w:highlight w:val="none"/>
        </w:rPr>
        <w:t>。</w:t>
      </w:r>
    </w:p>
    <w:p>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color w:val="auto"/>
          <w:sz w:val="24"/>
          <w:highlight w:val="none"/>
        </w:rPr>
      </w:pPr>
      <w:r>
        <w:rPr>
          <w:rFonts w:hint="eastAsia"/>
          <w:color w:val="auto"/>
          <w:sz w:val="24"/>
          <w:highlight w:val="none"/>
        </w:rPr>
        <w:t>（4）其他</w:t>
      </w:r>
    </w:p>
    <w:p>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color w:val="auto"/>
          <w:sz w:val="24"/>
          <w:highlight w:val="none"/>
        </w:rPr>
      </w:pPr>
      <w:r>
        <w:rPr>
          <w:rFonts w:hint="eastAsia"/>
          <w:color w:val="auto"/>
          <w:sz w:val="24"/>
          <w:highlight w:val="none"/>
        </w:rPr>
        <w:t>3）对于多标的的采购项目，供应商应充分、准确地了解所投产品制造企业信息。对相关情况了解不清楚的，不建议填报本声明函。</w:t>
      </w:r>
    </w:p>
    <w:p>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color w:val="auto"/>
          <w:sz w:val="24"/>
          <w:highlight w:val="none"/>
        </w:rPr>
      </w:pPr>
      <w:r>
        <w:rPr>
          <w:color w:val="auto"/>
          <w:sz w:val="24"/>
          <w:highlight w:val="none"/>
        </w:rPr>
        <w:br w:type="page"/>
      </w:r>
    </w:p>
    <w:p>
      <w:pP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中小企业声明函（工程、服务）格式</w:t>
      </w:r>
    </w:p>
    <w:p>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pPr>
        <w:spacing w:line="360" w:lineRule="auto"/>
        <w:ind w:firstLine="504"/>
        <w:rPr>
          <w:color w:val="auto"/>
          <w:spacing w:val="6"/>
          <w:sz w:val="24"/>
          <w:highlight w:val="none"/>
        </w:rPr>
      </w:pPr>
    </w:p>
    <w:p>
      <w:pPr>
        <w:spacing w:line="360" w:lineRule="auto"/>
        <w:ind w:firstLine="504"/>
        <w:rPr>
          <w:color w:val="auto"/>
          <w:spacing w:val="6"/>
          <w:sz w:val="24"/>
          <w:highlight w:val="none"/>
        </w:rPr>
      </w:pPr>
      <w:r>
        <w:rPr>
          <w:color w:val="auto"/>
          <w:spacing w:val="6"/>
          <w:sz w:val="24"/>
          <w:highlight w:val="none"/>
        </w:rPr>
        <w:t>……</w:t>
      </w:r>
    </w:p>
    <w:p>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pPr>
        <w:spacing w:line="360" w:lineRule="auto"/>
        <w:ind w:right="360" w:firstLine="480"/>
        <w:jc w:val="right"/>
        <w:rPr>
          <w:color w:val="auto"/>
          <w:sz w:val="24"/>
          <w:highlight w:val="none"/>
        </w:rPr>
      </w:pPr>
    </w:p>
    <w:p>
      <w:pPr>
        <w:spacing w:line="360" w:lineRule="auto"/>
        <w:ind w:right="360" w:firstLine="480"/>
        <w:jc w:val="right"/>
        <w:rPr>
          <w:color w:val="auto"/>
          <w:sz w:val="24"/>
          <w:highlight w:val="none"/>
        </w:rPr>
      </w:pPr>
      <w:r>
        <w:rPr>
          <w:color w:val="auto"/>
          <w:sz w:val="24"/>
          <w:highlight w:val="none"/>
        </w:rPr>
        <w:t>企业名称（盖章）：________</w:t>
      </w:r>
    </w:p>
    <w:p>
      <w:pPr>
        <w:spacing w:line="360" w:lineRule="auto"/>
        <w:ind w:right="360" w:firstLine="480"/>
        <w:jc w:val="right"/>
        <w:rPr>
          <w:color w:val="auto"/>
          <w:sz w:val="24"/>
          <w:highlight w:val="none"/>
        </w:rPr>
      </w:pPr>
      <w:r>
        <w:rPr>
          <w:color w:val="auto"/>
          <w:sz w:val="24"/>
          <w:highlight w:val="none"/>
        </w:rPr>
        <w:t>日 期：________</w:t>
      </w:r>
    </w:p>
    <w:p>
      <w:pPr>
        <w:adjustRightInd w:val="0"/>
        <w:snapToGrid w:val="0"/>
        <w:jc w:val="left"/>
        <w:rPr>
          <w:color w:val="auto"/>
          <w:sz w:val="24"/>
          <w:szCs w:val="21"/>
          <w:highlight w:val="none"/>
        </w:rPr>
      </w:pPr>
    </w:p>
    <w:p>
      <w:pPr>
        <w:adjustRightInd w:val="0"/>
        <w:snapToGrid w:val="0"/>
        <w:jc w:val="left"/>
        <w:rPr>
          <w:color w:val="auto"/>
          <w:sz w:val="24"/>
          <w:szCs w:val="21"/>
          <w:highlight w:val="none"/>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pPr>
        <w:adjustRightInd w:val="0"/>
        <w:snapToGrid w:val="0"/>
        <w:jc w:val="left"/>
        <w:rPr>
          <w:color w:val="auto"/>
          <w:szCs w:val="21"/>
          <w:highlight w:val="none"/>
          <w:vertAlign w:val="superscript"/>
        </w:rPr>
      </w:pPr>
    </w:p>
    <w:p>
      <w:pPr>
        <w:spacing w:line="360" w:lineRule="auto"/>
        <w:ind w:right="360" w:firstLine="480"/>
        <w:jc w:val="right"/>
        <w:rPr>
          <w:color w:val="auto"/>
          <w:sz w:val="24"/>
          <w:highlight w:val="none"/>
        </w:rPr>
      </w:pPr>
    </w:p>
    <w:p>
      <w:pPr>
        <w:spacing w:line="360" w:lineRule="auto"/>
        <w:ind w:right="360" w:firstLine="480"/>
        <w:jc w:val="right"/>
        <w:rPr>
          <w:color w:val="auto"/>
          <w:sz w:val="24"/>
          <w:highlight w:val="none"/>
        </w:rPr>
      </w:pPr>
    </w:p>
    <w:p>
      <w:pPr>
        <w:spacing w:line="360" w:lineRule="auto"/>
        <w:outlineLvl w:val="2"/>
        <w:rPr>
          <w:color w:val="auto"/>
          <w:sz w:val="24"/>
          <w:szCs w:val="20"/>
          <w:highlight w:val="none"/>
        </w:rPr>
      </w:pPr>
      <w:r>
        <w:rPr>
          <w:color w:val="auto"/>
          <w:sz w:val="24"/>
          <w:szCs w:val="20"/>
          <w:highlight w:val="none"/>
        </w:rPr>
        <w:br w:type="page"/>
      </w:r>
    </w:p>
    <w:p>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残疾人福利性单位声明函格式</w:t>
      </w:r>
      <w:r>
        <w:rPr>
          <w:b/>
          <w:color w:val="auto"/>
          <w:sz w:val="36"/>
          <w:szCs w:val="36"/>
          <w:highlight w:val="none"/>
        </w:rPr>
        <w:t xml:space="preserve">       </w:t>
      </w:r>
    </w:p>
    <w:p>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pPr>
        <w:spacing w:line="588" w:lineRule="exact"/>
        <w:ind w:firstLine="504" w:firstLineChars="200"/>
        <w:rPr>
          <w:color w:val="auto"/>
          <w:spacing w:val="6"/>
          <w:sz w:val="24"/>
          <w:highlight w:val="none"/>
        </w:rPr>
      </w:pPr>
    </w:p>
    <w:p>
      <w:pPr>
        <w:spacing w:line="588" w:lineRule="exact"/>
        <w:ind w:firstLine="504" w:firstLineChars="200"/>
        <w:rPr>
          <w:color w:val="auto"/>
          <w:spacing w:val="6"/>
          <w:sz w:val="24"/>
          <w:highlight w:val="none"/>
        </w:rPr>
      </w:pPr>
    </w:p>
    <w:p>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pPr>
        <w:widowControl/>
        <w:jc w:val="left"/>
        <w:rPr>
          <w:color w:val="auto"/>
          <w:sz w:val="24"/>
          <w:szCs w:val="20"/>
          <w:highlight w:val="none"/>
        </w:rPr>
      </w:pPr>
      <w:r>
        <w:rPr>
          <w:color w:val="auto"/>
          <w:sz w:val="24"/>
          <w:szCs w:val="20"/>
          <w:highlight w:val="none"/>
        </w:rPr>
        <w:br w:type="page"/>
      </w:r>
    </w:p>
    <w:p>
      <w:pPr>
        <w:spacing w:line="360" w:lineRule="auto"/>
        <w:outlineLvl w:val="2"/>
        <w:rPr>
          <w:color w:val="auto"/>
          <w:sz w:val="24"/>
          <w:szCs w:val="20"/>
          <w:highlight w:val="none"/>
        </w:rPr>
      </w:pPr>
      <w:r>
        <w:rPr>
          <w:color w:val="auto"/>
          <w:sz w:val="24"/>
          <w:szCs w:val="20"/>
          <w:highlight w:val="none"/>
        </w:rPr>
        <w:t>2-2拟分包情况说明及分包意向协议（类型一）（实质性格式）</w:t>
      </w:r>
      <w:r>
        <w:rPr>
          <w:b/>
          <w:color w:val="auto"/>
          <w:sz w:val="24"/>
          <w:szCs w:val="20"/>
          <w:highlight w:val="none"/>
        </w:rPr>
        <w:t>（本项目不涉及）</w:t>
      </w:r>
    </w:p>
    <w:p>
      <w:pPr>
        <w:spacing w:line="360" w:lineRule="auto"/>
        <w:outlineLvl w:val="2"/>
        <w:rPr>
          <w:color w:val="auto"/>
          <w:sz w:val="24"/>
          <w:szCs w:val="20"/>
          <w:highlight w:val="none"/>
        </w:rPr>
      </w:pPr>
    </w:p>
    <w:p>
      <w:pPr>
        <w:autoSpaceDE w:val="0"/>
        <w:autoSpaceDN w:val="0"/>
        <w:adjustRightInd w:val="0"/>
        <w:jc w:val="center"/>
        <w:rPr>
          <w:color w:val="auto"/>
          <w:sz w:val="30"/>
          <w:szCs w:val="30"/>
          <w:highlight w:val="none"/>
        </w:rPr>
      </w:pPr>
    </w:p>
    <w:p>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拟分包情况说明</w:t>
      </w:r>
    </w:p>
    <w:p>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w:t>
      </w:r>
      <w:r>
        <w:rPr>
          <w:rFonts w:hint="eastAsia"/>
          <w:color w:val="auto"/>
          <w:sz w:val="24"/>
          <w:highlight w:val="none"/>
        </w:rPr>
        <w:t>响应</w:t>
      </w:r>
      <w:r>
        <w:rPr>
          <w:color w:val="auto"/>
          <w:sz w:val="24"/>
          <w:highlight w:val="none"/>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color w:val="auto"/>
                <w:sz w:val="24"/>
                <w:highlight w:val="none"/>
              </w:rPr>
            </w:pPr>
            <w:r>
              <w:rPr>
                <w:color w:val="auto"/>
                <w:sz w:val="24"/>
                <w:highlight w:val="none"/>
              </w:rPr>
              <w:t>序号</w:t>
            </w:r>
          </w:p>
        </w:tc>
        <w:tc>
          <w:tcPr>
            <w:tcW w:w="1287" w:type="dxa"/>
            <w:shd w:val="clear" w:color="auto" w:fill="auto"/>
            <w:vAlign w:val="center"/>
          </w:tcPr>
          <w:p>
            <w:pPr>
              <w:pStyle w:val="255"/>
              <w:jc w:val="center"/>
              <w:rPr>
                <w:color w:val="auto"/>
                <w:sz w:val="24"/>
                <w:highlight w:val="none"/>
              </w:rPr>
            </w:pPr>
            <w:r>
              <w:rPr>
                <w:color w:val="auto"/>
                <w:sz w:val="24"/>
                <w:highlight w:val="none"/>
              </w:rPr>
              <w:t>分包承担</w:t>
            </w:r>
          </w:p>
          <w:p>
            <w:pPr>
              <w:pStyle w:val="255"/>
              <w:jc w:val="center"/>
              <w:rPr>
                <w:color w:val="auto"/>
                <w:sz w:val="24"/>
                <w:highlight w:val="none"/>
              </w:rPr>
            </w:pPr>
            <w:r>
              <w:rPr>
                <w:color w:val="auto"/>
                <w:sz w:val="24"/>
                <w:highlight w:val="none"/>
              </w:rPr>
              <w:t>主体名称</w:t>
            </w:r>
          </w:p>
        </w:tc>
        <w:tc>
          <w:tcPr>
            <w:tcW w:w="1513" w:type="dxa"/>
            <w:shd w:val="clear" w:color="auto" w:fill="auto"/>
            <w:vAlign w:val="center"/>
          </w:tcPr>
          <w:p>
            <w:pPr>
              <w:pStyle w:val="255"/>
              <w:jc w:val="center"/>
              <w:rPr>
                <w:color w:val="auto"/>
                <w:sz w:val="24"/>
                <w:highlight w:val="none"/>
                <w:lang w:eastAsia="zh-CN"/>
              </w:rPr>
            </w:pPr>
            <w:r>
              <w:rPr>
                <w:color w:val="auto"/>
                <w:sz w:val="24"/>
                <w:highlight w:val="none"/>
                <w:lang w:eastAsia="zh-CN"/>
              </w:rPr>
              <w:t>分包承担</w:t>
            </w:r>
          </w:p>
          <w:p>
            <w:pPr>
              <w:pStyle w:val="255"/>
              <w:jc w:val="center"/>
              <w:rPr>
                <w:color w:val="auto"/>
                <w:sz w:val="24"/>
                <w:highlight w:val="none"/>
                <w:lang w:eastAsia="zh-CN"/>
              </w:rPr>
            </w:pPr>
            <w:r>
              <w:rPr>
                <w:color w:val="auto"/>
                <w:sz w:val="24"/>
                <w:highlight w:val="none"/>
                <w:lang w:eastAsia="zh-CN"/>
              </w:rPr>
              <w:t>主体类型</w:t>
            </w:r>
          </w:p>
          <w:p>
            <w:pPr>
              <w:pStyle w:val="255"/>
              <w:jc w:val="center"/>
              <w:rPr>
                <w:color w:val="auto"/>
                <w:sz w:val="24"/>
                <w:highlight w:val="none"/>
                <w:lang w:eastAsia="zh-CN"/>
              </w:rPr>
            </w:pPr>
            <w:r>
              <w:rPr>
                <w:rFonts w:hint="eastAsia"/>
                <w:color w:val="auto"/>
                <w:sz w:val="24"/>
                <w:highlight w:val="none"/>
                <w:lang w:eastAsia="zh-CN"/>
              </w:rPr>
              <w:t>（勾选）</w:t>
            </w:r>
          </w:p>
        </w:tc>
        <w:tc>
          <w:tcPr>
            <w:tcW w:w="1125" w:type="dxa"/>
            <w:shd w:val="clear" w:color="auto" w:fill="auto"/>
            <w:vAlign w:val="center"/>
          </w:tcPr>
          <w:p>
            <w:pPr>
              <w:pStyle w:val="255"/>
              <w:jc w:val="center"/>
              <w:rPr>
                <w:color w:val="auto"/>
                <w:sz w:val="24"/>
                <w:highlight w:val="none"/>
              </w:rPr>
            </w:pPr>
            <w:r>
              <w:rPr>
                <w:color w:val="auto"/>
                <w:sz w:val="24"/>
                <w:highlight w:val="none"/>
              </w:rPr>
              <w:t>资质等级</w:t>
            </w:r>
          </w:p>
        </w:tc>
        <w:tc>
          <w:tcPr>
            <w:tcW w:w="1558" w:type="dxa"/>
            <w:shd w:val="clear" w:color="auto" w:fill="auto"/>
            <w:vAlign w:val="center"/>
          </w:tcPr>
          <w:p>
            <w:pPr>
              <w:pStyle w:val="255"/>
              <w:jc w:val="center"/>
              <w:rPr>
                <w:color w:val="auto"/>
                <w:sz w:val="24"/>
                <w:highlight w:val="none"/>
              </w:rPr>
            </w:pPr>
            <w:r>
              <w:rPr>
                <w:color w:val="auto"/>
                <w:sz w:val="24"/>
                <w:highlight w:val="none"/>
              </w:rPr>
              <w:t>拟分包</w:t>
            </w:r>
          </w:p>
          <w:p>
            <w:pPr>
              <w:pStyle w:val="255"/>
              <w:jc w:val="center"/>
              <w:rPr>
                <w:color w:val="auto"/>
                <w:sz w:val="24"/>
                <w:highlight w:val="none"/>
              </w:rPr>
            </w:pPr>
            <w:r>
              <w:rPr>
                <w:color w:val="auto"/>
                <w:sz w:val="24"/>
                <w:highlight w:val="none"/>
              </w:rPr>
              <w:t>合同内容</w:t>
            </w:r>
          </w:p>
        </w:tc>
        <w:tc>
          <w:tcPr>
            <w:tcW w:w="1498" w:type="dxa"/>
            <w:shd w:val="clear" w:color="auto" w:fill="auto"/>
            <w:vAlign w:val="center"/>
          </w:tcPr>
          <w:p>
            <w:pPr>
              <w:pStyle w:val="255"/>
              <w:jc w:val="center"/>
              <w:rPr>
                <w:color w:val="auto"/>
                <w:sz w:val="24"/>
                <w:highlight w:val="none"/>
                <w:lang w:eastAsia="zh-CN"/>
              </w:rPr>
            </w:pPr>
            <w:r>
              <w:rPr>
                <w:color w:val="auto"/>
                <w:sz w:val="24"/>
                <w:highlight w:val="none"/>
                <w:lang w:eastAsia="zh-CN"/>
              </w:rPr>
              <w:t>拟分包</w:t>
            </w:r>
          </w:p>
          <w:p>
            <w:pPr>
              <w:pStyle w:val="255"/>
              <w:jc w:val="center"/>
              <w:rPr>
                <w:color w:val="auto"/>
                <w:sz w:val="24"/>
                <w:highlight w:val="none"/>
                <w:lang w:eastAsia="zh-CN"/>
              </w:rPr>
            </w:pPr>
            <w:r>
              <w:rPr>
                <w:color w:val="auto"/>
                <w:sz w:val="24"/>
                <w:highlight w:val="none"/>
                <w:lang w:eastAsia="zh-CN"/>
              </w:rPr>
              <w:t>合同金额</w:t>
            </w:r>
          </w:p>
          <w:p>
            <w:pPr>
              <w:pStyle w:val="255"/>
              <w:jc w:val="center"/>
              <w:rPr>
                <w:color w:val="auto"/>
                <w:sz w:val="24"/>
                <w:highlight w:val="none"/>
                <w:lang w:eastAsia="zh-CN"/>
              </w:rPr>
            </w:pPr>
            <w:r>
              <w:rPr>
                <w:color w:val="auto"/>
                <w:sz w:val="24"/>
                <w:highlight w:val="none"/>
                <w:lang w:eastAsia="zh-CN"/>
              </w:rPr>
              <w:t>（人民币元）</w:t>
            </w:r>
          </w:p>
        </w:tc>
        <w:tc>
          <w:tcPr>
            <w:tcW w:w="1564" w:type="dxa"/>
            <w:shd w:val="clear" w:color="auto" w:fill="auto"/>
            <w:vAlign w:val="center"/>
          </w:tcPr>
          <w:p>
            <w:pPr>
              <w:pStyle w:val="255"/>
              <w:jc w:val="center"/>
              <w:rPr>
                <w:color w:val="auto"/>
                <w:sz w:val="24"/>
                <w:highlight w:val="none"/>
                <w:lang w:eastAsia="zh-CN"/>
              </w:rPr>
            </w:pPr>
            <w:r>
              <w:rPr>
                <w:color w:val="auto"/>
                <w:sz w:val="24"/>
                <w:highlight w:val="none"/>
                <w:lang w:eastAsia="zh-CN"/>
              </w:rPr>
              <w:t>占该采购包</w:t>
            </w:r>
          </w:p>
          <w:p>
            <w:pPr>
              <w:pStyle w:val="255"/>
              <w:jc w:val="center"/>
              <w:rPr>
                <w:b/>
                <w:color w:val="auto"/>
                <w:sz w:val="24"/>
                <w:highlight w:val="none"/>
                <w:lang w:eastAsia="zh-CN"/>
              </w:rPr>
            </w:pPr>
            <w:r>
              <w:rPr>
                <w:rFonts w:hint="eastAsia"/>
                <w:b/>
                <w:color w:val="auto"/>
                <w:sz w:val="24"/>
                <w:highlight w:val="none"/>
                <w:lang w:eastAsia="zh-CN"/>
              </w:rPr>
              <w:t>预算</w:t>
            </w:r>
            <w:r>
              <w:rPr>
                <w:b/>
                <w:color w:val="auto"/>
                <w:sz w:val="24"/>
                <w:highlight w:val="none"/>
                <w:lang w:eastAsia="zh-CN"/>
              </w:rPr>
              <w:t>金额的</w:t>
            </w:r>
          </w:p>
          <w:p>
            <w:pPr>
              <w:pStyle w:val="255"/>
              <w:jc w:val="center"/>
              <w:rPr>
                <w:color w:val="auto"/>
                <w:sz w:val="24"/>
                <w:highlight w:val="none"/>
                <w:lang w:eastAsia="zh-CN"/>
              </w:rPr>
            </w:pPr>
            <w:r>
              <w:rPr>
                <w:color w:val="auto"/>
                <w:sz w:val="24"/>
                <w:highlight w:val="none"/>
                <w:lang w:eastAsia="zh-CN"/>
              </w:rPr>
              <w:t>比例</w:t>
            </w:r>
            <w:r>
              <w:rPr>
                <w:rFonts w:hint="eastAsia"/>
                <w:color w:val="auto"/>
                <w:sz w:val="24"/>
                <w:highlight w:val="none"/>
                <w:lang w:eastAsia="zh-CN"/>
              </w:rPr>
              <w:t>（</w:t>
            </w:r>
            <w:r>
              <w:rPr>
                <w:rFonts w:ascii="Times New Roman" w:eastAsia="Times New Roman"/>
                <w:color w:val="auto"/>
                <w:sz w:val="24"/>
                <w:highlight w:val="none"/>
                <w:lang w:eastAsia="zh-CN"/>
              </w:rPr>
              <w:t>%</w:t>
            </w:r>
            <w:r>
              <w:rPr>
                <w:rFonts w:hint="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rPr>
            </w:pPr>
            <w:r>
              <w:rPr>
                <w:rFonts w:ascii="Times New Roman"/>
                <w:color w:val="auto"/>
                <w:sz w:val="24"/>
                <w:highlight w:val="none"/>
              </w:rPr>
              <w:t>1</w:t>
            </w:r>
          </w:p>
        </w:tc>
        <w:tc>
          <w:tcPr>
            <w:tcW w:w="1287" w:type="dxa"/>
            <w:shd w:val="clear" w:color="auto" w:fill="auto"/>
            <w:vAlign w:val="center"/>
          </w:tcPr>
          <w:p>
            <w:pPr>
              <w:pStyle w:val="255"/>
              <w:jc w:val="center"/>
              <w:rPr>
                <w:rFonts w:ascii="Times New Roman" w:hAnsi="Times New Roman" w:cs="Times New Roman"/>
                <w:color w:val="auto"/>
                <w:sz w:val="30"/>
                <w:highlight w:val="none"/>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□中型企业</w:t>
            </w:r>
          </w:p>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tc>
        <w:tc>
          <w:tcPr>
            <w:tcW w:w="1125" w:type="dxa"/>
            <w:shd w:val="clear" w:color="auto" w:fill="auto"/>
            <w:vAlign w:val="center"/>
          </w:tcPr>
          <w:p>
            <w:pPr>
              <w:pStyle w:val="255"/>
              <w:jc w:val="center"/>
              <w:rPr>
                <w:rFonts w:ascii="Times New Roman"/>
                <w:color w:val="auto"/>
                <w:sz w:val="30"/>
                <w:highlight w:val="none"/>
                <w:lang w:eastAsia="zh-CN"/>
              </w:rPr>
            </w:pPr>
          </w:p>
        </w:tc>
        <w:tc>
          <w:tcPr>
            <w:tcW w:w="1558" w:type="dxa"/>
            <w:shd w:val="clear" w:color="auto" w:fill="auto"/>
            <w:vAlign w:val="center"/>
          </w:tcPr>
          <w:p>
            <w:pPr>
              <w:pStyle w:val="255"/>
              <w:jc w:val="center"/>
              <w:rPr>
                <w:rFonts w:ascii="Times New Roman"/>
                <w:color w:val="auto"/>
                <w:sz w:val="30"/>
                <w:highlight w:val="none"/>
                <w:lang w:eastAsia="zh-CN"/>
              </w:rPr>
            </w:pPr>
          </w:p>
        </w:tc>
        <w:tc>
          <w:tcPr>
            <w:tcW w:w="1498" w:type="dxa"/>
            <w:shd w:val="clear" w:color="auto" w:fill="auto"/>
            <w:vAlign w:val="center"/>
          </w:tcPr>
          <w:p>
            <w:pPr>
              <w:pStyle w:val="255"/>
              <w:jc w:val="center"/>
              <w:rPr>
                <w:rFonts w:ascii="Times New Roman"/>
                <w:color w:val="auto"/>
                <w:sz w:val="30"/>
                <w:highlight w:val="none"/>
                <w:lang w:eastAsia="zh-CN"/>
              </w:rPr>
            </w:pPr>
          </w:p>
        </w:tc>
        <w:tc>
          <w:tcPr>
            <w:tcW w:w="1564" w:type="dxa"/>
            <w:shd w:val="clear" w:color="auto" w:fill="auto"/>
            <w:vAlign w:val="center"/>
          </w:tcPr>
          <w:p>
            <w:pPr>
              <w:pStyle w:val="255"/>
              <w:jc w:val="center"/>
              <w:rPr>
                <w:rFonts w:ascii="Times New Roman"/>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lang w:eastAsia="zh-CN"/>
              </w:rPr>
            </w:pPr>
            <w:r>
              <w:rPr>
                <w:rFonts w:hint="eastAsia" w:ascii="Times New Roman"/>
                <w:color w:val="auto"/>
                <w:sz w:val="24"/>
                <w:highlight w:val="none"/>
                <w:lang w:eastAsia="zh-CN"/>
              </w:rPr>
              <w:t>2</w:t>
            </w:r>
          </w:p>
        </w:tc>
        <w:tc>
          <w:tcPr>
            <w:tcW w:w="1287" w:type="dxa"/>
            <w:shd w:val="clear" w:color="auto" w:fill="auto"/>
            <w:vAlign w:val="center"/>
          </w:tcPr>
          <w:p>
            <w:pPr>
              <w:pStyle w:val="255"/>
              <w:jc w:val="center"/>
              <w:rPr>
                <w:rFonts w:ascii="Times New Roman"/>
                <w:color w:val="auto"/>
                <w:sz w:val="30"/>
                <w:highlight w:val="none"/>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□中型企业</w:t>
            </w:r>
          </w:p>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tc>
        <w:tc>
          <w:tcPr>
            <w:tcW w:w="1125" w:type="dxa"/>
            <w:shd w:val="clear" w:color="auto" w:fill="auto"/>
            <w:vAlign w:val="center"/>
          </w:tcPr>
          <w:p>
            <w:pPr>
              <w:pStyle w:val="255"/>
              <w:jc w:val="center"/>
              <w:rPr>
                <w:rFonts w:ascii="Times New Roman"/>
                <w:color w:val="auto"/>
                <w:sz w:val="30"/>
                <w:highlight w:val="none"/>
                <w:lang w:eastAsia="zh-CN"/>
              </w:rPr>
            </w:pPr>
          </w:p>
        </w:tc>
        <w:tc>
          <w:tcPr>
            <w:tcW w:w="1558" w:type="dxa"/>
            <w:shd w:val="clear" w:color="auto" w:fill="auto"/>
            <w:vAlign w:val="center"/>
          </w:tcPr>
          <w:p>
            <w:pPr>
              <w:pStyle w:val="255"/>
              <w:jc w:val="center"/>
              <w:rPr>
                <w:rFonts w:ascii="Times New Roman"/>
                <w:color w:val="auto"/>
                <w:sz w:val="30"/>
                <w:highlight w:val="none"/>
                <w:lang w:eastAsia="zh-CN"/>
              </w:rPr>
            </w:pPr>
          </w:p>
        </w:tc>
        <w:tc>
          <w:tcPr>
            <w:tcW w:w="1498" w:type="dxa"/>
            <w:shd w:val="clear" w:color="auto" w:fill="auto"/>
            <w:vAlign w:val="center"/>
          </w:tcPr>
          <w:p>
            <w:pPr>
              <w:pStyle w:val="255"/>
              <w:jc w:val="center"/>
              <w:rPr>
                <w:rFonts w:ascii="Times New Roman"/>
                <w:color w:val="auto"/>
                <w:sz w:val="30"/>
                <w:highlight w:val="none"/>
                <w:lang w:eastAsia="zh-CN"/>
              </w:rPr>
            </w:pPr>
          </w:p>
        </w:tc>
        <w:tc>
          <w:tcPr>
            <w:tcW w:w="1564" w:type="dxa"/>
            <w:shd w:val="clear" w:color="auto" w:fill="auto"/>
            <w:vAlign w:val="center"/>
          </w:tcPr>
          <w:p>
            <w:pPr>
              <w:pStyle w:val="255"/>
              <w:jc w:val="center"/>
              <w:rPr>
                <w:rFonts w:ascii="Times New Roman"/>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lang w:eastAsia="zh-CN"/>
              </w:rPr>
            </w:pPr>
            <w:r>
              <w:rPr>
                <w:rFonts w:ascii="Times New Roman"/>
                <w:color w:val="auto"/>
                <w:sz w:val="24"/>
                <w:highlight w:val="none"/>
                <w:lang w:eastAsia="zh-CN"/>
              </w:rPr>
              <w:t>…</w:t>
            </w:r>
          </w:p>
        </w:tc>
        <w:tc>
          <w:tcPr>
            <w:tcW w:w="1287" w:type="dxa"/>
            <w:shd w:val="clear" w:color="auto" w:fill="auto"/>
            <w:vAlign w:val="center"/>
          </w:tcPr>
          <w:p>
            <w:pPr>
              <w:pStyle w:val="255"/>
              <w:jc w:val="center"/>
              <w:rPr>
                <w:rFonts w:ascii="Times New Roman"/>
                <w:color w:val="auto"/>
                <w:sz w:val="30"/>
                <w:highlight w:val="none"/>
              </w:rPr>
            </w:pPr>
          </w:p>
        </w:tc>
        <w:tc>
          <w:tcPr>
            <w:tcW w:w="1513" w:type="dxa"/>
            <w:shd w:val="clear" w:color="auto" w:fill="auto"/>
            <w:vAlign w:val="center"/>
          </w:tcPr>
          <w:p>
            <w:pPr>
              <w:pStyle w:val="255"/>
              <w:tabs>
                <w:tab w:val="left" w:pos="235"/>
              </w:tabs>
              <w:jc w:val="center"/>
              <w:rPr>
                <w:color w:val="auto"/>
                <w:sz w:val="24"/>
                <w:highlight w:val="none"/>
              </w:rPr>
            </w:pPr>
          </w:p>
        </w:tc>
        <w:tc>
          <w:tcPr>
            <w:tcW w:w="1125" w:type="dxa"/>
            <w:shd w:val="clear" w:color="auto" w:fill="auto"/>
            <w:vAlign w:val="center"/>
          </w:tcPr>
          <w:p>
            <w:pPr>
              <w:pStyle w:val="255"/>
              <w:jc w:val="center"/>
              <w:rPr>
                <w:rFonts w:ascii="Times New Roman"/>
                <w:color w:val="auto"/>
                <w:sz w:val="30"/>
                <w:highlight w:val="none"/>
              </w:rPr>
            </w:pPr>
          </w:p>
        </w:tc>
        <w:tc>
          <w:tcPr>
            <w:tcW w:w="1558" w:type="dxa"/>
            <w:shd w:val="clear" w:color="auto" w:fill="auto"/>
            <w:vAlign w:val="center"/>
          </w:tcPr>
          <w:p>
            <w:pPr>
              <w:pStyle w:val="255"/>
              <w:jc w:val="center"/>
              <w:rPr>
                <w:rFonts w:ascii="Times New Roman"/>
                <w:color w:val="auto"/>
                <w:sz w:val="30"/>
                <w:highlight w:val="none"/>
              </w:rPr>
            </w:pPr>
          </w:p>
        </w:tc>
        <w:tc>
          <w:tcPr>
            <w:tcW w:w="1498" w:type="dxa"/>
            <w:shd w:val="clear" w:color="auto" w:fill="auto"/>
            <w:vAlign w:val="center"/>
          </w:tcPr>
          <w:p>
            <w:pPr>
              <w:pStyle w:val="255"/>
              <w:jc w:val="center"/>
              <w:rPr>
                <w:rFonts w:ascii="Times New Roman"/>
                <w:color w:val="auto"/>
                <w:sz w:val="30"/>
                <w:highlight w:val="none"/>
              </w:rPr>
            </w:pPr>
          </w:p>
        </w:tc>
        <w:tc>
          <w:tcPr>
            <w:tcW w:w="1564" w:type="dxa"/>
            <w:shd w:val="clear" w:color="auto" w:fill="auto"/>
            <w:vAlign w:val="center"/>
          </w:tcPr>
          <w:p>
            <w:pPr>
              <w:pStyle w:val="255"/>
              <w:jc w:val="center"/>
              <w:rPr>
                <w:rFonts w:ascii="Times New Roman"/>
                <w:color w:val="auto"/>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color w:val="auto"/>
                <w:sz w:val="24"/>
                <w:highlight w:val="none"/>
                <w:lang w:eastAsia="zh-CN"/>
              </w:rPr>
            </w:pPr>
            <w:r>
              <w:rPr>
                <w:rFonts w:hint="eastAsia"/>
                <w:color w:val="auto"/>
                <w:sz w:val="24"/>
                <w:highlight w:val="none"/>
                <w:lang w:eastAsia="zh-CN"/>
              </w:rPr>
              <w:t>合计：</w:t>
            </w:r>
          </w:p>
        </w:tc>
        <w:tc>
          <w:tcPr>
            <w:tcW w:w="1498" w:type="dxa"/>
            <w:shd w:val="clear" w:color="auto" w:fill="auto"/>
            <w:vAlign w:val="center"/>
          </w:tcPr>
          <w:p>
            <w:pPr>
              <w:pStyle w:val="255"/>
              <w:jc w:val="center"/>
              <w:rPr>
                <w:rFonts w:ascii="Times New Roman"/>
                <w:color w:val="auto"/>
                <w:sz w:val="30"/>
                <w:highlight w:val="none"/>
              </w:rPr>
            </w:pPr>
          </w:p>
        </w:tc>
        <w:tc>
          <w:tcPr>
            <w:tcW w:w="1564" w:type="dxa"/>
            <w:shd w:val="clear" w:color="auto" w:fill="auto"/>
            <w:vAlign w:val="center"/>
          </w:tcPr>
          <w:p>
            <w:pPr>
              <w:pStyle w:val="255"/>
              <w:jc w:val="center"/>
              <w:rPr>
                <w:rFonts w:ascii="Times New Roman"/>
                <w:color w:val="auto"/>
                <w:sz w:val="30"/>
                <w:highlight w:val="none"/>
              </w:rPr>
            </w:pPr>
          </w:p>
        </w:tc>
      </w:tr>
    </w:tbl>
    <w:p>
      <w:pPr>
        <w:adjustRightInd w:val="0"/>
        <w:snapToGrid w:val="0"/>
        <w:spacing w:line="360" w:lineRule="auto"/>
        <w:ind w:firstLine="480" w:firstLineChars="200"/>
        <w:jc w:val="left"/>
        <w:rPr>
          <w:color w:val="auto"/>
          <w:sz w:val="24"/>
          <w:highlight w:val="none"/>
        </w:rPr>
      </w:pPr>
    </w:p>
    <w:p>
      <w:pPr>
        <w:adjustRightInd w:val="0"/>
        <w:snapToGrid w:val="0"/>
        <w:spacing w:line="360" w:lineRule="auto"/>
        <w:jc w:val="left"/>
        <w:rPr>
          <w:color w:val="auto"/>
          <w:sz w:val="24"/>
          <w:highlight w:val="none"/>
        </w:rPr>
      </w:pPr>
    </w:p>
    <w:p>
      <w:pPr>
        <w:autoSpaceDE w:val="0"/>
        <w:autoSpaceDN w:val="0"/>
        <w:adjustRightInd w:val="0"/>
        <w:snapToGrid w:val="0"/>
        <w:spacing w:before="25" w:after="25" w:line="360" w:lineRule="auto"/>
        <w:jc w:val="right"/>
        <w:rPr>
          <w:color w:val="auto"/>
          <w:sz w:val="24"/>
          <w:highlight w:val="none"/>
          <w:lang w:val="zh-CN"/>
        </w:rPr>
      </w:pPr>
      <w:r>
        <w:rPr>
          <w:rFonts w:hint="eastAsia"/>
          <w:color w:val="auto"/>
          <w:sz w:val="24"/>
          <w:highlight w:val="none"/>
        </w:rPr>
        <w:t>供应商</w:t>
      </w:r>
      <w:r>
        <w:rPr>
          <w:color w:val="auto"/>
          <w:sz w:val="24"/>
          <w:highlight w:val="none"/>
        </w:rPr>
        <w:t>名称（加盖公章）</w:t>
      </w:r>
      <w:r>
        <w:rPr>
          <w:color w:val="auto"/>
          <w:sz w:val="24"/>
          <w:highlight w:val="none"/>
          <w:lang w:val="zh-CN"/>
        </w:rPr>
        <w:t>：____________</w:t>
      </w:r>
    </w:p>
    <w:p>
      <w:pPr>
        <w:spacing w:line="360" w:lineRule="auto"/>
        <w:ind w:right="-57" w:firstLine="480"/>
        <w:jc w:val="right"/>
        <w:rPr>
          <w:color w:val="auto"/>
          <w:sz w:val="24"/>
          <w:highlight w:val="none"/>
        </w:rPr>
      </w:pPr>
      <w:r>
        <w:rPr>
          <w:color w:val="auto"/>
          <w:sz w:val="24"/>
          <w:szCs w:val="20"/>
          <w:highlight w:val="none"/>
        </w:rPr>
        <w:t>日期：_____年______月______日</w:t>
      </w:r>
    </w:p>
    <w:p>
      <w:pPr>
        <w:adjustRightInd w:val="0"/>
        <w:snapToGrid w:val="0"/>
        <w:spacing w:line="360" w:lineRule="auto"/>
        <w:jc w:val="left"/>
        <w:rPr>
          <w:color w:val="auto"/>
          <w:sz w:val="24"/>
          <w:highlight w:val="none"/>
        </w:rPr>
      </w:pPr>
    </w:p>
    <w:p>
      <w:pPr>
        <w:adjustRightInd w:val="0"/>
        <w:snapToGrid w:val="0"/>
        <w:spacing w:line="360" w:lineRule="auto"/>
        <w:jc w:val="left"/>
        <w:rPr>
          <w:color w:val="auto"/>
          <w:sz w:val="24"/>
          <w:highlight w:val="none"/>
        </w:rPr>
      </w:pPr>
      <w:r>
        <w:rPr>
          <w:color w:val="auto"/>
          <w:sz w:val="24"/>
          <w:highlight w:val="none"/>
        </w:rPr>
        <w:t>说明：</w:t>
      </w:r>
    </w:p>
    <w:p>
      <w:pPr>
        <w:adjustRightInd w:val="0"/>
        <w:snapToGrid w:val="0"/>
        <w:spacing w:line="360" w:lineRule="auto"/>
        <w:jc w:val="left"/>
        <w:rPr>
          <w:color w:val="auto"/>
          <w:sz w:val="24"/>
          <w:highlight w:val="none"/>
        </w:rPr>
      </w:pPr>
      <w:r>
        <w:rPr>
          <w:color w:val="auto"/>
          <w:sz w:val="24"/>
          <w:highlight w:val="none"/>
        </w:rPr>
        <w:t>（1）本表仅在</w:t>
      </w:r>
      <w:r>
        <w:rPr>
          <w:rFonts w:hint="eastAsia"/>
          <w:color w:val="auto"/>
          <w:sz w:val="24"/>
          <w:highlight w:val="none"/>
        </w:rPr>
        <w:t>供应商</w:t>
      </w:r>
      <w:r>
        <w:rPr>
          <w:color w:val="auto"/>
          <w:sz w:val="24"/>
          <w:highlight w:val="none"/>
        </w:rPr>
        <w:t>“为落实政府采购政策”而向中小企业分包时填写，非因“为落实政府采购政策”而进行的分包请按照《</w:t>
      </w:r>
      <w:r>
        <w:rPr>
          <w:color w:val="auto"/>
          <w:sz w:val="24"/>
          <w:szCs w:val="20"/>
          <w:highlight w:val="none"/>
        </w:rPr>
        <w:t>拟分包情况说明（类型二）</w:t>
      </w:r>
      <w:r>
        <w:rPr>
          <w:color w:val="auto"/>
          <w:sz w:val="24"/>
          <w:highlight w:val="none"/>
        </w:rPr>
        <w:t>》要求填写。</w:t>
      </w:r>
    </w:p>
    <w:p>
      <w:pPr>
        <w:adjustRightInd w:val="0"/>
        <w:snapToGrid w:val="0"/>
        <w:spacing w:line="360" w:lineRule="auto"/>
        <w:jc w:val="left"/>
        <w:rPr>
          <w:color w:val="auto"/>
          <w:sz w:val="24"/>
          <w:highlight w:val="none"/>
        </w:rPr>
      </w:pPr>
      <w:r>
        <w:rPr>
          <w:color w:val="auto"/>
          <w:sz w:val="24"/>
          <w:highlight w:val="none"/>
        </w:rPr>
        <w:t>（2）如本</w:t>
      </w:r>
      <w:r>
        <w:rPr>
          <w:rFonts w:hint="eastAsia"/>
          <w:color w:val="auto"/>
          <w:sz w:val="24"/>
          <w:highlight w:val="none"/>
        </w:rPr>
        <w:t>比选文件</w:t>
      </w:r>
      <w:r>
        <w:rPr>
          <w:color w:val="auto"/>
          <w:sz w:val="24"/>
          <w:highlight w:val="none"/>
        </w:rPr>
        <w:t>《</w:t>
      </w:r>
      <w:r>
        <w:rPr>
          <w:rFonts w:hint="eastAsia"/>
          <w:color w:val="auto"/>
          <w:sz w:val="24"/>
          <w:highlight w:val="none"/>
        </w:rPr>
        <w:t>供应商</w:t>
      </w:r>
      <w:r>
        <w:rPr>
          <w:color w:val="auto"/>
          <w:sz w:val="24"/>
          <w:highlight w:val="none"/>
        </w:rPr>
        <w:t>须知资料表》载明本项目分包承担主体应具备的相应资质条件，则</w:t>
      </w:r>
      <w:r>
        <w:rPr>
          <w:rFonts w:hint="eastAsia"/>
          <w:color w:val="auto"/>
          <w:sz w:val="24"/>
          <w:highlight w:val="none"/>
        </w:rPr>
        <w:t>供应商</w:t>
      </w:r>
      <w:r>
        <w:rPr>
          <w:color w:val="auto"/>
          <w:sz w:val="24"/>
          <w:highlight w:val="none"/>
        </w:rPr>
        <w:t>须在本表中列明分包承担主体的资质等级，并后附资质证书电子件，否则</w:t>
      </w:r>
      <w:r>
        <w:rPr>
          <w:rFonts w:hint="eastAsia"/>
          <w:b/>
          <w:color w:val="auto"/>
          <w:sz w:val="24"/>
          <w:highlight w:val="none"/>
        </w:rPr>
        <w:t>响应</w:t>
      </w:r>
      <w:r>
        <w:rPr>
          <w:b/>
          <w:color w:val="auto"/>
          <w:sz w:val="24"/>
          <w:highlight w:val="none"/>
        </w:rPr>
        <w:t>无效</w:t>
      </w:r>
      <w:r>
        <w:rPr>
          <w:color w:val="auto"/>
          <w:sz w:val="24"/>
          <w:highlight w:val="none"/>
        </w:rPr>
        <w:t>。</w:t>
      </w:r>
    </w:p>
    <w:p>
      <w:pPr>
        <w:adjustRightInd w:val="0"/>
        <w:snapToGrid w:val="0"/>
        <w:spacing w:line="360" w:lineRule="auto"/>
        <w:jc w:val="left"/>
        <w:rPr>
          <w:color w:val="auto"/>
          <w:sz w:val="30"/>
          <w:szCs w:val="30"/>
          <w:highlight w:val="none"/>
        </w:rPr>
      </w:pPr>
      <w:r>
        <w:rPr>
          <w:color w:val="auto"/>
          <w:sz w:val="24"/>
          <w:highlight w:val="none"/>
        </w:rPr>
        <w:t>（3）</w:t>
      </w:r>
      <w:r>
        <w:rPr>
          <w:rFonts w:hint="eastAsia"/>
          <w:color w:val="auto"/>
          <w:sz w:val="24"/>
          <w:highlight w:val="none"/>
        </w:rPr>
        <w:t>供应商</w:t>
      </w:r>
      <w:r>
        <w:rPr>
          <w:color w:val="auto"/>
          <w:sz w:val="24"/>
          <w:highlight w:val="none"/>
        </w:rPr>
        <w:t>与上述拟分包承担主体签署的《分包意向协议》后附。</w:t>
      </w:r>
    </w:p>
    <w:p>
      <w:pPr>
        <w:autoSpaceDE w:val="0"/>
        <w:autoSpaceDN w:val="0"/>
        <w:adjustRightInd w:val="0"/>
        <w:spacing w:line="360" w:lineRule="auto"/>
        <w:jc w:val="center"/>
        <w:rPr>
          <w:b/>
          <w:color w:val="auto"/>
          <w:sz w:val="36"/>
          <w:szCs w:val="36"/>
          <w:highlight w:val="none"/>
        </w:rPr>
      </w:pPr>
      <w:r>
        <w:rPr>
          <w:color w:val="auto"/>
          <w:sz w:val="30"/>
          <w:szCs w:val="30"/>
          <w:highlight w:val="none"/>
        </w:rPr>
        <w:br w:type="page"/>
      </w:r>
      <w:r>
        <w:rPr>
          <w:rFonts w:hint="eastAsia"/>
          <w:b/>
          <w:color w:val="auto"/>
          <w:sz w:val="36"/>
          <w:szCs w:val="36"/>
          <w:highlight w:val="none"/>
        </w:rPr>
        <w:t>附：分包意向协议（实质性格式）</w:t>
      </w:r>
    </w:p>
    <w:p>
      <w:pPr>
        <w:adjustRightInd w:val="0"/>
        <w:snapToGrid w:val="0"/>
        <w:spacing w:line="360" w:lineRule="auto"/>
        <w:ind w:firstLine="480" w:firstLineChars="200"/>
        <w:jc w:val="left"/>
        <w:rPr>
          <w:color w:val="auto"/>
          <w:sz w:val="24"/>
          <w:highlight w:val="none"/>
        </w:rPr>
      </w:pPr>
      <w:r>
        <w:rPr>
          <w:color w:val="auto"/>
          <w:sz w:val="24"/>
          <w:highlight w:val="none"/>
        </w:rPr>
        <w:t>甲方（</w:t>
      </w:r>
      <w:r>
        <w:rPr>
          <w:rFonts w:hint="eastAsia"/>
          <w:color w:val="auto"/>
          <w:sz w:val="24"/>
          <w:highlight w:val="none"/>
        </w:rPr>
        <w:t>供应商</w:t>
      </w:r>
      <w:r>
        <w:rPr>
          <w:color w:val="auto"/>
          <w:sz w:val="24"/>
          <w:highlight w:val="none"/>
        </w:rPr>
        <w:t>）：________</w:t>
      </w:r>
    </w:p>
    <w:p>
      <w:pPr>
        <w:adjustRightInd w:val="0"/>
        <w:snapToGrid w:val="0"/>
        <w:spacing w:line="360" w:lineRule="auto"/>
        <w:ind w:firstLine="480" w:firstLineChars="200"/>
        <w:jc w:val="left"/>
        <w:rPr>
          <w:color w:val="auto"/>
          <w:sz w:val="24"/>
          <w:highlight w:val="none"/>
        </w:rPr>
      </w:pPr>
      <w:r>
        <w:rPr>
          <w:color w:val="auto"/>
          <w:sz w:val="24"/>
          <w:highlight w:val="none"/>
        </w:rPr>
        <w:t>乙方（拟分包单位）：________</w:t>
      </w:r>
    </w:p>
    <w:p>
      <w:pPr>
        <w:adjustRightInd w:val="0"/>
        <w:snapToGrid w:val="0"/>
        <w:spacing w:line="360" w:lineRule="auto"/>
        <w:ind w:firstLine="480" w:firstLineChars="200"/>
        <w:jc w:val="left"/>
        <w:rPr>
          <w:color w:val="auto"/>
          <w:sz w:val="24"/>
          <w:highlight w:val="none"/>
        </w:rPr>
      </w:pPr>
      <w:r>
        <w:rPr>
          <w:color w:val="auto"/>
          <w:sz w:val="24"/>
          <w:highlight w:val="none"/>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color w:val="auto"/>
          <w:sz w:val="24"/>
          <w:highlight w:val="none"/>
        </w:rPr>
      </w:pPr>
      <w:r>
        <w:rPr>
          <w:color w:val="auto"/>
          <w:sz w:val="24"/>
          <w:highlight w:val="none"/>
        </w:rPr>
        <w:t>1.分包内容：_____。</w:t>
      </w:r>
    </w:p>
    <w:p>
      <w:pPr>
        <w:adjustRightInd w:val="0"/>
        <w:snapToGrid w:val="0"/>
        <w:spacing w:line="360" w:lineRule="auto"/>
        <w:ind w:firstLine="480" w:firstLineChars="200"/>
        <w:jc w:val="left"/>
        <w:rPr>
          <w:color w:val="auto"/>
          <w:sz w:val="24"/>
          <w:highlight w:val="none"/>
        </w:rPr>
      </w:pPr>
      <w:r>
        <w:rPr>
          <w:color w:val="auto"/>
          <w:sz w:val="24"/>
          <w:highlight w:val="none"/>
        </w:rPr>
        <w:t>2.分包金额：_____，该金额占该采购包预算总金额的比例为___%。</w:t>
      </w:r>
    </w:p>
    <w:p>
      <w:pPr>
        <w:adjustRightInd w:val="0"/>
        <w:snapToGrid w:val="0"/>
        <w:spacing w:line="360" w:lineRule="auto"/>
        <w:ind w:firstLine="480" w:firstLineChars="200"/>
        <w:jc w:val="left"/>
        <w:rPr>
          <w:bCs/>
          <w:color w:val="auto"/>
          <w:sz w:val="24"/>
          <w:highlight w:val="none"/>
        </w:rPr>
      </w:pPr>
      <w:r>
        <w:rPr>
          <w:color w:val="auto"/>
          <w:sz w:val="24"/>
          <w:highlight w:val="none"/>
        </w:rPr>
        <w:t>乙方承诺将在上述情况下与甲方签订分包合同。</w:t>
      </w:r>
    </w:p>
    <w:p>
      <w:pPr>
        <w:adjustRightInd w:val="0"/>
        <w:snapToGrid w:val="0"/>
        <w:spacing w:line="360" w:lineRule="auto"/>
        <w:ind w:firstLine="480" w:firstLineChars="200"/>
        <w:jc w:val="left"/>
        <w:rPr>
          <w:color w:val="auto"/>
          <w:sz w:val="24"/>
          <w:highlight w:val="none"/>
        </w:rPr>
      </w:pPr>
      <w:r>
        <w:rPr>
          <w:color w:val="auto"/>
          <w:sz w:val="24"/>
          <w:highlight w:val="none"/>
        </w:rPr>
        <w:t>本协议自各方盖章之日起生效，如甲方未在该项目（采购包）</w:t>
      </w:r>
      <w:r>
        <w:rPr>
          <w:rFonts w:hint="eastAsia"/>
          <w:color w:val="auto"/>
          <w:sz w:val="24"/>
          <w:highlight w:val="none"/>
        </w:rPr>
        <w:t>成交</w:t>
      </w:r>
      <w:r>
        <w:rPr>
          <w:color w:val="auto"/>
          <w:sz w:val="24"/>
          <w:highlight w:val="none"/>
        </w:rPr>
        <w:t>，本协议自动终止。</w:t>
      </w:r>
    </w:p>
    <w:p>
      <w:pPr>
        <w:spacing w:line="360" w:lineRule="auto"/>
        <w:ind w:firstLine="471"/>
        <w:rPr>
          <w:b/>
          <w:color w:val="auto"/>
          <w:sz w:val="24"/>
          <w:highlight w:val="none"/>
        </w:rPr>
      </w:pPr>
    </w:p>
    <w:p>
      <w:pPr>
        <w:spacing w:line="360" w:lineRule="auto"/>
        <w:ind w:firstLine="471"/>
        <w:rPr>
          <w:b/>
          <w:color w:val="auto"/>
          <w:sz w:val="24"/>
          <w:highlight w:val="none"/>
        </w:rPr>
      </w:pPr>
      <w:r>
        <w:rPr>
          <w:color w:val="auto"/>
          <w:sz w:val="24"/>
          <w:highlight w:val="none"/>
        </w:rPr>
        <w:t>甲方（盖章）：_________                 乙方（盖章）：_________</w:t>
      </w:r>
    </w:p>
    <w:p>
      <w:pPr>
        <w:spacing w:line="360" w:lineRule="auto"/>
        <w:ind w:left="480"/>
        <w:jc w:val="right"/>
        <w:rPr>
          <w:color w:val="auto"/>
          <w:sz w:val="24"/>
          <w:highlight w:val="none"/>
        </w:rPr>
      </w:pPr>
    </w:p>
    <w:p>
      <w:pPr>
        <w:wordWrap w:val="0"/>
        <w:spacing w:line="360" w:lineRule="auto"/>
        <w:ind w:left="480"/>
        <w:jc w:val="right"/>
        <w:rPr>
          <w:b/>
          <w:color w:val="auto"/>
          <w:sz w:val="24"/>
          <w:highlight w:val="none"/>
        </w:rPr>
      </w:pPr>
      <w:r>
        <w:rPr>
          <w:color w:val="auto"/>
          <w:sz w:val="24"/>
          <w:szCs w:val="20"/>
          <w:highlight w:val="none"/>
        </w:rPr>
        <w:t xml:space="preserve">日期：_____年______月______日   </w:t>
      </w:r>
    </w:p>
    <w:p>
      <w:pPr>
        <w:tabs>
          <w:tab w:val="left" w:pos="8280"/>
        </w:tabs>
        <w:spacing w:line="360" w:lineRule="auto"/>
        <w:ind w:firstLine="480"/>
        <w:rPr>
          <w:color w:val="auto"/>
          <w:sz w:val="24"/>
          <w:highlight w:val="none"/>
        </w:rPr>
      </w:pPr>
    </w:p>
    <w:p>
      <w:pPr>
        <w:tabs>
          <w:tab w:val="left" w:pos="8280"/>
        </w:tabs>
        <w:spacing w:line="360" w:lineRule="auto"/>
        <w:rPr>
          <w:color w:val="auto"/>
          <w:sz w:val="24"/>
          <w:highlight w:val="none"/>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auto"/>
          <w:sz w:val="24"/>
          <w:highlight w:val="none"/>
        </w:rPr>
        <w:t>说明：</w:t>
      </w:r>
      <w:r>
        <w:rPr>
          <w:rFonts w:hint="eastAsia"/>
          <w:color w:val="auto"/>
          <w:sz w:val="24"/>
          <w:highlight w:val="none"/>
        </w:rPr>
        <w:t>供应商</w:t>
      </w:r>
      <w:r>
        <w:rPr>
          <w:color w:val="auto"/>
          <w:sz w:val="24"/>
          <w:highlight w:val="none"/>
        </w:rPr>
        <w:t>须与所有拟分包单位分别签订《分包意向协议》，每单位签订一份，并在</w:t>
      </w:r>
      <w:r>
        <w:rPr>
          <w:rFonts w:hint="eastAsia"/>
          <w:color w:val="auto"/>
          <w:sz w:val="24"/>
          <w:highlight w:val="none"/>
        </w:rPr>
        <w:t>响应文件</w:t>
      </w:r>
      <w:r>
        <w:rPr>
          <w:color w:val="auto"/>
          <w:sz w:val="24"/>
          <w:highlight w:val="none"/>
        </w:rPr>
        <w:t>中提交全部协议原件的电子件，否则</w:t>
      </w:r>
      <w:r>
        <w:rPr>
          <w:rFonts w:hint="eastAsia"/>
          <w:b/>
          <w:color w:val="auto"/>
          <w:sz w:val="24"/>
          <w:highlight w:val="none"/>
        </w:rPr>
        <w:t>响应</w:t>
      </w:r>
      <w:r>
        <w:rPr>
          <w:b/>
          <w:color w:val="auto"/>
          <w:sz w:val="24"/>
          <w:highlight w:val="none"/>
        </w:rPr>
        <w:t>无效</w:t>
      </w:r>
      <w:r>
        <w:rPr>
          <w:color w:val="auto"/>
          <w:sz w:val="24"/>
          <w:highlight w:val="none"/>
        </w:rPr>
        <w:t>。</w:t>
      </w:r>
    </w:p>
    <w:p>
      <w:pPr>
        <w:spacing w:line="360" w:lineRule="auto"/>
        <w:outlineLvl w:val="2"/>
        <w:rPr>
          <w:color w:val="auto"/>
          <w:sz w:val="24"/>
          <w:szCs w:val="20"/>
          <w:highlight w:val="none"/>
        </w:rPr>
      </w:pPr>
      <w:r>
        <w:rPr>
          <w:color w:val="auto"/>
          <w:sz w:val="24"/>
          <w:szCs w:val="20"/>
          <w:highlight w:val="none"/>
        </w:rPr>
        <w:t xml:space="preserve">2-3 </w:t>
      </w:r>
      <w:r>
        <w:rPr>
          <w:color w:val="auto"/>
          <w:sz w:val="24"/>
          <w:highlight w:val="none"/>
        </w:rPr>
        <w:t>其它落实政府采购政策的资格要求</w:t>
      </w:r>
      <w:r>
        <w:rPr>
          <w:color w:val="auto"/>
          <w:sz w:val="24"/>
          <w:szCs w:val="20"/>
          <w:highlight w:val="none"/>
        </w:rPr>
        <w:t>（如有）</w:t>
      </w:r>
    </w:p>
    <w:p>
      <w:pPr>
        <w:widowControl/>
        <w:jc w:val="left"/>
        <w:rPr>
          <w:color w:val="auto"/>
          <w:sz w:val="24"/>
          <w:highlight w:val="none"/>
        </w:rPr>
      </w:pPr>
    </w:p>
    <w:p>
      <w:pPr>
        <w:widowControl/>
        <w:jc w:val="left"/>
        <w:rPr>
          <w:color w:val="auto"/>
          <w:sz w:val="24"/>
          <w:highlight w:val="none"/>
        </w:rPr>
      </w:pPr>
    </w:p>
    <w:p>
      <w:pPr>
        <w:rPr>
          <w:color w:val="auto"/>
          <w:sz w:val="24"/>
          <w:szCs w:val="20"/>
          <w:highlight w:val="none"/>
        </w:rPr>
      </w:pPr>
      <w:r>
        <w:rPr>
          <w:color w:val="auto"/>
          <w:sz w:val="24"/>
          <w:szCs w:val="20"/>
          <w:highlight w:val="none"/>
        </w:rPr>
        <w:br w:type="page"/>
      </w:r>
    </w:p>
    <w:p>
      <w:pPr>
        <w:spacing w:line="360" w:lineRule="auto"/>
        <w:outlineLvl w:val="2"/>
        <w:rPr>
          <w:color w:val="auto"/>
          <w:sz w:val="24"/>
          <w:highlight w:val="none"/>
        </w:rPr>
      </w:pPr>
      <w:r>
        <w:rPr>
          <w:color w:val="auto"/>
          <w:sz w:val="24"/>
          <w:szCs w:val="20"/>
          <w:highlight w:val="none"/>
        </w:rPr>
        <w:t xml:space="preserve">3 </w:t>
      </w:r>
      <w:r>
        <w:rPr>
          <w:color w:val="auto"/>
          <w:sz w:val="24"/>
          <w:highlight w:val="none"/>
        </w:rPr>
        <w:t>本项目的特定资格要求</w:t>
      </w:r>
      <w:r>
        <w:rPr>
          <w:color w:val="auto"/>
          <w:sz w:val="24"/>
          <w:szCs w:val="20"/>
          <w:highlight w:val="none"/>
        </w:rPr>
        <w:t>（如有）</w:t>
      </w:r>
    </w:p>
    <w:p>
      <w:pPr>
        <w:spacing w:line="360" w:lineRule="auto"/>
        <w:outlineLvl w:val="2"/>
        <w:rPr>
          <w:color w:val="auto"/>
          <w:sz w:val="24"/>
          <w:szCs w:val="20"/>
          <w:highlight w:val="none"/>
        </w:rPr>
      </w:pPr>
      <w:r>
        <w:rPr>
          <w:color w:val="auto"/>
          <w:sz w:val="24"/>
          <w:szCs w:val="20"/>
          <w:highlight w:val="none"/>
        </w:rPr>
        <w:t>3-1联合协议（如有）（实质性格式）</w:t>
      </w:r>
      <w:r>
        <w:rPr>
          <w:b/>
          <w:color w:val="auto"/>
          <w:sz w:val="24"/>
          <w:szCs w:val="20"/>
          <w:highlight w:val="none"/>
        </w:rPr>
        <w:t>（本项目不涉及）</w:t>
      </w:r>
    </w:p>
    <w:p>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联合协议</w:t>
      </w:r>
    </w:p>
    <w:p>
      <w:pPr>
        <w:spacing w:line="360" w:lineRule="auto"/>
        <w:ind w:firstLine="828" w:firstLineChars="345"/>
        <w:rPr>
          <w:bCs/>
          <w:color w:val="auto"/>
          <w:highlight w:val="none"/>
        </w:rPr>
      </w:pPr>
      <w:r>
        <w:rPr>
          <w:bCs/>
          <w:color w:val="auto"/>
          <w:sz w:val="24"/>
          <w:highlight w:val="none"/>
        </w:rPr>
        <w:t>______ 、 _____ 及 _____就“________（项目名称）</w:t>
      </w:r>
      <w:r>
        <w:rPr>
          <w:color w:val="auto"/>
          <w:sz w:val="24"/>
          <w:highlight w:val="none"/>
        </w:rPr>
        <w:t>”____包</w:t>
      </w:r>
      <w:r>
        <w:rPr>
          <w:bCs/>
          <w:color w:val="auto"/>
          <w:sz w:val="24"/>
          <w:highlight w:val="none"/>
        </w:rPr>
        <w:t>招标项目的</w:t>
      </w:r>
      <w:r>
        <w:rPr>
          <w:rFonts w:hint="eastAsia"/>
          <w:bCs/>
          <w:color w:val="auto"/>
          <w:sz w:val="24"/>
          <w:highlight w:val="none"/>
        </w:rPr>
        <w:t>响应</w:t>
      </w:r>
      <w:r>
        <w:rPr>
          <w:bCs/>
          <w:color w:val="auto"/>
          <w:sz w:val="24"/>
          <w:highlight w:val="none"/>
        </w:rPr>
        <w:t>事宜，经各方充分协商一致，达成如下协议：</w:t>
      </w:r>
    </w:p>
    <w:p>
      <w:pPr>
        <w:numPr>
          <w:ilvl w:val="0"/>
          <w:numId w:val="51"/>
        </w:numPr>
        <w:spacing w:line="360" w:lineRule="auto"/>
        <w:rPr>
          <w:bCs/>
          <w:color w:val="auto"/>
          <w:sz w:val="24"/>
          <w:highlight w:val="none"/>
        </w:rPr>
      </w:pPr>
      <w:r>
        <w:rPr>
          <w:bCs/>
          <w:color w:val="auto"/>
          <w:sz w:val="24"/>
          <w:highlight w:val="none"/>
        </w:rPr>
        <w:t>由_________牵头，_________、__________参加，组成联合体共同进行招标项目的</w:t>
      </w:r>
      <w:r>
        <w:rPr>
          <w:rFonts w:hint="eastAsia"/>
          <w:bCs/>
          <w:color w:val="auto"/>
          <w:sz w:val="24"/>
          <w:highlight w:val="none"/>
        </w:rPr>
        <w:t>响应</w:t>
      </w:r>
      <w:r>
        <w:rPr>
          <w:bCs/>
          <w:color w:val="auto"/>
          <w:sz w:val="24"/>
          <w:highlight w:val="none"/>
        </w:rPr>
        <w:t>工作。</w:t>
      </w:r>
    </w:p>
    <w:p>
      <w:pPr>
        <w:numPr>
          <w:ilvl w:val="0"/>
          <w:numId w:val="51"/>
        </w:numPr>
        <w:spacing w:line="360" w:lineRule="auto"/>
        <w:rPr>
          <w:bCs/>
          <w:color w:val="auto"/>
          <w:sz w:val="24"/>
          <w:highlight w:val="none"/>
        </w:rPr>
      </w:pPr>
      <w:r>
        <w:rPr>
          <w:bCs/>
          <w:color w:val="auto"/>
          <w:sz w:val="24"/>
          <w:highlight w:val="none"/>
        </w:rPr>
        <w:t>______为本次</w:t>
      </w:r>
      <w:r>
        <w:rPr>
          <w:rFonts w:hint="eastAsia"/>
          <w:bCs/>
          <w:color w:val="auto"/>
          <w:sz w:val="24"/>
          <w:highlight w:val="none"/>
        </w:rPr>
        <w:t>响应</w:t>
      </w:r>
      <w:r>
        <w:rPr>
          <w:bCs/>
          <w:color w:val="auto"/>
          <w:sz w:val="24"/>
          <w:highlight w:val="none"/>
        </w:rPr>
        <w:t>的牵头人，联合体以牵头人的名义参加</w:t>
      </w:r>
      <w:r>
        <w:rPr>
          <w:rFonts w:hint="eastAsia"/>
          <w:bCs/>
          <w:color w:val="auto"/>
          <w:sz w:val="24"/>
          <w:highlight w:val="none"/>
        </w:rPr>
        <w:t>响应</w:t>
      </w:r>
      <w:r>
        <w:rPr>
          <w:bCs/>
          <w:color w:val="auto"/>
          <w:sz w:val="24"/>
          <w:highlight w:val="none"/>
        </w:rPr>
        <w:t>，联合体</w:t>
      </w:r>
      <w:r>
        <w:rPr>
          <w:rFonts w:hint="eastAsia"/>
          <w:bCs/>
          <w:color w:val="auto"/>
          <w:sz w:val="24"/>
          <w:highlight w:val="none"/>
        </w:rPr>
        <w:t>成交</w:t>
      </w:r>
      <w:r>
        <w:rPr>
          <w:bCs/>
          <w:color w:val="auto"/>
          <w:sz w:val="24"/>
          <w:highlight w:val="none"/>
        </w:rPr>
        <w:t>后，联合体各方共同与采购人签订合同，就</w:t>
      </w:r>
      <w:r>
        <w:rPr>
          <w:rFonts w:hint="eastAsia"/>
          <w:bCs/>
          <w:color w:val="auto"/>
          <w:sz w:val="24"/>
          <w:highlight w:val="none"/>
        </w:rPr>
        <w:t>采购合同约定的事项</w:t>
      </w:r>
      <w:r>
        <w:rPr>
          <w:bCs/>
          <w:color w:val="auto"/>
          <w:sz w:val="24"/>
          <w:highlight w:val="none"/>
        </w:rPr>
        <w:t>对采购人承担连带责任。</w:t>
      </w:r>
    </w:p>
    <w:p>
      <w:pPr>
        <w:numPr>
          <w:ilvl w:val="0"/>
          <w:numId w:val="51"/>
        </w:numPr>
        <w:spacing w:line="360" w:lineRule="auto"/>
        <w:rPr>
          <w:bCs/>
          <w:color w:val="auto"/>
          <w:sz w:val="24"/>
          <w:highlight w:val="none"/>
        </w:rPr>
      </w:pPr>
      <w:r>
        <w:rPr>
          <w:bCs/>
          <w:color w:val="auto"/>
          <w:sz w:val="24"/>
          <w:highlight w:val="none"/>
        </w:rPr>
        <w:t>联合体各方均同意由牵头人代表其他联合体成员单位按</w:t>
      </w:r>
      <w:r>
        <w:rPr>
          <w:rFonts w:hint="eastAsia"/>
          <w:bCs/>
          <w:color w:val="auto"/>
          <w:sz w:val="24"/>
          <w:highlight w:val="none"/>
        </w:rPr>
        <w:t>比选文件</w:t>
      </w:r>
      <w:r>
        <w:rPr>
          <w:bCs/>
          <w:color w:val="auto"/>
          <w:sz w:val="24"/>
          <w:highlight w:val="none"/>
        </w:rPr>
        <w:t>要求出具《授权委托书》。</w:t>
      </w:r>
    </w:p>
    <w:p>
      <w:pPr>
        <w:numPr>
          <w:ilvl w:val="0"/>
          <w:numId w:val="51"/>
        </w:numPr>
        <w:spacing w:line="360" w:lineRule="auto"/>
        <w:rPr>
          <w:bCs/>
          <w:color w:val="auto"/>
          <w:sz w:val="24"/>
          <w:highlight w:val="none"/>
        </w:rPr>
      </w:pPr>
      <w:r>
        <w:rPr>
          <w:bCs/>
          <w:color w:val="auto"/>
          <w:sz w:val="24"/>
          <w:highlight w:val="none"/>
        </w:rPr>
        <w:t>牵头人为项目的总负责单位；组织各参加方进行项目实施工作。</w:t>
      </w:r>
    </w:p>
    <w:p>
      <w:pPr>
        <w:numPr>
          <w:ilvl w:val="0"/>
          <w:numId w:val="51"/>
        </w:numPr>
        <w:spacing w:line="360" w:lineRule="auto"/>
        <w:rPr>
          <w:bCs/>
          <w:color w:val="auto"/>
          <w:sz w:val="24"/>
          <w:highlight w:val="none"/>
        </w:rPr>
      </w:pPr>
      <w:r>
        <w:rPr>
          <w:bCs/>
          <w:color w:val="auto"/>
          <w:sz w:val="24"/>
          <w:highlight w:val="none"/>
        </w:rPr>
        <w:t>______负责_____，具体工作范围、内容以</w:t>
      </w:r>
      <w:r>
        <w:rPr>
          <w:rFonts w:hint="eastAsia"/>
          <w:bCs/>
          <w:color w:val="auto"/>
          <w:sz w:val="24"/>
          <w:highlight w:val="none"/>
        </w:rPr>
        <w:t>响应文件</w:t>
      </w:r>
      <w:r>
        <w:rPr>
          <w:bCs/>
          <w:color w:val="auto"/>
          <w:sz w:val="24"/>
          <w:highlight w:val="none"/>
        </w:rPr>
        <w:t>及合同为准。</w:t>
      </w:r>
    </w:p>
    <w:p>
      <w:pPr>
        <w:numPr>
          <w:ilvl w:val="0"/>
          <w:numId w:val="51"/>
        </w:numPr>
        <w:spacing w:line="360" w:lineRule="auto"/>
        <w:rPr>
          <w:bCs/>
          <w:color w:val="auto"/>
          <w:sz w:val="24"/>
          <w:highlight w:val="none"/>
        </w:rPr>
      </w:pPr>
      <w:r>
        <w:rPr>
          <w:bCs/>
          <w:color w:val="auto"/>
          <w:sz w:val="24"/>
          <w:highlight w:val="none"/>
        </w:rPr>
        <w:t>______负责_____，具体工作范围、内容以</w:t>
      </w:r>
      <w:r>
        <w:rPr>
          <w:rFonts w:hint="eastAsia"/>
          <w:bCs/>
          <w:color w:val="auto"/>
          <w:sz w:val="24"/>
          <w:highlight w:val="none"/>
        </w:rPr>
        <w:t>响应文件</w:t>
      </w:r>
      <w:r>
        <w:rPr>
          <w:bCs/>
          <w:color w:val="auto"/>
          <w:sz w:val="24"/>
          <w:highlight w:val="none"/>
        </w:rPr>
        <w:t>及合同为准。</w:t>
      </w:r>
    </w:p>
    <w:p>
      <w:pPr>
        <w:numPr>
          <w:ilvl w:val="0"/>
          <w:numId w:val="51"/>
        </w:numPr>
        <w:spacing w:line="360" w:lineRule="auto"/>
        <w:rPr>
          <w:bCs/>
          <w:color w:val="auto"/>
          <w:sz w:val="24"/>
          <w:highlight w:val="none"/>
        </w:rPr>
      </w:pPr>
      <w:r>
        <w:rPr>
          <w:bCs/>
          <w:color w:val="auto"/>
          <w:sz w:val="24"/>
          <w:highlight w:val="none"/>
        </w:rPr>
        <w:t>______负责_____（如有），具体工作范围、内容以</w:t>
      </w:r>
      <w:r>
        <w:rPr>
          <w:rFonts w:hint="eastAsia"/>
          <w:bCs/>
          <w:color w:val="auto"/>
          <w:sz w:val="24"/>
          <w:highlight w:val="none"/>
        </w:rPr>
        <w:t>响应文件</w:t>
      </w:r>
      <w:r>
        <w:rPr>
          <w:bCs/>
          <w:color w:val="auto"/>
          <w:sz w:val="24"/>
          <w:highlight w:val="none"/>
        </w:rPr>
        <w:t>及合同为准。</w:t>
      </w:r>
    </w:p>
    <w:p>
      <w:pPr>
        <w:numPr>
          <w:ilvl w:val="0"/>
          <w:numId w:val="51"/>
        </w:numPr>
        <w:spacing w:line="360" w:lineRule="auto"/>
        <w:rPr>
          <w:color w:val="auto"/>
          <w:sz w:val="24"/>
          <w:highlight w:val="none"/>
        </w:rPr>
      </w:pPr>
      <w:r>
        <w:rPr>
          <w:color w:val="auto"/>
          <w:sz w:val="24"/>
          <w:highlight w:val="none"/>
        </w:rPr>
        <w:t>本项目联合协议合同总额为________元，联合体各成员按照如下比例分摊（按联合体成员分别列明）：</w:t>
      </w:r>
    </w:p>
    <w:p>
      <w:pPr>
        <w:tabs>
          <w:tab w:val="left" w:pos="720"/>
          <w:tab w:val="left" w:pos="900"/>
        </w:tabs>
        <w:spacing w:line="360" w:lineRule="auto"/>
        <w:ind w:left="851"/>
        <w:rPr>
          <w:color w:val="auto"/>
          <w:sz w:val="24"/>
          <w:szCs w:val="20"/>
          <w:highlight w:val="none"/>
        </w:rPr>
      </w:pPr>
      <w:r>
        <w:rPr>
          <w:color w:val="auto"/>
          <w:sz w:val="24"/>
          <w:szCs w:val="20"/>
          <w:highlight w:val="none"/>
        </w:rPr>
        <w:t>（1）</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highlight w:val="none"/>
        </w:rPr>
      </w:pPr>
      <w:r>
        <w:rPr>
          <w:color w:val="auto"/>
          <w:sz w:val="24"/>
          <w:szCs w:val="20"/>
          <w:highlight w:val="none"/>
        </w:rPr>
        <w:t>（2）</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highlight w:val="none"/>
        </w:rPr>
      </w:pPr>
      <w:r>
        <w:rPr>
          <w:color w:val="auto"/>
          <w:sz w:val="24"/>
          <w:szCs w:val="20"/>
          <w:highlight w:val="none"/>
        </w:rPr>
        <w:t>（…）</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pPr>
        <w:numPr>
          <w:ilvl w:val="0"/>
          <w:numId w:val="51"/>
        </w:numPr>
        <w:tabs>
          <w:tab w:val="left" w:pos="993"/>
        </w:tabs>
        <w:spacing w:line="360" w:lineRule="auto"/>
        <w:rPr>
          <w:bCs/>
          <w:color w:val="auto"/>
          <w:sz w:val="24"/>
          <w:highlight w:val="none"/>
        </w:rPr>
      </w:pPr>
      <w:r>
        <w:rPr>
          <w:rFonts w:hint="eastAsia"/>
          <w:bCs/>
          <w:color w:val="auto"/>
          <w:sz w:val="24"/>
          <w:highlight w:val="none"/>
        </w:rPr>
        <w:t>以联合体形式参加政府采购活动的，联合体各方不得再单独参加或者与其他供应商另外组成联合体参加同一合同项下的政府采购活动</w:t>
      </w:r>
      <w:r>
        <w:rPr>
          <w:bCs/>
          <w:color w:val="auto"/>
          <w:sz w:val="24"/>
          <w:highlight w:val="none"/>
        </w:rPr>
        <w:t>。</w:t>
      </w:r>
    </w:p>
    <w:p>
      <w:pPr>
        <w:numPr>
          <w:ilvl w:val="0"/>
          <w:numId w:val="51"/>
        </w:numPr>
        <w:spacing w:line="360" w:lineRule="auto"/>
        <w:rPr>
          <w:bCs/>
          <w:color w:val="auto"/>
          <w:sz w:val="24"/>
          <w:highlight w:val="none"/>
        </w:rPr>
      </w:pPr>
      <w:r>
        <w:rPr>
          <w:bCs/>
          <w:color w:val="auto"/>
          <w:sz w:val="24"/>
          <w:highlight w:val="none"/>
        </w:rPr>
        <w:t>其他约定（如有）：_______</w:t>
      </w:r>
      <w:r>
        <w:rPr>
          <w:rFonts w:hint="eastAsia"/>
          <w:bCs/>
          <w:color w:val="auto"/>
          <w:sz w:val="24"/>
          <w:highlight w:val="none"/>
        </w:rPr>
        <w:t>。</w:t>
      </w:r>
    </w:p>
    <w:p>
      <w:pPr>
        <w:tabs>
          <w:tab w:val="left" w:pos="780"/>
        </w:tabs>
        <w:spacing w:line="360" w:lineRule="auto"/>
        <w:ind w:firstLine="480" w:firstLineChars="200"/>
        <w:rPr>
          <w:color w:val="auto"/>
          <w:sz w:val="24"/>
          <w:highlight w:val="none"/>
        </w:rPr>
      </w:pPr>
      <w:r>
        <w:rPr>
          <w:bCs/>
          <w:color w:val="auto"/>
          <w:sz w:val="24"/>
          <w:highlight w:val="none"/>
        </w:rPr>
        <w:t>本协议自各方盖章后生效，</w:t>
      </w:r>
      <w:r>
        <w:rPr>
          <w:rFonts w:hint="eastAsia"/>
          <w:bCs/>
          <w:color w:val="auto"/>
          <w:sz w:val="24"/>
          <w:highlight w:val="none"/>
        </w:rPr>
        <w:t>采购合同履行完毕后自动失效。</w:t>
      </w:r>
      <w:r>
        <w:rPr>
          <w:bCs/>
          <w:color w:val="auto"/>
          <w:sz w:val="24"/>
          <w:highlight w:val="none"/>
        </w:rPr>
        <w:t>如未</w:t>
      </w:r>
      <w:r>
        <w:rPr>
          <w:rFonts w:hint="eastAsia"/>
          <w:bCs/>
          <w:color w:val="auto"/>
          <w:sz w:val="24"/>
          <w:highlight w:val="none"/>
        </w:rPr>
        <w:t>成交</w:t>
      </w:r>
      <w:r>
        <w:rPr>
          <w:bCs/>
          <w:color w:val="auto"/>
          <w:sz w:val="24"/>
          <w:highlight w:val="none"/>
        </w:rPr>
        <w:t>，本协议自动终止。</w:t>
      </w:r>
      <w:r>
        <w:rPr>
          <w:color w:val="auto"/>
          <w:sz w:val="24"/>
          <w:highlight w:val="none"/>
        </w:rPr>
        <w:br w:type="page"/>
      </w:r>
    </w:p>
    <w:p>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pPr>
        <w:spacing w:line="360" w:lineRule="auto"/>
        <w:ind w:firstLine="471"/>
        <w:rPr>
          <w:color w:val="auto"/>
          <w:sz w:val="24"/>
          <w:highlight w:val="none"/>
        </w:rPr>
      </w:pPr>
    </w:p>
    <w:p>
      <w:pPr>
        <w:spacing w:line="360" w:lineRule="auto"/>
        <w:ind w:firstLine="471"/>
        <w:rPr>
          <w:color w:val="auto"/>
          <w:sz w:val="24"/>
          <w:highlight w:val="none"/>
        </w:rPr>
      </w:pPr>
    </w:p>
    <w:p>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pPr>
        <w:spacing w:line="360" w:lineRule="auto"/>
        <w:ind w:firstLine="471"/>
        <w:rPr>
          <w:color w:val="auto"/>
          <w:sz w:val="24"/>
          <w:highlight w:val="none"/>
        </w:rPr>
      </w:pPr>
    </w:p>
    <w:p>
      <w:pPr>
        <w:spacing w:line="360" w:lineRule="auto"/>
        <w:ind w:firstLine="471"/>
        <w:rPr>
          <w:color w:val="auto"/>
          <w:sz w:val="24"/>
          <w:highlight w:val="none"/>
        </w:rPr>
      </w:pPr>
    </w:p>
    <w:p>
      <w:pPr>
        <w:spacing w:line="360" w:lineRule="auto"/>
        <w:ind w:left="480"/>
        <w:jc w:val="right"/>
        <w:rPr>
          <w:color w:val="auto"/>
          <w:sz w:val="24"/>
          <w:highlight w:val="none"/>
        </w:rPr>
      </w:pPr>
    </w:p>
    <w:p>
      <w:pPr>
        <w:spacing w:line="360" w:lineRule="auto"/>
        <w:ind w:left="480"/>
        <w:jc w:val="right"/>
        <w:rPr>
          <w:color w:val="auto"/>
          <w:sz w:val="24"/>
          <w:highlight w:val="none"/>
        </w:rPr>
      </w:pPr>
      <w:r>
        <w:rPr>
          <w:color w:val="auto"/>
          <w:sz w:val="24"/>
          <w:szCs w:val="20"/>
          <w:highlight w:val="none"/>
        </w:rPr>
        <w:t>日期：_____年______月______日</w:t>
      </w:r>
    </w:p>
    <w:p>
      <w:pPr>
        <w:spacing w:line="360" w:lineRule="auto"/>
        <w:ind w:left="480"/>
        <w:jc w:val="right"/>
        <w:rPr>
          <w:b/>
          <w:color w:val="auto"/>
          <w:sz w:val="24"/>
          <w:highlight w:val="none"/>
        </w:rPr>
      </w:pPr>
    </w:p>
    <w:p>
      <w:pPr>
        <w:tabs>
          <w:tab w:val="left" w:pos="8280"/>
        </w:tabs>
        <w:spacing w:line="360" w:lineRule="auto"/>
        <w:ind w:firstLine="480"/>
        <w:rPr>
          <w:color w:val="auto"/>
          <w:sz w:val="24"/>
          <w:highlight w:val="none"/>
        </w:rPr>
      </w:pPr>
    </w:p>
    <w:p>
      <w:pPr>
        <w:tabs>
          <w:tab w:val="left" w:pos="8280"/>
        </w:tabs>
        <w:spacing w:line="360" w:lineRule="auto"/>
        <w:ind w:firstLine="480"/>
        <w:rPr>
          <w:color w:val="auto"/>
          <w:sz w:val="24"/>
          <w:highlight w:val="none"/>
        </w:rPr>
      </w:pPr>
    </w:p>
    <w:p>
      <w:pPr>
        <w:spacing w:line="360" w:lineRule="auto"/>
        <w:ind w:left="719" w:leftChars="228" w:hanging="240" w:hangingChars="100"/>
        <w:rPr>
          <w:color w:val="auto"/>
          <w:sz w:val="24"/>
          <w:highlight w:val="none"/>
        </w:rPr>
      </w:pPr>
      <w:r>
        <w:rPr>
          <w:color w:val="auto"/>
          <w:sz w:val="24"/>
          <w:highlight w:val="none"/>
        </w:rPr>
        <w:t>注：联合体各方成员应在本协议上共同盖章，不得分别签署协议书。</w:t>
      </w:r>
    </w:p>
    <w:p>
      <w:pPr>
        <w:spacing w:line="360" w:lineRule="auto"/>
        <w:ind w:left="719" w:leftChars="228" w:hanging="240" w:hangingChars="100"/>
        <w:rPr>
          <w:color w:val="auto"/>
          <w:sz w:val="24"/>
          <w:highlight w:val="none"/>
        </w:rPr>
      </w:pPr>
      <w:r>
        <w:rPr>
          <w:color w:val="auto"/>
          <w:sz w:val="24"/>
          <w:highlight w:val="none"/>
        </w:rPr>
        <w:br w:type="page"/>
      </w:r>
    </w:p>
    <w:p>
      <w:pPr>
        <w:spacing w:line="360" w:lineRule="auto"/>
        <w:outlineLvl w:val="2"/>
        <w:rPr>
          <w:color w:val="auto"/>
          <w:sz w:val="24"/>
          <w:szCs w:val="20"/>
          <w:highlight w:val="none"/>
        </w:rPr>
      </w:pPr>
      <w:r>
        <w:rPr>
          <w:color w:val="auto"/>
          <w:sz w:val="24"/>
          <w:szCs w:val="20"/>
          <w:highlight w:val="none"/>
        </w:rPr>
        <w:t>3-2其他特定资格要求</w:t>
      </w:r>
    </w:p>
    <w:p>
      <w:pPr>
        <w:widowControl/>
        <w:jc w:val="left"/>
        <w:rPr>
          <w:b/>
          <w:bCs/>
          <w:color w:val="auto"/>
          <w:sz w:val="24"/>
          <w:szCs w:val="20"/>
          <w:highlight w:val="none"/>
        </w:rPr>
      </w:pPr>
      <w:r>
        <w:rPr>
          <w:rFonts w:hint="eastAsia"/>
          <w:b/>
          <w:bCs/>
          <w:color w:val="auto"/>
          <w:sz w:val="24"/>
          <w:szCs w:val="20"/>
          <w:highlight w:val="none"/>
        </w:rPr>
        <w:t>供应商须为“北京市政府采购电子卖场”（京华云采，（http://mkt-bjzc.zhongcy.com/mall-view/））物业管理服务的协议供应商，提供响应服务内容在“京华云采”上对应的网页链接并附含有供应商名称信息的截图，复印件加盖投标人公章。</w:t>
      </w:r>
    </w:p>
    <w:p>
      <w:pPr>
        <w:rPr>
          <w:color w:val="auto"/>
          <w:sz w:val="24"/>
          <w:szCs w:val="20"/>
          <w:highlight w:val="none"/>
        </w:rPr>
      </w:pPr>
      <w:r>
        <w:rPr>
          <w:color w:val="auto"/>
          <w:sz w:val="24"/>
          <w:szCs w:val="20"/>
          <w:highlight w:val="none"/>
        </w:rPr>
        <w:br w:type="page"/>
      </w:r>
    </w:p>
    <w:p>
      <w:pPr>
        <w:spacing w:line="360" w:lineRule="auto"/>
        <w:outlineLvl w:val="2"/>
        <w:rPr>
          <w:color w:val="auto"/>
          <w:sz w:val="24"/>
          <w:szCs w:val="20"/>
          <w:highlight w:val="none"/>
        </w:rPr>
      </w:pPr>
      <w:r>
        <w:rPr>
          <w:color w:val="auto"/>
          <w:sz w:val="24"/>
          <w:szCs w:val="20"/>
          <w:highlight w:val="none"/>
        </w:rPr>
        <w:t xml:space="preserve">4 </w:t>
      </w:r>
      <w:r>
        <w:rPr>
          <w:rFonts w:hint="eastAsia"/>
          <w:color w:val="auto"/>
          <w:sz w:val="24"/>
          <w:szCs w:val="20"/>
          <w:highlight w:val="none"/>
        </w:rPr>
        <w:t>报价保证金凭证/</w:t>
      </w:r>
      <w:r>
        <w:rPr>
          <w:color w:val="auto"/>
          <w:sz w:val="24"/>
          <w:szCs w:val="20"/>
          <w:highlight w:val="none"/>
        </w:rPr>
        <w:t>交款单据电子件</w:t>
      </w:r>
    </w:p>
    <w:p>
      <w:pPr>
        <w:spacing w:line="360" w:lineRule="auto"/>
        <w:ind w:firstLine="420" w:firstLineChars="200"/>
        <w:rPr>
          <w:color w:val="auto"/>
          <w:highlight w:val="none"/>
        </w:rPr>
      </w:pPr>
      <w:r>
        <w:rPr>
          <w:rFonts w:hint="eastAsia"/>
          <w:color w:val="auto"/>
          <w:highlight w:val="none"/>
        </w:rPr>
        <w:t>此报价保证金或其交纳凭据</w:t>
      </w:r>
      <w:r>
        <w:rPr>
          <w:color w:val="auto"/>
          <w:highlight w:val="none"/>
        </w:rPr>
        <w:t>/</w:t>
      </w:r>
      <w:r>
        <w:rPr>
          <w:rFonts w:hint="eastAsia"/>
          <w:color w:val="auto"/>
          <w:highlight w:val="none"/>
        </w:rPr>
        <w:t>证明的复印件还应密封后在开选时单独递交以供开选时唱标用。</w:t>
      </w:r>
    </w:p>
    <w:p>
      <w:pPr>
        <w:spacing w:line="360" w:lineRule="auto"/>
        <w:rPr>
          <w:color w:val="auto"/>
          <w:sz w:val="24"/>
          <w:szCs w:val="20"/>
          <w:highlight w:val="none"/>
        </w:rPr>
      </w:pPr>
    </w:p>
    <w:p>
      <w:pPr>
        <w:spacing w:line="360" w:lineRule="auto"/>
        <w:rPr>
          <w:color w:val="auto"/>
          <w:sz w:val="24"/>
          <w:szCs w:val="20"/>
          <w:highlight w:val="none"/>
        </w:rPr>
      </w:pPr>
    </w:p>
    <w:p>
      <w:pPr>
        <w:rPr>
          <w:color w:val="auto"/>
          <w:sz w:val="24"/>
          <w:szCs w:val="20"/>
          <w:highlight w:val="none"/>
        </w:rPr>
      </w:pPr>
      <w:r>
        <w:rPr>
          <w:color w:val="auto"/>
          <w:sz w:val="24"/>
          <w:szCs w:val="20"/>
          <w:highlight w:val="none"/>
        </w:rPr>
        <w:br w:type="page"/>
      </w:r>
    </w:p>
    <w:p>
      <w:pPr>
        <w:spacing w:line="360" w:lineRule="auto"/>
        <w:outlineLvl w:val="2"/>
        <w:rPr>
          <w:color w:val="auto"/>
          <w:sz w:val="24"/>
          <w:szCs w:val="20"/>
          <w:highlight w:val="none"/>
        </w:rPr>
      </w:pPr>
      <w:r>
        <w:rPr>
          <w:rFonts w:hint="eastAsia"/>
          <w:color w:val="auto"/>
          <w:sz w:val="24"/>
          <w:szCs w:val="20"/>
          <w:highlight w:val="none"/>
        </w:rPr>
        <w:t>5 代理服务费承诺书（实质性格式）</w:t>
      </w:r>
    </w:p>
    <w:p>
      <w:pPr>
        <w:spacing w:line="480" w:lineRule="exact"/>
        <w:rPr>
          <w:rFonts w:ascii="宋体" w:hAnsi="宋体"/>
          <w:color w:val="auto"/>
          <w:sz w:val="24"/>
          <w:highlight w:val="none"/>
          <w:u w:val="single"/>
        </w:rPr>
      </w:pPr>
      <w:r>
        <w:rPr>
          <w:rFonts w:hint="eastAsia" w:ascii="宋体" w:hAnsi="宋体"/>
          <w:color w:val="auto"/>
          <w:sz w:val="24"/>
          <w:highlight w:val="none"/>
        </w:rPr>
        <w:t>致：北京明德致信咨询有限公司</w:t>
      </w:r>
    </w:p>
    <w:p>
      <w:pPr>
        <w:widowControl/>
        <w:spacing w:line="480" w:lineRule="exact"/>
        <w:ind w:firstLine="480" w:firstLineChars="200"/>
        <w:jc w:val="left"/>
        <w:rPr>
          <w:rFonts w:ascii="宋体" w:hAnsi="宋体"/>
          <w:color w:val="auto"/>
          <w:kern w:val="0"/>
          <w:sz w:val="24"/>
          <w:highlight w:val="none"/>
        </w:rPr>
      </w:pPr>
      <w:r>
        <w:rPr>
          <w:rFonts w:hint="eastAsia" w:ascii="宋体" w:hAnsi="宋体"/>
          <w:color w:val="auto"/>
          <w:sz w:val="24"/>
          <w:highlight w:val="none"/>
        </w:rPr>
        <w:t>我们在贵公司组织的</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项目比选中若获成交（比选文件编号：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），我们保证在领取成交通知书时按比选文件的规定，以电汇、支票等方式，向贵公司一次性支付应该交纳的成交服务费用。收费标准依据比选文件</w:t>
      </w:r>
      <w:r>
        <w:rPr>
          <w:rFonts w:hint="eastAsia" w:ascii="宋体" w:hAnsi="宋体"/>
          <w:color w:val="auto"/>
          <w:kern w:val="0"/>
          <w:sz w:val="24"/>
          <w:highlight w:val="none"/>
        </w:rPr>
        <w:t>的规定</w:t>
      </w:r>
      <w:r>
        <w:rPr>
          <w:rFonts w:hint="eastAsia" w:ascii="宋体" w:hAnsi="宋体"/>
          <w:color w:val="auto"/>
          <w:sz w:val="24"/>
          <w:highlight w:val="none"/>
        </w:rPr>
        <w:t>。</w:t>
      </w: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p>
    <w:p>
      <w:pPr>
        <w:spacing w:line="480" w:lineRule="exac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承诺方法定名称：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480" w:lineRule="exac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地址：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480" w:lineRule="exac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电话：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传真：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480" w:lineRule="exac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邮编：</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480" w:lineRule="exac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承诺方法人授权代表签字：</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（承诺方盖章）</w:t>
      </w:r>
    </w:p>
    <w:p>
      <w:pPr>
        <w:spacing w:line="360" w:lineRule="auto"/>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承诺日期：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color w:val="auto"/>
          <w:sz w:val="24"/>
          <w:szCs w:val="20"/>
          <w:highlight w:val="none"/>
        </w:rPr>
        <w:br w:type="page"/>
      </w:r>
    </w:p>
    <w:p>
      <w:pPr>
        <w:tabs>
          <w:tab w:val="left" w:pos="5580"/>
        </w:tabs>
        <w:spacing w:line="360" w:lineRule="auto"/>
        <w:rPr>
          <w:rFonts w:ascii="宋体" w:hAnsi="宋体"/>
          <w:color w:val="auto"/>
          <w:sz w:val="24"/>
          <w:highlight w:val="none"/>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color w:val="auto"/>
          <w:spacing w:val="20"/>
          <w:sz w:val="24"/>
          <w:highlight w:val="none"/>
        </w:rPr>
      </w:pPr>
      <w:r>
        <w:rPr>
          <w:rFonts w:ascii="宋体" w:hAnsi="宋体"/>
          <w:b/>
          <w:color w:val="auto"/>
          <w:spacing w:val="20"/>
          <w:sz w:val="24"/>
          <w:highlight w:val="none"/>
        </w:rPr>
        <w:t>二、商务技术文件格式</w:t>
      </w:r>
    </w:p>
    <w:p>
      <w:pPr>
        <w:rPr>
          <w:rFonts w:ascii="宋体" w:hAnsi="宋体"/>
          <w:b/>
          <w:color w:val="auto"/>
          <w:spacing w:val="20"/>
          <w:szCs w:val="21"/>
          <w:highlight w:val="none"/>
        </w:rPr>
      </w:pPr>
    </w:p>
    <w:p>
      <w:pPr>
        <w:rPr>
          <w:rFonts w:ascii="宋体" w:hAnsi="宋体"/>
          <w:b/>
          <w:color w:val="auto"/>
          <w:sz w:val="24"/>
          <w:highlight w:val="none"/>
        </w:rPr>
      </w:pPr>
      <w:r>
        <w:rPr>
          <w:rFonts w:hint="eastAsia" w:ascii="宋体" w:hAnsi="宋体"/>
          <w:b/>
          <w:color w:val="auto"/>
          <w:spacing w:val="20"/>
          <w:sz w:val="24"/>
          <w:highlight w:val="none"/>
        </w:rPr>
        <w:t>响应文件</w:t>
      </w:r>
      <w:r>
        <w:rPr>
          <w:rFonts w:ascii="宋体" w:hAnsi="宋体"/>
          <w:b/>
          <w:color w:val="auto"/>
          <w:spacing w:val="20"/>
          <w:sz w:val="24"/>
          <w:highlight w:val="none"/>
        </w:rPr>
        <w:t>（商务技术文件）</w:t>
      </w:r>
      <w:r>
        <w:rPr>
          <w:rFonts w:ascii="宋体" w:hAnsi="宋体"/>
          <w:b/>
          <w:color w:val="auto"/>
          <w:sz w:val="24"/>
          <w:highlight w:val="none"/>
        </w:rPr>
        <w:t>封面（非实质性格式）</w:t>
      </w:r>
    </w:p>
    <w:p>
      <w:pPr>
        <w:jc w:val="center"/>
        <w:rPr>
          <w:rFonts w:ascii="宋体" w:hAnsi="宋体"/>
          <w:color w:val="auto"/>
          <w:szCs w:val="21"/>
          <w:highlight w:val="none"/>
        </w:rPr>
      </w:pPr>
    </w:p>
    <w:p>
      <w:pPr>
        <w:jc w:val="center"/>
        <w:rPr>
          <w:rFonts w:ascii="宋体" w:hAnsi="宋体"/>
          <w:b/>
          <w:color w:val="auto"/>
          <w:spacing w:val="60"/>
          <w:sz w:val="84"/>
          <w:szCs w:val="84"/>
          <w:highlight w:val="none"/>
        </w:rPr>
      </w:pPr>
      <w:r>
        <w:rPr>
          <w:rFonts w:hint="eastAsia" w:ascii="宋体" w:hAnsi="宋体"/>
          <w:b/>
          <w:color w:val="auto"/>
          <w:spacing w:val="60"/>
          <w:sz w:val="84"/>
          <w:szCs w:val="84"/>
          <w:highlight w:val="none"/>
        </w:rPr>
        <w:t>响 应</w:t>
      </w:r>
      <w:r>
        <w:rPr>
          <w:rFonts w:ascii="宋体" w:hAnsi="宋体"/>
          <w:b/>
          <w:color w:val="auto"/>
          <w:spacing w:val="60"/>
          <w:sz w:val="84"/>
          <w:szCs w:val="84"/>
          <w:highlight w:val="none"/>
        </w:rPr>
        <w:t xml:space="preserve"> 文 件</w:t>
      </w:r>
    </w:p>
    <w:p>
      <w:pPr>
        <w:jc w:val="center"/>
        <w:rPr>
          <w:rFonts w:ascii="宋体" w:hAnsi="宋体"/>
          <w:b/>
          <w:color w:val="auto"/>
          <w:spacing w:val="60"/>
          <w:sz w:val="84"/>
          <w:szCs w:val="84"/>
          <w:highlight w:val="none"/>
        </w:rPr>
      </w:pPr>
    </w:p>
    <w:p>
      <w:pPr>
        <w:jc w:val="center"/>
        <w:rPr>
          <w:rFonts w:ascii="宋体" w:hAnsi="宋体"/>
          <w:b/>
          <w:color w:val="auto"/>
          <w:spacing w:val="60"/>
          <w:sz w:val="52"/>
          <w:szCs w:val="52"/>
          <w:highlight w:val="none"/>
        </w:rPr>
      </w:pPr>
      <w:r>
        <w:rPr>
          <w:rFonts w:ascii="宋体" w:hAnsi="宋体"/>
          <w:b/>
          <w:color w:val="auto"/>
          <w:spacing w:val="60"/>
          <w:sz w:val="52"/>
          <w:szCs w:val="52"/>
          <w:highlight w:val="none"/>
        </w:rPr>
        <w:t>（商务技术文件）</w:t>
      </w: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ascii="宋体" w:hAnsi="宋体"/>
          <w:b/>
          <w:color w:val="auto"/>
          <w:spacing w:val="20"/>
          <w:sz w:val="32"/>
          <w:szCs w:val="32"/>
          <w:highlight w:val="none"/>
        </w:rPr>
      </w:pPr>
      <w:r>
        <w:rPr>
          <w:rFonts w:ascii="宋体" w:hAnsi="宋体"/>
          <w:b/>
          <w:color w:val="auto"/>
          <w:spacing w:val="20"/>
          <w:sz w:val="32"/>
          <w:szCs w:val="32"/>
          <w:highlight w:val="none"/>
        </w:rPr>
        <w:t>项目编号/包号：</w:t>
      </w:r>
    </w:p>
    <w:p>
      <w:pPr>
        <w:ind w:firstLine="542" w:firstLineChars="150"/>
        <w:rPr>
          <w:rFonts w:ascii="宋体" w:hAnsi="宋体"/>
          <w:b/>
          <w:color w:val="auto"/>
          <w:spacing w:val="20"/>
          <w:sz w:val="32"/>
          <w:szCs w:val="32"/>
          <w:highlight w:val="none"/>
        </w:rPr>
      </w:pPr>
    </w:p>
    <w:p>
      <w:pPr>
        <w:ind w:firstLine="542" w:firstLineChars="150"/>
        <w:rPr>
          <w:rFonts w:ascii="宋体" w:hAnsi="宋体"/>
          <w:b/>
          <w:color w:val="auto"/>
          <w:spacing w:val="20"/>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pacing w:val="20"/>
          <w:sz w:val="32"/>
          <w:szCs w:val="32"/>
          <w:highlight w:val="none"/>
        </w:rPr>
      </w:pPr>
    </w:p>
    <w:p>
      <w:pPr>
        <w:jc w:val="center"/>
        <w:rPr>
          <w:rFonts w:ascii="宋体" w:hAnsi="宋体"/>
          <w:b/>
          <w:color w:val="auto"/>
          <w:spacing w:val="20"/>
          <w:sz w:val="32"/>
          <w:szCs w:val="32"/>
          <w:highlight w:val="none"/>
        </w:rPr>
      </w:pPr>
    </w:p>
    <w:p>
      <w:pPr>
        <w:jc w:val="center"/>
        <w:rPr>
          <w:rFonts w:ascii="宋体" w:hAnsi="宋体"/>
          <w:b/>
          <w:color w:val="auto"/>
          <w:spacing w:val="20"/>
          <w:sz w:val="32"/>
          <w:szCs w:val="32"/>
          <w:highlight w:val="none"/>
        </w:rPr>
      </w:pPr>
    </w:p>
    <w:p>
      <w:pPr>
        <w:spacing w:line="360" w:lineRule="auto"/>
        <w:ind w:firstLine="1445" w:firstLineChars="400"/>
        <w:jc w:val="left"/>
        <w:rPr>
          <w:rFonts w:ascii="宋体" w:hAnsi="宋体"/>
          <w:b/>
          <w:color w:val="auto"/>
          <w:spacing w:val="20"/>
          <w:sz w:val="32"/>
          <w:szCs w:val="32"/>
          <w:highlight w:val="none"/>
        </w:rPr>
      </w:pPr>
      <w:r>
        <w:rPr>
          <w:rFonts w:hint="eastAsia" w:ascii="宋体" w:hAnsi="宋体"/>
          <w:b/>
          <w:color w:val="auto"/>
          <w:spacing w:val="20"/>
          <w:sz w:val="32"/>
          <w:szCs w:val="32"/>
          <w:highlight w:val="none"/>
        </w:rPr>
        <w:t>供应商</w:t>
      </w:r>
      <w:r>
        <w:rPr>
          <w:rFonts w:ascii="宋体" w:hAnsi="宋体"/>
          <w:b/>
          <w:color w:val="auto"/>
          <w:spacing w:val="20"/>
          <w:sz w:val="32"/>
          <w:szCs w:val="32"/>
          <w:highlight w:val="none"/>
        </w:rPr>
        <w:t>名称：</w:t>
      </w:r>
    </w:p>
    <w:p>
      <w:pPr>
        <w:jc w:val="center"/>
        <w:rPr>
          <w:rFonts w:ascii="宋体" w:hAnsi="宋体"/>
          <w:b/>
          <w:color w:val="auto"/>
          <w:sz w:val="32"/>
          <w:szCs w:val="32"/>
          <w:highlight w:val="none"/>
        </w:rPr>
      </w:pPr>
    </w:p>
    <w:p>
      <w:pPr>
        <w:widowControl/>
        <w:jc w:val="left"/>
        <w:rPr>
          <w:rFonts w:ascii="宋体" w:hAnsi="宋体"/>
          <w:b/>
          <w:color w:val="auto"/>
          <w:sz w:val="24"/>
          <w:highlight w:val="none"/>
        </w:rPr>
      </w:pPr>
      <w:r>
        <w:rPr>
          <w:rFonts w:ascii="宋体" w:hAnsi="宋体"/>
          <w:b/>
          <w:color w:val="auto"/>
          <w:sz w:val="24"/>
          <w:highlight w:val="none"/>
        </w:rPr>
        <w:br w:type="page"/>
      </w:r>
    </w:p>
    <w:p>
      <w:pPr>
        <w:spacing w:line="360" w:lineRule="auto"/>
        <w:outlineLvl w:val="2"/>
        <w:rPr>
          <w:rFonts w:ascii="宋体" w:hAnsi="宋体"/>
          <w:color w:val="auto"/>
          <w:sz w:val="24"/>
          <w:szCs w:val="20"/>
          <w:highlight w:val="none"/>
        </w:rPr>
      </w:pPr>
      <w:bookmarkStart w:id="669" w:name="_Hlt520350918"/>
      <w:bookmarkEnd w:id="669"/>
      <w:bookmarkStart w:id="670" w:name="_Hlt520274065"/>
      <w:bookmarkEnd w:id="670"/>
      <w:bookmarkStart w:id="671" w:name="_Hlt520271212"/>
      <w:bookmarkEnd w:id="671"/>
      <w:bookmarkStart w:id="672" w:name="_Hlt520273711"/>
      <w:bookmarkEnd w:id="672"/>
      <w:bookmarkStart w:id="673" w:name="_Hlt520343392"/>
      <w:bookmarkEnd w:id="673"/>
      <w:bookmarkStart w:id="674" w:name="_Hlt520274393"/>
      <w:bookmarkEnd w:id="674"/>
      <w:bookmarkStart w:id="675" w:name="_Hlt520274121"/>
      <w:bookmarkEnd w:id="675"/>
      <w:bookmarkStart w:id="676" w:name="_Hlt520274407"/>
      <w:bookmarkEnd w:id="676"/>
      <w:bookmarkStart w:id="677" w:name="_Hlt520343000"/>
      <w:bookmarkEnd w:id="677"/>
      <w:bookmarkStart w:id="678" w:name="_Hlt520355504"/>
      <w:bookmarkEnd w:id="678"/>
      <w:bookmarkStart w:id="679" w:name="_Toc480942349"/>
      <w:bookmarkStart w:id="680" w:name="_Ref467988698"/>
      <w:bookmarkStart w:id="681" w:name="_Toc142311058"/>
      <w:bookmarkStart w:id="682" w:name="_Toc150480794"/>
      <w:bookmarkStart w:id="683" w:name="_Toc195842921"/>
      <w:bookmarkStart w:id="684" w:name="_Toc226965746"/>
      <w:bookmarkStart w:id="685" w:name="_Toc226309800"/>
      <w:bookmarkStart w:id="686" w:name="_Toc127151556"/>
      <w:bookmarkStart w:id="687" w:name="_Toc150774761"/>
      <w:bookmarkStart w:id="688" w:name="_Toc520356217"/>
      <w:bookmarkStart w:id="689" w:name="_Toc226337252"/>
      <w:bookmarkStart w:id="690" w:name="_Toc226965829"/>
      <w:r>
        <w:rPr>
          <w:rFonts w:ascii="宋体" w:hAnsi="宋体"/>
          <w:color w:val="auto"/>
          <w:sz w:val="24"/>
          <w:highlight w:val="none"/>
        </w:rPr>
        <w:t>1</w:t>
      </w:r>
      <w:r>
        <w:rPr>
          <w:rFonts w:ascii="宋体" w:hAnsi="宋体"/>
          <w:color w:val="auto"/>
          <w:sz w:val="24"/>
          <w:szCs w:val="20"/>
          <w:highlight w:val="none"/>
        </w:rPr>
        <w:t xml:space="preserve">  </w:t>
      </w:r>
      <w:bookmarkEnd w:id="679"/>
      <w:bookmarkEnd w:id="680"/>
      <w:r>
        <w:rPr>
          <w:rFonts w:hint="eastAsia" w:ascii="宋体" w:hAnsi="宋体"/>
          <w:color w:val="auto"/>
          <w:sz w:val="24"/>
          <w:highlight w:val="none"/>
        </w:rPr>
        <w:t>响应</w:t>
      </w:r>
      <w:r>
        <w:rPr>
          <w:rFonts w:ascii="宋体" w:hAnsi="宋体"/>
          <w:color w:val="auto"/>
          <w:sz w:val="24"/>
          <w:highlight w:val="none"/>
        </w:rPr>
        <w:t>书</w:t>
      </w:r>
      <w:bookmarkEnd w:id="681"/>
      <w:bookmarkEnd w:id="682"/>
      <w:bookmarkEnd w:id="683"/>
      <w:bookmarkEnd w:id="684"/>
      <w:bookmarkEnd w:id="685"/>
      <w:bookmarkEnd w:id="686"/>
      <w:bookmarkEnd w:id="687"/>
      <w:bookmarkEnd w:id="688"/>
      <w:bookmarkEnd w:id="689"/>
      <w:bookmarkEnd w:id="690"/>
      <w:r>
        <w:rPr>
          <w:rFonts w:ascii="宋体" w:hAnsi="宋体"/>
          <w:color w:val="auto"/>
          <w:sz w:val="24"/>
          <w:szCs w:val="20"/>
          <w:highlight w:val="none"/>
        </w:rPr>
        <w:t>（实质性格式）</w:t>
      </w:r>
    </w:p>
    <w:p>
      <w:pPr>
        <w:tabs>
          <w:tab w:val="left" w:pos="5580"/>
        </w:tabs>
        <w:spacing w:line="360" w:lineRule="auto"/>
        <w:rPr>
          <w:rFonts w:ascii="宋体" w:hAnsi="宋体"/>
          <w:color w:val="auto"/>
          <w:sz w:val="24"/>
          <w:highlight w:val="none"/>
        </w:rPr>
      </w:pP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响应书</w:t>
      </w:r>
    </w:p>
    <w:p>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pPr>
        <w:tabs>
          <w:tab w:val="left" w:pos="5580"/>
        </w:tabs>
        <w:spacing w:line="360" w:lineRule="auto"/>
        <w:rPr>
          <w:rFonts w:ascii="宋体" w:hAnsi="宋体"/>
          <w:color w:val="auto"/>
          <w:sz w:val="24"/>
          <w:szCs w:val="20"/>
          <w:highlight w:val="none"/>
        </w:rPr>
      </w:pPr>
    </w:p>
    <w:p>
      <w:pPr>
        <w:tabs>
          <w:tab w:val="left" w:pos="5580"/>
        </w:tabs>
        <w:spacing w:line="360" w:lineRule="auto"/>
        <w:ind w:firstLine="408"/>
        <w:rPr>
          <w:rFonts w:ascii="宋体" w:hAnsi="宋体"/>
          <w:color w:val="auto"/>
          <w:sz w:val="24"/>
          <w:szCs w:val="20"/>
          <w:highlight w:val="none"/>
        </w:rPr>
      </w:pPr>
      <w:r>
        <w:rPr>
          <w:rFonts w:ascii="宋体" w:hAnsi="宋体"/>
          <w:color w:val="auto"/>
          <w:sz w:val="24"/>
          <w:szCs w:val="20"/>
          <w:highlight w:val="none"/>
        </w:rPr>
        <w:t>我方参加你方就___________（项目名称，项目编号/包号）组织的招标活动，并对此项目进行</w:t>
      </w:r>
      <w:r>
        <w:rPr>
          <w:rFonts w:hint="eastAsia" w:ascii="宋体" w:hAnsi="宋体"/>
          <w:color w:val="auto"/>
          <w:sz w:val="24"/>
          <w:szCs w:val="20"/>
          <w:highlight w:val="none"/>
        </w:rPr>
        <w:t>响应</w:t>
      </w:r>
      <w:r>
        <w:rPr>
          <w:rFonts w:ascii="宋体" w:hAnsi="宋体"/>
          <w:color w:val="auto"/>
          <w:sz w:val="24"/>
          <w:szCs w:val="20"/>
          <w:highlight w:val="none"/>
        </w:rPr>
        <w:t>。</w:t>
      </w:r>
    </w:p>
    <w:p>
      <w:pPr>
        <w:tabs>
          <w:tab w:val="left" w:pos="5580"/>
        </w:tabs>
        <w:spacing w:line="360" w:lineRule="auto"/>
        <w:ind w:firstLine="408"/>
        <w:rPr>
          <w:rFonts w:ascii="宋体" w:hAnsi="宋体"/>
          <w:color w:val="auto"/>
          <w:sz w:val="24"/>
          <w:szCs w:val="20"/>
          <w:highlight w:val="none"/>
        </w:rPr>
      </w:pPr>
      <w:r>
        <w:rPr>
          <w:rFonts w:ascii="宋体" w:hAnsi="宋体"/>
          <w:color w:val="auto"/>
          <w:sz w:val="24"/>
          <w:szCs w:val="20"/>
          <w:highlight w:val="none"/>
        </w:rPr>
        <w:t>1. 我方</w:t>
      </w:r>
      <w:r>
        <w:rPr>
          <w:rFonts w:ascii="宋体" w:hAnsi="宋体"/>
          <w:color w:val="auto"/>
          <w:sz w:val="24"/>
          <w:highlight w:val="none"/>
        </w:rPr>
        <w:t>已详细审查全部</w:t>
      </w:r>
      <w:r>
        <w:rPr>
          <w:rFonts w:hint="eastAsia" w:ascii="宋体" w:hAnsi="宋体"/>
          <w:color w:val="auto"/>
          <w:sz w:val="24"/>
          <w:highlight w:val="none"/>
        </w:rPr>
        <w:t>比选文件</w:t>
      </w:r>
      <w:r>
        <w:rPr>
          <w:rFonts w:ascii="宋体" w:hAnsi="宋体"/>
          <w:color w:val="auto"/>
          <w:sz w:val="24"/>
          <w:szCs w:val="20"/>
          <w:highlight w:val="none"/>
        </w:rPr>
        <w:t>，自愿参与</w:t>
      </w:r>
      <w:r>
        <w:rPr>
          <w:rFonts w:hint="eastAsia" w:ascii="宋体" w:hAnsi="宋体"/>
          <w:color w:val="auto"/>
          <w:sz w:val="24"/>
          <w:szCs w:val="20"/>
          <w:highlight w:val="none"/>
        </w:rPr>
        <w:t>响应</w:t>
      </w:r>
      <w:r>
        <w:rPr>
          <w:rFonts w:ascii="宋体" w:hAnsi="宋体"/>
          <w:color w:val="auto"/>
          <w:sz w:val="24"/>
          <w:szCs w:val="20"/>
          <w:highlight w:val="none"/>
        </w:rPr>
        <w:t>并承诺如下：</w:t>
      </w:r>
    </w:p>
    <w:p>
      <w:pPr>
        <w:tabs>
          <w:tab w:val="left" w:pos="720"/>
          <w:tab w:val="left" w:pos="900"/>
        </w:tabs>
        <w:spacing w:line="360" w:lineRule="auto"/>
        <w:ind w:left="360" w:firstLine="72" w:firstLineChars="30"/>
        <w:rPr>
          <w:rFonts w:ascii="宋体" w:hAnsi="宋体"/>
          <w:color w:val="auto"/>
          <w:sz w:val="24"/>
          <w:szCs w:val="20"/>
          <w:highlight w:val="none"/>
        </w:rPr>
      </w:pPr>
      <w:r>
        <w:rPr>
          <w:rFonts w:ascii="宋体" w:hAnsi="宋体"/>
          <w:color w:val="auto"/>
          <w:sz w:val="24"/>
          <w:szCs w:val="20"/>
          <w:highlight w:val="none"/>
        </w:rPr>
        <w:t>（1）本</w:t>
      </w:r>
      <w:r>
        <w:rPr>
          <w:rFonts w:hint="eastAsia" w:ascii="宋体" w:hAnsi="宋体"/>
          <w:color w:val="auto"/>
          <w:sz w:val="24"/>
          <w:szCs w:val="20"/>
          <w:highlight w:val="none"/>
        </w:rPr>
        <w:t>报价有效期</w:t>
      </w:r>
      <w:r>
        <w:rPr>
          <w:rFonts w:ascii="宋体" w:hAnsi="宋体"/>
          <w:color w:val="auto"/>
          <w:sz w:val="24"/>
          <w:szCs w:val="20"/>
          <w:highlight w:val="none"/>
        </w:rPr>
        <w:t>为自提交</w:t>
      </w:r>
      <w:r>
        <w:rPr>
          <w:rFonts w:hint="eastAsia" w:ascii="宋体" w:hAnsi="宋体"/>
          <w:color w:val="auto"/>
          <w:sz w:val="24"/>
          <w:szCs w:val="20"/>
          <w:highlight w:val="none"/>
        </w:rPr>
        <w:t>响应文件</w:t>
      </w:r>
      <w:r>
        <w:rPr>
          <w:rFonts w:ascii="宋体" w:hAnsi="宋体"/>
          <w:color w:val="auto"/>
          <w:sz w:val="24"/>
          <w:szCs w:val="20"/>
          <w:highlight w:val="none"/>
        </w:rPr>
        <w:t>的截止之日起</w:t>
      </w:r>
      <w:r>
        <w:rPr>
          <w:rFonts w:ascii="宋体" w:hAnsi="宋体"/>
          <w:color w:val="auto"/>
          <w:sz w:val="24"/>
          <w:highlight w:val="none"/>
        </w:rPr>
        <w:t>_____</w:t>
      </w:r>
      <w:r>
        <w:rPr>
          <w:rFonts w:ascii="宋体" w:hAnsi="宋体"/>
          <w:color w:val="auto"/>
          <w:sz w:val="24"/>
          <w:szCs w:val="20"/>
          <w:highlight w:val="none"/>
        </w:rPr>
        <w:t>个日历日。</w:t>
      </w:r>
    </w:p>
    <w:p>
      <w:pPr>
        <w:tabs>
          <w:tab w:val="left" w:pos="720"/>
          <w:tab w:val="left" w:pos="900"/>
        </w:tabs>
        <w:spacing w:line="360" w:lineRule="auto"/>
        <w:ind w:left="360" w:firstLine="72" w:firstLineChars="30"/>
        <w:rPr>
          <w:rFonts w:ascii="宋体" w:hAnsi="宋体"/>
          <w:color w:val="auto"/>
          <w:sz w:val="24"/>
          <w:szCs w:val="20"/>
          <w:highlight w:val="none"/>
        </w:rPr>
      </w:pPr>
      <w:r>
        <w:rPr>
          <w:rFonts w:ascii="宋体" w:hAnsi="宋体"/>
          <w:color w:val="auto"/>
          <w:sz w:val="24"/>
          <w:szCs w:val="20"/>
          <w:highlight w:val="none"/>
        </w:rPr>
        <w:t>（2）除合同条款及采购需求偏离表列出的偏离外，我方响应</w:t>
      </w:r>
      <w:r>
        <w:rPr>
          <w:rFonts w:hint="eastAsia" w:ascii="宋体" w:hAnsi="宋体"/>
          <w:color w:val="auto"/>
          <w:sz w:val="24"/>
          <w:szCs w:val="20"/>
          <w:highlight w:val="none"/>
        </w:rPr>
        <w:t>比选文件</w:t>
      </w:r>
      <w:r>
        <w:rPr>
          <w:rFonts w:ascii="宋体" w:hAnsi="宋体"/>
          <w:color w:val="auto"/>
          <w:sz w:val="24"/>
          <w:szCs w:val="20"/>
          <w:highlight w:val="none"/>
        </w:rPr>
        <w:t>的全部要求。</w:t>
      </w:r>
    </w:p>
    <w:p>
      <w:pPr>
        <w:tabs>
          <w:tab w:val="left" w:pos="5580"/>
        </w:tabs>
        <w:spacing w:line="360" w:lineRule="auto"/>
        <w:ind w:firstLine="420" w:firstLineChars="175"/>
        <w:rPr>
          <w:rFonts w:ascii="宋体" w:hAnsi="宋体"/>
          <w:color w:val="auto"/>
          <w:sz w:val="24"/>
          <w:szCs w:val="20"/>
          <w:highlight w:val="none"/>
        </w:rPr>
      </w:pPr>
      <w:r>
        <w:rPr>
          <w:rFonts w:ascii="宋体" w:hAnsi="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ascii="宋体" w:hAnsi="宋体"/>
          <w:color w:val="auto"/>
          <w:sz w:val="24"/>
          <w:highlight w:val="none"/>
        </w:rPr>
      </w:pPr>
      <w:r>
        <w:rPr>
          <w:rFonts w:ascii="宋体" w:hAnsi="宋体"/>
          <w:color w:val="auto"/>
          <w:sz w:val="24"/>
          <w:szCs w:val="20"/>
          <w:highlight w:val="none"/>
        </w:rPr>
        <w:t>（4）如我方</w:t>
      </w:r>
      <w:r>
        <w:rPr>
          <w:rFonts w:hint="eastAsia" w:ascii="宋体" w:hAnsi="宋体"/>
          <w:color w:val="auto"/>
          <w:sz w:val="24"/>
          <w:szCs w:val="20"/>
          <w:highlight w:val="none"/>
        </w:rPr>
        <w:t>成交</w:t>
      </w:r>
      <w:r>
        <w:rPr>
          <w:rFonts w:ascii="宋体" w:hAnsi="宋体"/>
          <w:color w:val="auto"/>
          <w:sz w:val="24"/>
          <w:szCs w:val="20"/>
          <w:highlight w:val="none"/>
        </w:rPr>
        <w:t>，我方将在法律规定的期限内与你方签订合同，按照</w:t>
      </w:r>
      <w:r>
        <w:rPr>
          <w:rFonts w:hint="eastAsia" w:ascii="宋体" w:hAnsi="宋体"/>
          <w:color w:val="auto"/>
          <w:sz w:val="24"/>
          <w:szCs w:val="20"/>
          <w:highlight w:val="none"/>
        </w:rPr>
        <w:t>比选文件</w:t>
      </w:r>
      <w:r>
        <w:rPr>
          <w:rFonts w:ascii="宋体" w:hAnsi="宋体"/>
          <w:color w:val="auto"/>
          <w:sz w:val="24"/>
          <w:szCs w:val="20"/>
          <w:highlight w:val="none"/>
        </w:rPr>
        <w:t>要求提交履约保证金，并在合同约定的期限内完成合同规定的全部义务。</w:t>
      </w:r>
    </w:p>
    <w:p>
      <w:pPr>
        <w:spacing w:line="360" w:lineRule="auto"/>
        <w:ind w:left="420"/>
        <w:rPr>
          <w:rFonts w:ascii="宋体" w:hAnsi="宋体"/>
          <w:color w:val="auto"/>
          <w:sz w:val="24"/>
          <w:highlight w:val="none"/>
        </w:rPr>
      </w:pPr>
      <w:r>
        <w:rPr>
          <w:rFonts w:ascii="宋体" w:hAnsi="宋体"/>
          <w:color w:val="auto"/>
          <w:sz w:val="24"/>
          <w:highlight w:val="none"/>
        </w:rPr>
        <w:t>2.其他补充条款：</w:t>
      </w:r>
      <w:r>
        <w:rPr>
          <w:rFonts w:ascii="宋体" w:hAnsi="宋体"/>
          <w:color w:val="auto"/>
          <w:sz w:val="24"/>
          <w:szCs w:val="20"/>
          <w:highlight w:val="none"/>
        </w:rPr>
        <w:t>___________</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与本</w:t>
      </w:r>
      <w:r>
        <w:rPr>
          <w:rFonts w:hint="eastAsia" w:ascii="宋体" w:hAnsi="宋体"/>
          <w:color w:val="auto"/>
          <w:sz w:val="24"/>
          <w:highlight w:val="none"/>
        </w:rPr>
        <w:t>响应</w:t>
      </w:r>
      <w:r>
        <w:rPr>
          <w:rFonts w:ascii="宋体" w:hAnsi="宋体"/>
          <w:color w:val="auto"/>
          <w:sz w:val="24"/>
          <w:highlight w:val="none"/>
        </w:rPr>
        <w:t>有关的一切正式往来信函请寄：</w:t>
      </w:r>
    </w:p>
    <w:p>
      <w:pPr>
        <w:tabs>
          <w:tab w:val="left" w:pos="5580"/>
        </w:tabs>
        <w:spacing w:line="360" w:lineRule="auto"/>
        <w:ind w:left="420"/>
        <w:rPr>
          <w:rFonts w:ascii="宋体" w:hAnsi="宋体"/>
          <w:color w:val="auto"/>
          <w:sz w:val="24"/>
          <w:szCs w:val="20"/>
          <w:highlight w:val="none"/>
        </w:rPr>
      </w:pPr>
    </w:p>
    <w:p>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地址_________________________     传真____________________________</w:t>
      </w:r>
    </w:p>
    <w:p>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电话_________________________     电子函件________________________</w:t>
      </w:r>
    </w:p>
    <w:p>
      <w:pPr>
        <w:tabs>
          <w:tab w:val="left" w:pos="5580"/>
        </w:tabs>
        <w:spacing w:line="360" w:lineRule="auto"/>
        <w:ind w:left="420"/>
        <w:rPr>
          <w:rFonts w:ascii="宋体" w:hAnsi="宋体"/>
          <w:color w:val="auto"/>
          <w:sz w:val="24"/>
          <w:szCs w:val="20"/>
          <w:highlight w:val="none"/>
        </w:rPr>
      </w:pPr>
    </w:p>
    <w:p>
      <w:pPr>
        <w:tabs>
          <w:tab w:val="left" w:pos="5580"/>
        </w:tabs>
        <w:spacing w:line="360" w:lineRule="auto"/>
        <w:ind w:left="420"/>
        <w:rPr>
          <w:rFonts w:ascii="宋体" w:hAnsi="宋体"/>
          <w:color w:val="auto"/>
          <w:sz w:val="24"/>
          <w:szCs w:val="20"/>
          <w:highlight w:val="none"/>
        </w:rPr>
      </w:pPr>
      <w:r>
        <w:rPr>
          <w:rFonts w:hint="eastAsia" w:ascii="宋体" w:hAnsi="宋体"/>
          <w:color w:val="auto"/>
          <w:sz w:val="24"/>
          <w:szCs w:val="20"/>
          <w:highlight w:val="none"/>
        </w:rPr>
        <w:t>供应商</w:t>
      </w:r>
      <w:r>
        <w:rPr>
          <w:rFonts w:ascii="宋体" w:hAnsi="宋体"/>
          <w:color w:val="auto"/>
          <w:sz w:val="24"/>
          <w:szCs w:val="20"/>
          <w:highlight w:val="none"/>
        </w:rPr>
        <w:t>名称（加盖公章） ___________</w:t>
      </w:r>
    </w:p>
    <w:p>
      <w:pPr>
        <w:tabs>
          <w:tab w:val="left" w:pos="5580"/>
        </w:tabs>
        <w:spacing w:line="360" w:lineRule="auto"/>
        <w:ind w:left="420"/>
        <w:rPr>
          <w:rFonts w:ascii="宋体" w:hAnsi="宋体"/>
          <w:color w:val="auto"/>
          <w:sz w:val="24"/>
          <w:szCs w:val="20"/>
          <w:highlight w:val="none"/>
        </w:rPr>
      </w:pPr>
      <w:r>
        <w:rPr>
          <w:rFonts w:hint="eastAsia" w:ascii="宋体" w:hAnsi="宋体"/>
          <w:color w:val="auto"/>
          <w:sz w:val="24"/>
          <w:szCs w:val="20"/>
          <w:highlight w:val="none"/>
        </w:rPr>
        <w:t>授权代表签字：</w:t>
      </w:r>
      <w:r>
        <w:rPr>
          <w:rFonts w:ascii="宋体" w:hAnsi="宋体"/>
          <w:color w:val="auto"/>
          <w:sz w:val="24"/>
          <w:szCs w:val="20"/>
          <w:highlight w:val="none"/>
        </w:rPr>
        <w:t>___________</w:t>
      </w:r>
    </w:p>
    <w:p>
      <w:pPr>
        <w:tabs>
          <w:tab w:val="left" w:pos="5580"/>
        </w:tabs>
        <w:spacing w:line="360" w:lineRule="auto"/>
        <w:ind w:left="420"/>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pPr>
        <w:tabs>
          <w:tab w:val="left" w:pos="5580"/>
        </w:tabs>
        <w:spacing w:line="360" w:lineRule="auto"/>
        <w:ind w:left="420"/>
        <w:rPr>
          <w:rFonts w:ascii="宋体" w:hAnsi="宋体"/>
          <w:color w:val="auto"/>
          <w:sz w:val="24"/>
          <w:szCs w:val="20"/>
          <w:highlight w:val="none"/>
          <w:u w:val="single"/>
        </w:rPr>
      </w:pPr>
    </w:p>
    <w:p>
      <w:pPr>
        <w:widowControl/>
        <w:jc w:val="left"/>
        <w:rPr>
          <w:rFonts w:ascii="宋体" w:hAnsi="宋体"/>
          <w:color w:val="auto"/>
          <w:sz w:val="24"/>
          <w:highlight w:val="none"/>
        </w:rPr>
      </w:pPr>
      <w:bookmarkStart w:id="691" w:name="_Hlt520356243"/>
      <w:bookmarkEnd w:id="691"/>
      <w:bookmarkStart w:id="692" w:name="_Hlt520355938"/>
      <w:bookmarkEnd w:id="692"/>
      <w:bookmarkStart w:id="693" w:name="_Toc150480795"/>
      <w:bookmarkStart w:id="694" w:name="_Toc150774762"/>
      <w:bookmarkStart w:id="695" w:name="_Toc142311059"/>
      <w:bookmarkStart w:id="696" w:name="_Toc226337253"/>
      <w:bookmarkStart w:id="697" w:name="_Toc480942350"/>
      <w:bookmarkStart w:id="698" w:name="_Toc226965747"/>
      <w:bookmarkStart w:id="699" w:name="_Toc127151557"/>
      <w:bookmarkStart w:id="700" w:name="_Toc226965830"/>
      <w:bookmarkStart w:id="701" w:name="_Toc265228395"/>
      <w:bookmarkStart w:id="702" w:name="_Toc195842922"/>
      <w:bookmarkStart w:id="703" w:name="_Toc305158899"/>
      <w:bookmarkStart w:id="704" w:name="_Toc264969247"/>
      <w:bookmarkStart w:id="705" w:name="_Toc226309801"/>
      <w:bookmarkStart w:id="706" w:name="_Toc520356218"/>
      <w:bookmarkStart w:id="707" w:name="_Ref467988705"/>
      <w:bookmarkStart w:id="708" w:name="_Toc305158825"/>
      <w:r>
        <w:rPr>
          <w:rFonts w:ascii="宋体" w:hAnsi="宋体"/>
          <w:color w:val="auto"/>
          <w:sz w:val="24"/>
          <w:highlight w:val="none"/>
        </w:rPr>
        <w:br w:type="page"/>
      </w:r>
    </w:p>
    <w:p>
      <w:pPr>
        <w:spacing w:line="360" w:lineRule="auto"/>
        <w:outlineLvl w:val="2"/>
        <w:rPr>
          <w:rFonts w:ascii="宋体" w:hAnsi="宋体"/>
          <w:color w:val="auto"/>
          <w:sz w:val="24"/>
          <w:highlight w:val="none"/>
        </w:rPr>
      </w:pPr>
      <w:r>
        <w:rPr>
          <w:rFonts w:ascii="宋体" w:hAnsi="宋体"/>
          <w:color w:val="auto"/>
          <w:sz w:val="24"/>
          <w:highlight w:val="none"/>
        </w:rPr>
        <w:t>2  授权委托书（实质性格式）</w:t>
      </w:r>
    </w:p>
    <w:p>
      <w:pPr>
        <w:spacing w:line="360" w:lineRule="exact"/>
        <w:jc w:val="center"/>
        <w:rPr>
          <w:rFonts w:ascii="宋体" w:hAnsi="宋体"/>
          <w:b/>
          <w:color w:val="auto"/>
          <w:sz w:val="36"/>
          <w:szCs w:val="36"/>
          <w:highlight w:val="none"/>
        </w:rPr>
      </w:pPr>
      <w:r>
        <w:rPr>
          <w:rFonts w:hint="eastAsia" w:ascii="宋体" w:hAnsi="宋体"/>
          <w:b/>
          <w:color w:val="auto"/>
          <w:sz w:val="36"/>
          <w:szCs w:val="36"/>
          <w:highlight w:val="none"/>
        </w:rPr>
        <w:t>授权委托书</w:t>
      </w:r>
    </w:p>
    <w:p>
      <w:pPr>
        <w:spacing w:line="360" w:lineRule="auto"/>
        <w:ind w:firstLine="420"/>
        <w:rPr>
          <w:rFonts w:ascii="宋体" w:hAnsi="宋体"/>
          <w:color w:val="auto"/>
          <w:sz w:val="24"/>
          <w:szCs w:val="20"/>
          <w:highlight w:val="none"/>
        </w:rPr>
      </w:pPr>
    </w:p>
    <w:p>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供应商</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响应文件和</w:t>
      </w:r>
      <w:r>
        <w:rPr>
          <w:rFonts w:ascii="宋体" w:hAnsi="宋体"/>
          <w:color w:val="auto"/>
          <w:sz w:val="24"/>
          <w:szCs w:val="20"/>
          <w:highlight w:val="none"/>
        </w:rPr>
        <w:t>处理有关事宜，其法律后果由我方承担。</w:t>
      </w:r>
    </w:p>
    <w:p>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响应</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pPr>
        <w:spacing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：________________</w:t>
      </w:r>
    </w:p>
    <w:p>
      <w:pPr>
        <w:spacing w:line="360" w:lineRule="auto"/>
        <w:rPr>
          <w:rFonts w:ascii="宋体" w:hAnsi="宋体"/>
          <w:color w:val="auto"/>
          <w:sz w:val="24"/>
          <w:szCs w:val="20"/>
          <w:highlight w:val="none"/>
        </w:rPr>
      </w:pPr>
      <w:r>
        <w:rPr>
          <w:rFonts w:ascii="宋体" w:hAnsi="宋体"/>
          <w:color w:val="auto"/>
          <w:sz w:val="24"/>
          <w:szCs w:val="20"/>
          <w:highlight w:val="none"/>
        </w:rPr>
        <w:t>法定代表人（单位负责人）（签字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ascii="宋体" w:hAnsi="宋体"/>
          <w:color w:val="auto"/>
          <w:sz w:val="24"/>
          <w:highlight w:val="none"/>
          <w:lang w:val="zh-CN"/>
        </w:rPr>
        <w:t>________________</w:t>
      </w:r>
    </w:p>
    <w:p>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/签章</w:t>
      </w:r>
      <w:r>
        <w:rPr>
          <w:rFonts w:ascii="宋体" w:hAnsi="宋体"/>
          <w:color w:val="auto"/>
          <w:sz w:val="24"/>
          <w:highlight w:val="none"/>
        </w:rPr>
        <w:t>）：</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pPr>
        <w:tabs>
          <w:tab w:val="left" w:pos="5580"/>
        </w:tabs>
        <w:spacing w:line="360" w:lineRule="auto"/>
        <w:ind w:firstLine="480" w:firstLineChars="200"/>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c>
          <w:tcPr>
            <w:tcW w:w="4536"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r>
    </w:tbl>
    <w:p>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c>
          <w:tcPr>
            <w:tcW w:w="4536"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r>
    </w:tbl>
    <w:p>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比选文件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若</w:t>
      </w:r>
      <w:r>
        <w:rPr>
          <w:rFonts w:hint="eastAsia" w:ascii="宋体" w:hAnsi="宋体"/>
          <w:color w:val="auto"/>
          <w:sz w:val="24"/>
          <w:szCs w:val="20"/>
          <w:highlight w:val="none"/>
        </w:rPr>
        <w:t>响应文件</w:t>
      </w:r>
      <w:r>
        <w:rPr>
          <w:rFonts w:ascii="宋体" w:hAnsi="宋体"/>
          <w:color w:val="auto"/>
          <w:sz w:val="24"/>
          <w:szCs w:val="20"/>
          <w:highlight w:val="none"/>
        </w:rPr>
        <w:t>中签字之处均为法定代表人（单位负责人）本人签署，则可不提供本《</w:t>
      </w:r>
      <w:r>
        <w:rPr>
          <w:rFonts w:hint="eastAsia" w:ascii="宋体" w:hAnsi="宋体"/>
          <w:color w:val="auto"/>
          <w:sz w:val="24"/>
          <w:szCs w:val="20"/>
          <w:highlight w:val="none"/>
        </w:rPr>
        <w:t>授权委托书</w:t>
      </w:r>
      <w:r>
        <w:rPr>
          <w:rFonts w:ascii="宋体" w:hAnsi="宋体"/>
          <w:color w:val="auto"/>
          <w:sz w:val="24"/>
          <w:szCs w:val="20"/>
          <w:highlight w:val="none"/>
        </w:rPr>
        <w:t>》，但须提供</w:t>
      </w:r>
      <w:r>
        <w:rPr>
          <w:rFonts w:hint="eastAsia" w:ascii="宋体" w:hAnsi="宋体"/>
          <w:color w:val="auto"/>
          <w:sz w:val="24"/>
          <w:szCs w:val="20"/>
          <w:highlight w:val="none"/>
        </w:rPr>
        <w:t>《</w:t>
      </w:r>
      <w:r>
        <w:rPr>
          <w:rFonts w:ascii="宋体" w:hAnsi="宋体"/>
          <w:color w:val="auto"/>
          <w:sz w:val="24"/>
          <w:szCs w:val="20"/>
          <w:highlight w:val="none"/>
        </w:rPr>
        <w:t>法定代表人（单位负责人）身份证</w:t>
      </w:r>
      <w:r>
        <w:rPr>
          <w:rFonts w:hint="eastAsia" w:ascii="宋体" w:hAnsi="宋体"/>
          <w:color w:val="auto"/>
          <w:sz w:val="24"/>
          <w:szCs w:val="20"/>
          <w:highlight w:val="none"/>
        </w:rPr>
        <w:t>明》</w:t>
      </w:r>
      <w:r>
        <w:rPr>
          <w:rFonts w:ascii="宋体" w:hAnsi="宋体"/>
          <w:color w:val="auto"/>
          <w:sz w:val="24"/>
          <w:szCs w:val="20"/>
          <w:highlight w:val="none"/>
        </w:rPr>
        <w:t>（实质性格式）。</w:t>
      </w:r>
    </w:p>
    <w:p>
      <w:pPr>
        <w:tabs>
          <w:tab w:val="left" w:pos="5580"/>
        </w:tabs>
        <w:spacing w:line="360" w:lineRule="auto"/>
        <w:jc w:val="left"/>
        <w:rPr>
          <w:rFonts w:ascii="宋体" w:hAnsi="宋体"/>
          <w:color w:val="auto"/>
          <w:sz w:val="30"/>
          <w:szCs w:val="30"/>
          <w:highlight w:val="non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r>
        <w:rPr>
          <w:rFonts w:ascii="宋体" w:hAnsi="宋体"/>
          <w:color w:val="auto"/>
          <w:sz w:val="30"/>
          <w:szCs w:val="30"/>
          <w:highlight w:val="none"/>
        </w:rPr>
        <w:br w:type="page"/>
      </w:r>
    </w:p>
    <w:p>
      <w:pPr>
        <w:spacing w:line="360" w:lineRule="exact"/>
        <w:jc w:val="center"/>
        <w:rPr>
          <w:rFonts w:ascii="宋体" w:hAnsi="宋体"/>
          <w:b/>
          <w:color w:val="auto"/>
          <w:sz w:val="36"/>
          <w:szCs w:val="36"/>
          <w:highlight w:val="none"/>
        </w:rPr>
      </w:pPr>
      <w:r>
        <w:rPr>
          <w:rFonts w:hint="eastAsia" w:ascii="宋体" w:hAnsi="宋体"/>
          <w:b/>
          <w:color w:val="auto"/>
          <w:sz w:val="36"/>
          <w:szCs w:val="36"/>
          <w:highlight w:val="none"/>
        </w:rPr>
        <w:t>附：</w:t>
      </w:r>
      <w:r>
        <w:rPr>
          <w:rFonts w:ascii="宋体" w:hAnsi="宋体"/>
          <w:b/>
          <w:color w:val="auto"/>
          <w:sz w:val="36"/>
          <w:szCs w:val="36"/>
          <w:highlight w:val="none"/>
        </w:rPr>
        <w:t>法定代表人（单位负责人）身份证明</w:t>
      </w:r>
    </w:p>
    <w:p>
      <w:pPr>
        <w:kinsoku w:val="0"/>
        <w:overflowPunct w:val="0"/>
        <w:spacing w:line="200" w:lineRule="exact"/>
        <w:rPr>
          <w:rFonts w:ascii="宋体" w:hAnsi="宋体"/>
          <w:color w:val="auto"/>
          <w:sz w:val="20"/>
          <w:szCs w:val="20"/>
          <w:highlight w:val="none"/>
        </w:rPr>
      </w:pPr>
    </w:p>
    <w:p>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采购人或</w:t>
      </w:r>
      <w:r>
        <w:rPr>
          <w:rFonts w:ascii="宋体" w:hAnsi="宋体"/>
          <w:color w:val="auto"/>
          <w:sz w:val="24"/>
          <w:highlight w:val="none"/>
          <w:u w:val="single"/>
        </w:rPr>
        <w:t>采购代理机构）</w:t>
      </w:r>
    </w:p>
    <w:p>
      <w:pPr>
        <w:pStyle w:val="2"/>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pPr>
        <w:pStyle w:val="2"/>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pPr>
        <w:pStyle w:val="2"/>
        <w:tabs>
          <w:tab w:val="left" w:pos="2412"/>
          <w:tab w:val="left" w:pos="3883"/>
          <w:tab w:val="left" w:pos="5352"/>
          <w:tab w:val="left" w:pos="6821"/>
        </w:tabs>
        <w:kinsoku w:val="0"/>
        <w:overflowPunct w:val="0"/>
        <w:spacing w:line="335" w:lineRule="exact"/>
        <w:rPr>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供应商</w:t>
      </w:r>
      <w:r>
        <w:rPr>
          <w:color w:val="auto"/>
          <w:highlight w:val="none"/>
        </w:rPr>
        <w:t>名称）的法定代表人（单位负责人）。</w:t>
      </w:r>
    </w:p>
    <w:p>
      <w:pPr>
        <w:pStyle w:val="2"/>
        <w:tabs>
          <w:tab w:val="left" w:pos="2412"/>
          <w:tab w:val="left" w:pos="3883"/>
          <w:tab w:val="left" w:pos="5352"/>
          <w:tab w:val="left" w:pos="6821"/>
        </w:tabs>
        <w:kinsoku w:val="0"/>
        <w:overflowPunct w:val="0"/>
        <w:spacing w:line="335" w:lineRule="exact"/>
        <w:rPr>
          <w:color w:val="auto"/>
          <w:highlight w:val="none"/>
        </w:rPr>
      </w:pPr>
    </w:p>
    <w:p>
      <w:pPr>
        <w:pStyle w:val="2"/>
        <w:tabs>
          <w:tab w:val="left" w:pos="2412"/>
          <w:tab w:val="left" w:pos="3883"/>
          <w:tab w:val="left" w:pos="5352"/>
          <w:tab w:val="left" w:pos="6821"/>
        </w:tabs>
        <w:kinsoku w:val="0"/>
        <w:overflowPunct w:val="0"/>
        <w:spacing w:line="335" w:lineRule="exact"/>
        <w:rPr>
          <w:color w:val="auto"/>
          <w:highlight w:val="none"/>
        </w:rPr>
      </w:pPr>
    </w:p>
    <w:p>
      <w:pPr>
        <w:pStyle w:val="2"/>
        <w:tabs>
          <w:tab w:val="left" w:pos="2412"/>
          <w:tab w:val="left" w:pos="3883"/>
          <w:tab w:val="left" w:pos="5352"/>
          <w:tab w:val="left" w:pos="6821"/>
        </w:tabs>
        <w:kinsoku w:val="0"/>
        <w:overflowPunct w:val="0"/>
        <w:spacing w:line="335" w:lineRule="exact"/>
        <w:rPr>
          <w:color w:val="auto"/>
          <w:highlight w:val="none"/>
        </w:rPr>
      </w:pPr>
    </w:p>
    <w:p>
      <w:pPr>
        <w:pStyle w:val="2"/>
        <w:kinsoku w:val="0"/>
        <w:overflowPunct w:val="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c>
          <w:tcPr>
            <w:tcW w:w="4536" w:type="dxa"/>
          </w:tcPr>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p>
            <w:pPr>
              <w:tabs>
                <w:tab w:val="left" w:pos="5580"/>
              </w:tabs>
              <w:spacing w:line="360" w:lineRule="auto"/>
              <w:jc w:val="left"/>
              <w:rPr>
                <w:rFonts w:ascii="宋体" w:hAnsi="宋体"/>
                <w:color w:val="auto"/>
                <w:sz w:val="24"/>
                <w:szCs w:val="20"/>
                <w:highlight w:val="none"/>
              </w:rPr>
            </w:pPr>
          </w:p>
        </w:tc>
      </w:tr>
    </w:tbl>
    <w:p>
      <w:pPr>
        <w:pStyle w:val="2"/>
        <w:kinsoku w:val="0"/>
        <w:overflowPunct w:val="0"/>
        <w:spacing w:line="583" w:lineRule="auto"/>
        <w:ind w:right="4305"/>
        <w:rPr>
          <w:color w:val="auto"/>
          <w:spacing w:val="-3"/>
          <w:highlight w:val="none"/>
        </w:rPr>
      </w:pPr>
    </w:p>
    <w:p>
      <w:pPr>
        <w:pStyle w:val="2"/>
        <w:kinsoku w:val="0"/>
        <w:overflowPunct w:val="0"/>
        <w:spacing w:line="583" w:lineRule="auto"/>
        <w:ind w:right="4305"/>
        <w:rPr>
          <w:color w:val="auto"/>
          <w:spacing w:val="-3"/>
          <w:highlight w:val="none"/>
        </w:rPr>
      </w:pPr>
    </w:p>
    <w:p>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：________________</w:t>
      </w:r>
    </w:p>
    <w:p>
      <w:pPr>
        <w:pStyle w:val="2"/>
        <w:kinsoku w:val="0"/>
        <w:overflowPunct w:val="0"/>
        <w:spacing w:line="583"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）（签字、签章或印鉴）：_</w:t>
      </w:r>
      <w:r>
        <w:rPr>
          <w:color w:val="auto"/>
          <w:spacing w:val="-3"/>
          <w:highlight w:val="none"/>
        </w:rPr>
        <w:t>______</w:t>
      </w:r>
    </w:p>
    <w:p>
      <w:pPr>
        <w:autoSpaceDE w:val="0"/>
        <w:autoSpaceDN w:val="0"/>
        <w:adjustRightInd w:val="0"/>
        <w:snapToGrid w:val="0"/>
        <w:spacing w:line="360" w:lineRule="auto"/>
        <w:rPr>
          <w:rFonts w:ascii="宋体" w:hAnsi="宋体"/>
          <w:color w:val="auto"/>
          <w:sz w:val="24"/>
          <w:highlight w:val="none"/>
        </w:rPr>
      </w:pPr>
    </w:p>
    <w:p>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pPr>
        <w:widowControl/>
        <w:jc w:val="left"/>
        <w:rPr>
          <w:rFonts w:ascii="宋体" w:hAnsi="宋体"/>
          <w:i/>
          <w:color w:val="auto"/>
          <w:sz w:val="24"/>
          <w:szCs w:val="20"/>
          <w:highlight w:val="none"/>
          <w:u w:val="single"/>
        </w:rPr>
      </w:pPr>
    </w:p>
    <w:p>
      <w:pPr>
        <w:widowControl/>
        <w:jc w:val="left"/>
        <w:rPr>
          <w:rFonts w:ascii="宋体" w:hAnsi="宋体"/>
          <w:color w:val="auto"/>
          <w:sz w:val="24"/>
          <w:szCs w:val="20"/>
          <w:highlight w:val="none"/>
        </w:rPr>
      </w:pPr>
      <w:r>
        <w:rPr>
          <w:rFonts w:ascii="宋体" w:hAnsi="宋体"/>
          <w:color w:val="auto"/>
          <w:sz w:val="24"/>
          <w:szCs w:val="20"/>
          <w:highlight w:val="none"/>
        </w:rPr>
        <w:br w:type="page"/>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t xml:space="preserve">3  </w:t>
      </w:r>
      <w:r>
        <w:rPr>
          <w:rFonts w:hint="eastAsia" w:ascii="宋体" w:hAnsi="宋体"/>
          <w:color w:val="auto"/>
          <w:sz w:val="24"/>
          <w:szCs w:val="20"/>
          <w:highlight w:val="none"/>
        </w:rPr>
        <w:t>开选</w:t>
      </w:r>
      <w:r>
        <w:rPr>
          <w:rFonts w:ascii="宋体" w:hAnsi="宋体"/>
          <w:color w:val="auto"/>
          <w:sz w:val="24"/>
          <w:szCs w:val="20"/>
          <w:highlight w:val="none"/>
        </w:rPr>
        <w:t>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Fonts w:ascii="宋体" w:hAnsi="宋体"/>
          <w:color w:val="auto"/>
          <w:sz w:val="24"/>
          <w:szCs w:val="20"/>
          <w:highlight w:val="none"/>
        </w:rPr>
        <w:t>（实质性格式）</w:t>
      </w:r>
    </w:p>
    <w:p>
      <w:pPr>
        <w:spacing w:line="360" w:lineRule="exact"/>
        <w:jc w:val="center"/>
        <w:rPr>
          <w:rFonts w:ascii="宋体" w:hAnsi="宋体"/>
          <w:b/>
          <w:color w:val="auto"/>
          <w:sz w:val="36"/>
          <w:szCs w:val="36"/>
          <w:highlight w:val="none"/>
        </w:rPr>
      </w:pPr>
      <w:bookmarkStart w:id="709" w:name="_Toc195842923"/>
      <w:bookmarkStart w:id="710" w:name="_Toc305158826"/>
      <w:bookmarkStart w:id="711" w:name="_Toc164608827"/>
      <w:bookmarkStart w:id="712" w:name="_Toc226309802"/>
      <w:bookmarkStart w:id="713" w:name="_Toc226337254"/>
      <w:bookmarkStart w:id="714" w:name="_Toc226965748"/>
      <w:bookmarkStart w:id="715" w:name="_Toc264969248"/>
      <w:bookmarkStart w:id="716" w:name="_Toc164608672"/>
      <w:bookmarkStart w:id="717" w:name="_Toc265228396"/>
      <w:bookmarkStart w:id="718" w:name="_Toc226965831"/>
      <w:bookmarkStart w:id="719" w:name="_Toc305158900"/>
      <w:r>
        <w:rPr>
          <w:rFonts w:hint="eastAsia" w:ascii="宋体" w:hAnsi="宋体"/>
          <w:b/>
          <w:color w:val="auto"/>
          <w:sz w:val="36"/>
          <w:szCs w:val="36"/>
          <w:highlight w:val="none"/>
        </w:rPr>
        <w:t>开选一览表</w:t>
      </w:r>
      <w:bookmarkEnd w:id="709"/>
      <w:bookmarkEnd w:id="710"/>
      <w:bookmarkEnd w:id="711"/>
      <w:bookmarkEnd w:id="712"/>
      <w:bookmarkEnd w:id="713"/>
      <w:bookmarkEnd w:id="714"/>
      <w:bookmarkEnd w:id="715"/>
      <w:bookmarkEnd w:id="716"/>
      <w:bookmarkEnd w:id="717"/>
      <w:bookmarkEnd w:id="718"/>
      <w:bookmarkEnd w:id="719"/>
    </w:p>
    <w:p>
      <w:pPr>
        <w:tabs>
          <w:tab w:val="left" w:pos="1800"/>
          <w:tab w:val="left" w:pos="5580"/>
        </w:tabs>
        <w:spacing w:line="360" w:lineRule="auto"/>
        <w:jc w:val="left"/>
        <w:rPr>
          <w:rFonts w:ascii="宋体" w:hAnsi="宋体"/>
          <w:i/>
          <w:color w:val="auto"/>
          <w:sz w:val="24"/>
          <w:highlight w:val="none"/>
        </w:rPr>
      </w:pPr>
    </w:p>
    <w:p>
      <w:pPr>
        <w:tabs>
          <w:tab w:val="left" w:pos="1800"/>
          <w:tab w:val="left" w:pos="5580"/>
        </w:tabs>
        <w:spacing w:line="360" w:lineRule="auto"/>
        <w:ind w:firstLine="240" w:firstLineChars="100"/>
        <w:jc w:val="left"/>
        <w:rPr>
          <w:rFonts w:ascii="宋体" w:hAnsi="宋体"/>
          <w:color w:val="auto"/>
          <w:sz w:val="24"/>
          <w:highlight w:val="none"/>
          <w:u w:val="single"/>
        </w:rPr>
      </w:pPr>
      <w:r>
        <w:rPr>
          <w:rFonts w:ascii="宋体" w:hAnsi="宋体"/>
          <w:color w:val="auto"/>
          <w:sz w:val="24"/>
          <w:highlight w:val="none"/>
        </w:rPr>
        <w:t>项目编号/包号：_____________________     项目名称：____________</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color w:val="auto"/>
                <w:sz w:val="24"/>
                <w:highlight w:val="none"/>
              </w:rPr>
            </w:pPr>
            <w:r>
              <w:rPr>
                <w:rFonts w:hint="eastAsia" w:ascii="宋体" w:hAnsi="宋体"/>
                <w:color w:val="auto"/>
                <w:sz w:val="24"/>
                <w:highlight w:val="none"/>
              </w:rPr>
              <w:t>包号</w:t>
            </w:r>
          </w:p>
        </w:tc>
        <w:tc>
          <w:tcPr>
            <w:tcW w:w="585" w:type="pct"/>
            <w:vAlign w:val="center"/>
          </w:tcPr>
          <w:p>
            <w:pPr>
              <w:tabs>
                <w:tab w:val="left" w:pos="5580"/>
              </w:tabs>
              <w:ind w:right="-199" w:firstLine="240"/>
              <w:rPr>
                <w:rFonts w:ascii="宋体" w:hAnsi="宋体"/>
                <w:color w:val="auto"/>
                <w:sz w:val="24"/>
                <w:highlight w:val="none"/>
              </w:rPr>
            </w:pPr>
            <w:r>
              <w:rPr>
                <w:rFonts w:hint="eastAsia" w:ascii="宋体" w:hAnsi="宋体"/>
                <w:color w:val="auto"/>
                <w:sz w:val="24"/>
                <w:highlight w:val="none"/>
              </w:rPr>
              <w:t>名称</w:t>
            </w:r>
          </w:p>
        </w:tc>
        <w:tc>
          <w:tcPr>
            <w:tcW w:w="1172" w:type="pct"/>
            <w:vAlign w:val="center"/>
          </w:tcPr>
          <w:p>
            <w:pPr>
              <w:tabs>
                <w:tab w:val="left" w:pos="5580"/>
              </w:tabs>
              <w:ind w:left="163" w:hanging="163"/>
              <w:jc w:val="center"/>
              <w:rPr>
                <w:rFonts w:ascii="宋体" w:hAnsi="宋体"/>
                <w:color w:val="auto"/>
                <w:sz w:val="24"/>
                <w:highlight w:val="none"/>
              </w:rPr>
            </w:pPr>
            <w:r>
              <w:rPr>
                <w:rFonts w:hint="eastAsia" w:ascii="宋体" w:hAnsi="宋体"/>
                <w:color w:val="auto"/>
                <w:sz w:val="24"/>
                <w:highlight w:val="none"/>
              </w:rPr>
              <w:t>响应报价</w:t>
            </w:r>
          </w:p>
        </w:tc>
        <w:tc>
          <w:tcPr>
            <w:tcW w:w="916" w:type="pct"/>
            <w:vAlign w:val="center"/>
          </w:tcPr>
          <w:p>
            <w:pPr>
              <w:tabs>
                <w:tab w:val="left" w:pos="5580"/>
              </w:tabs>
              <w:jc w:val="center"/>
              <w:rPr>
                <w:rFonts w:ascii="宋体" w:hAnsi="宋体"/>
                <w:color w:val="auto"/>
                <w:sz w:val="24"/>
                <w:highlight w:val="none"/>
              </w:rPr>
            </w:pPr>
            <w:r>
              <w:rPr>
                <w:rFonts w:hint="eastAsia" w:ascii="宋体" w:hAnsi="宋体"/>
                <w:color w:val="auto"/>
                <w:sz w:val="24"/>
                <w:highlight w:val="none"/>
              </w:rPr>
              <w:t>报价保证金</w:t>
            </w:r>
          </w:p>
        </w:tc>
        <w:tc>
          <w:tcPr>
            <w:tcW w:w="691" w:type="pct"/>
            <w:vAlign w:val="center"/>
          </w:tcPr>
          <w:p>
            <w:pPr>
              <w:tabs>
                <w:tab w:val="left" w:pos="5580"/>
              </w:tabs>
              <w:jc w:val="center"/>
              <w:rPr>
                <w:rFonts w:ascii="宋体" w:hAnsi="宋体"/>
                <w:color w:val="auto"/>
                <w:sz w:val="24"/>
                <w:highlight w:val="none"/>
              </w:rPr>
            </w:pPr>
            <w:r>
              <w:rPr>
                <w:rFonts w:hint="eastAsia" w:ascii="宋体" w:hAnsi="宋体"/>
                <w:color w:val="auto"/>
                <w:sz w:val="24"/>
                <w:highlight w:val="none"/>
              </w:rPr>
              <w:t>服务期限</w:t>
            </w:r>
          </w:p>
        </w:tc>
        <w:tc>
          <w:tcPr>
            <w:tcW w:w="655" w:type="pct"/>
            <w:vAlign w:val="center"/>
          </w:tcPr>
          <w:p>
            <w:pPr>
              <w:tabs>
                <w:tab w:val="left" w:pos="5580"/>
              </w:tabs>
              <w:jc w:val="center"/>
              <w:rPr>
                <w:rFonts w:ascii="宋体" w:hAnsi="宋体"/>
                <w:color w:val="auto"/>
                <w:sz w:val="24"/>
                <w:highlight w:val="none"/>
              </w:rPr>
            </w:pPr>
            <w:r>
              <w:rPr>
                <w:rFonts w:hint="eastAsia" w:ascii="宋体" w:hAnsi="宋体"/>
                <w:color w:val="auto"/>
                <w:sz w:val="24"/>
                <w:highlight w:val="none"/>
              </w:rPr>
              <w:t>服务地点</w:t>
            </w:r>
          </w:p>
        </w:tc>
        <w:tc>
          <w:tcPr>
            <w:tcW w:w="473" w:type="pct"/>
            <w:vAlign w:val="center"/>
          </w:tcPr>
          <w:p>
            <w:pPr>
              <w:tabs>
                <w:tab w:val="left" w:pos="5580"/>
              </w:tabs>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color w:val="auto"/>
                <w:sz w:val="24"/>
                <w:highlight w:val="none"/>
              </w:rPr>
            </w:pPr>
          </w:p>
        </w:tc>
        <w:tc>
          <w:tcPr>
            <w:tcW w:w="585" w:type="pct"/>
            <w:vAlign w:val="center"/>
          </w:tcPr>
          <w:p>
            <w:pPr>
              <w:tabs>
                <w:tab w:val="left" w:pos="5580"/>
              </w:tabs>
              <w:ind w:left="-697"/>
              <w:jc w:val="center"/>
              <w:rPr>
                <w:rFonts w:ascii="宋体" w:hAnsi="宋体"/>
                <w:color w:val="auto"/>
                <w:sz w:val="24"/>
                <w:highlight w:val="none"/>
              </w:rPr>
            </w:pPr>
          </w:p>
        </w:tc>
        <w:tc>
          <w:tcPr>
            <w:tcW w:w="1172" w:type="pct"/>
            <w:vAlign w:val="center"/>
          </w:tcPr>
          <w:p>
            <w:pPr>
              <w:tabs>
                <w:tab w:val="left" w:pos="5580"/>
              </w:tabs>
              <w:ind w:right="1200"/>
              <w:jc w:val="right"/>
              <w:rPr>
                <w:rFonts w:ascii="宋体" w:hAnsi="宋体"/>
                <w:color w:val="auto"/>
                <w:sz w:val="24"/>
                <w:highlight w:val="none"/>
              </w:rPr>
            </w:pPr>
            <w:r>
              <w:rPr>
                <w:rFonts w:hint="eastAsia" w:ascii="宋体" w:hAnsi="宋体"/>
                <w:color w:val="auto"/>
                <w:sz w:val="24"/>
                <w:highlight w:val="none"/>
              </w:rPr>
              <w:t>小写：</w:t>
            </w:r>
          </w:p>
          <w:p>
            <w:pPr>
              <w:tabs>
                <w:tab w:val="left" w:pos="5580"/>
              </w:tabs>
              <w:ind w:right="1200"/>
              <w:jc w:val="right"/>
              <w:rPr>
                <w:rFonts w:ascii="宋体" w:hAnsi="宋体"/>
                <w:color w:val="auto"/>
                <w:sz w:val="24"/>
                <w:highlight w:val="none"/>
              </w:rPr>
            </w:pPr>
            <w:r>
              <w:rPr>
                <w:rFonts w:hint="eastAsia" w:ascii="宋体" w:hAnsi="宋体"/>
                <w:color w:val="auto"/>
                <w:sz w:val="24"/>
                <w:highlight w:val="none"/>
              </w:rPr>
              <w:t>大写：</w:t>
            </w:r>
          </w:p>
        </w:tc>
        <w:tc>
          <w:tcPr>
            <w:tcW w:w="916" w:type="pct"/>
            <w:vAlign w:val="center"/>
          </w:tcPr>
          <w:p>
            <w:pPr>
              <w:tabs>
                <w:tab w:val="left" w:pos="5580"/>
              </w:tabs>
              <w:jc w:val="right"/>
              <w:rPr>
                <w:rFonts w:ascii="宋体" w:hAnsi="宋体"/>
                <w:color w:val="auto"/>
                <w:sz w:val="24"/>
                <w:highlight w:val="none"/>
              </w:rPr>
            </w:pPr>
          </w:p>
        </w:tc>
        <w:tc>
          <w:tcPr>
            <w:tcW w:w="691" w:type="pct"/>
            <w:vAlign w:val="center"/>
          </w:tcPr>
          <w:p>
            <w:pPr>
              <w:tabs>
                <w:tab w:val="left" w:pos="5580"/>
              </w:tabs>
              <w:jc w:val="center"/>
              <w:rPr>
                <w:rFonts w:ascii="宋体" w:hAnsi="宋体"/>
                <w:color w:val="auto"/>
                <w:sz w:val="24"/>
                <w:highlight w:val="none"/>
              </w:rPr>
            </w:pPr>
          </w:p>
        </w:tc>
        <w:tc>
          <w:tcPr>
            <w:tcW w:w="655" w:type="pct"/>
            <w:vAlign w:val="center"/>
          </w:tcPr>
          <w:p>
            <w:pPr>
              <w:tabs>
                <w:tab w:val="left" w:pos="5580"/>
              </w:tabs>
              <w:jc w:val="center"/>
              <w:rPr>
                <w:rFonts w:ascii="宋体" w:hAnsi="宋体"/>
                <w:color w:val="auto"/>
                <w:sz w:val="24"/>
                <w:highlight w:val="none"/>
              </w:rPr>
            </w:pPr>
          </w:p>
        </w:tc>
        <w:tc>
          <w:tcPr>
            <w:tcW w:w="473" w:type="pct"/>
            <w:vAlign w:val="center"/>
          </w:tcPr>
          <w:p>
            <w:pPr>
              <w:tabs>
                <w:tab w:val="left" w:pos="5580"/>
              </w:tabs>
              <w:jc w:val="center"/>
              <w:rPr>
                <w:rFonts w:ascii="宋体" w:hAnsi="宋体"/>
                <w:color w:val="auto"/>
                <w:sz w:val="24"/>
                <w:highlight w:val="none"/>
              </w:rPr>
            </w:pPr>
          </w:p>
        </w:tc>
      </w:tr>
    </w:tbl>
    <w:p>
      <w:pPr>
        <w:autoSpaceDE w:val="0"/>
        <w:autoSpaceDN w:val="0"/>
        <w:adjustRightInd w:val="0"/>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sz w:val="24"/>
          <w:highlight w:val="none"/>
        </w:rPr>
      </w:pPr>
      <w:r>
        <w:rPr>
          <w:rFonts w:ascii="宋体" w:hAnsi="宋体"/>
          <w:color w:val="auto"/>
          <w:kern w:val="0"/>
          <w:sz w:val="24"/>
          <w:highlight w:val="none"/>
        </w:rPr>
        <w:t>注：1</w:t>
      </w:r>
      <w:r>
        <w:rPr>
          <w:rFonts w:ascii="宋体" w:hAnsi="宋体"/>
          <w:color w:val="auto"/>
          <w:sz w:val="24"/>
          <w:highlight w:val="none"/>
        </w:rPr>
        <w:t>.此表中，每包的</w:t>
      </w:r>
      <w:r>
        <w:rPr>
          <w:rFonts w:hint="eastAsia" w:ascii="宋体" w:hAnsi="宋体"/>
          <w:color w:val="auto"/>
          <w:sz w:val="24"/>
          <w:highlight w:val="none"/>
        </w:rPr>
        <w:t>响应</w:t>
      </w:r>
      <w:r>
        <w:rPr>
          <w:rFonts w:ascii="宋体" w:hAnsi="宋体"/>
          <w:color w:val="auto"/>
          <w:sz w:val="24"/>
          <w:highlight w:val="none"/>
        </w:rPr>
        <w:t>报价应和《</w:t>
      </w:r>
      <w:r>
        <w:rPr>
          <w:rFonts w:hint="eastAsia" w:ascii="宋体" w:hAnsi="宋体"/>
          <w:color w:val="auto"/>
          <w:sz w:val="24"/>
          <w:highlight w:val="none"/>
        </w:rPr>
        <w:t>响应</w:t>
      </w:r>
      <w:r>
        <w:rPr>
          <w:rFonts w:ascii="宋体" w:hAnsi="宋体"/>
          <w:color w:val="auto"/>
          <w:sz w:val="24"/>
          <w:highlight w:val="none"/>
        </w:rPr>
        <w:t>分项报价表》中的总价相一致。</w:t>
      </w:r>
    </w:p>
    <w:p>
      <w:pPr>
        <w:tabs>
          <w:tab w:val="left" w:pos="5580"/>
        </w:tabs>
        <w:spacing w:line="360" w:lineRule="auto"/>
        <w:ind w:firstLine="480" w:firstLineChars="200"/>
        <w:rPr>
          <w:rFonts w:ascii="宋体" w:hAnsi="宋体"/>
          <w:color w:val="auto"/>
          <w:sz w:val="24"/>
          <w:highlight w:val="none"/>
        </w:rPr>
      </w:pPr>
      <w:r>
        <w:rPr>
          <w:rFonts w:ascii="宋体" w:hAnsi="宋体"/>
          <w:color w:val="auto"/>
          <w:sz w:val="24"/>
          <w:highlight w:val="none"/>
        </w:rPr>
        <w:t>2.本表必须按包分别填写。</w:t>
      </w:r>
    </w:p>
    <w:p>
      <w:pPr>
        <w:autoSpaceDE w:val="0"/>
        <w:autoSpaceDN w:val="0"/>
        <w:adjustRightInd w:val="0"/>
        <w:snapToGrid w:val="0"/>
        <w:spacing w:before="25" w:after="25" w:line="360" w:lineRule="auto"/>
        <w:rPr>
          <w:rFonts w:ascii="宋体" w:hAnsi="宋体"/>
          <w:color w:val="auto"/>
          <w:sz w:val="24"/>
          <w:highlight w:val="none"/>
          <w:lang w:val="zh-CN"/>
        </w:rPr>
      </w:pP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pPr>
        <w:autoSpaceDE w:val="0"/>
        <w:autoSpaceDN w:val="0"/>
        <w:adjustRightInd w:val="0"/>
        <w:snapToGrid w:val="0"/>
        <w:spacing w:before="25" w:after="25"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：____________</w:t>
      </w:r>
    </w:p>
    <w:p>
      <w:pPr>
        <w:tabs>
          <w:tab w:val="left" w:pos="5580"/>
        </w:tabs>
        <w:spacing w:line="360" w:lineRule="auto"/>
        <w:rPr>
          <w:rFonts w:ascii="宋体" w:hAnsi="宋体"/>
          <w:color w:val="auto"/>
          <w:sz w:val="24"/>
          <w:szCs w:val="20"/>
          <w:highlight w:val="none"/>
        </w:rPr>
      </w:pPr>
      <w:r>
        <w:rPr>
          <w:rFonts w:hint="eastAsia" w:ascii="宋体" w:hAnsi="宋体"/>
          <w:color w:val="auto"/>
          <w:sz w:val="24"/>
          <w:szCs w:val="20"/>
          <w:highlight w:val="none"/>
        </w:rPr>
        <w:t>授权代表签字：</w:t>
      </w:r>
      <w:r>
        <w:rPr>
          <w:rFonts w:ascii="宋体" w:hAnsi="宋体"/>
          <w:color w:val="auto"/>
          <w:sz w:val="24"/>
          <w:szCs w:val="20"/>
          <w:highlight w:val="none"/>
        </w:rPr>
        <w:t>___________</w:t>
      </w: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szCs w:val="20"/>
          <w:highlight w:val="none"/>
        </w:rPr>
        <w:t xml:space="preserve">日期：_____年______月______日   </w:t>
      </w:r>
    </w:p>
    <w:p>
      <w:pPr>
        <w:widowControl/>
        <w:jc w:val="left"/>
        <w:rPr>
          <w:rFonts w:ascii="宋体" w:hAnsi="宋体"/>
          <w:color w:val="auto"/>
          <w:sz w:val="24"/>
          <w:szCs w:val="20"/>
          <w:highlight w:val="none"/>
        </w:rPr>
      </w:pPr>
      <w:bookmarkStart w:id="720" w:name="_Toc305158827"/>
      <w:bookmarkStart w:id="721" w:name="_Toc226965749"/>
      <w:bookmarkStart w:id="722" w:name="_Toc142311060"/>
      <w:bookmarkStart w:id="723" w:name="_Toc195842924"/>
      <w:bookmarkStart w:id="724" w:name="_Toc264969249"/>
      <w:bookmarkStart w:id="725" w:name="_Toc265228397"/>
      <w:bookmarkStart w:id="726" w:name="_Toc226309803"/>
      <w:bookmarkStart w:id="727" w:name="_Toc226965832"/>
      <w:bookmarkStart w:id="728" w:name="_Toc150480796"/>
      <w:bookmarkStart w:id="729" w:name="_Toc127151558"/>
      <w:bookmarkStart w:id="730" w:name="_Toc305158901"/>
      <w:bookmarkStart w:id="731" w:name="_Toc150774763"/>
      <w:bookmarkStart w:id="732" w:name="_Toc226337255"/>
      <w:r>
        <w:rPr>
          <w:rFonts w:ascii="宋体" w:hAnsi="宋体"/>
          <w:color w:val="auto"/>
          <w:sz w:val="24"/>
          <w:szCs w:val="20"/>
          <w:highlight w:val="none"/>
        </w:rPr>
        <w:br w:type="page"/>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t xml:space="preserve">4  </w:t>
      </w:r>
      <w:r>
        <w:rPr>
          <w:rFonts w:hint="eastAsia" w:ascii="宋体" w:hAnsi="宋体"/>
          <w:color w:val="auto"/>
          <w:sz w:val="24"/>
          <w:szCs w:val="20"/>
          <w:highlight w:val="none"/>
        </w:rPr>
        <w:t>响应</w:t>
      </w:r>
      <w:r>
        <w:rPr>
          <w:rFonts w:ascii="宋体" w:hAnsi="宋体"/>
          <w:color w:val="auto"/>
          <w:sz w:val="24"/>
          <w:szCs w:val="20"/>
          <w:highlight w:val="none"/>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p>
    <w:p>
      <w:pPr>
        <w:spacing w:line="360" w:lineRule="exact"/>
        <w:jc w:val="center"/>
        <w:rPr>
          <w:rFonts w:ascii="宋体" w:hAnsi="宋体"/>
          <w:color w:val="auto"/>
          <w:sz w:val="36"/>
          <w:szCs w:val="36"/>
          <w:highlight w:val="none"/>
        </w:rPr>
      </w:pPr>
    </w:p>
    <w:p>
      <w:pPr>
        <w:spacing w:line="360" w:lineRule="exact"/>
        <w:jc w:val="center"/>
        <w:rPr>
          <w:rFonts w:ascii="宋体" w:hAnsi="宋体"/>
          <w:b/>
          <w:color w:val="auto"/>
          <w:sz w:val="36"/>
          <w:szCs w:val="36"/>
          <w:highlight w:val="none"/>
        </w:rPr>
      </w:pPr>
      <w:r>
        <w:rPr>
          <w:rFonts w:hint="eastAsia" w:ascii="宋体" w:hAnsi="宋体"/>
          <w:b/>
          <w:color w:val="auto"/>
          <w:sz w:val="36"/>
          <w:szCs w:val="36"/>
          <w:highlight w:val="none"/>
        </w:rPr>
        <w:t>响应分项报价表</w:t>
      </w:r>
    </w:p>
    <w:p>
      <w:pPr>
        <w:spacing w:line="260" w:lineRule="exact"/>
        <w:jc w:val="center"/>
        <w:rPr>
          <w:rFonts w:ascii="宋体" w:hAnsi="宋体"/>
          <w:color w:val="auto"/>
          <w:sz w:val="36"/>
          <w:szCs w:val="36"/>
          <w:highlight w:val="none"/>
        </w:rPr>
      </w:pPr>
    </w:p>
    <w:p>
      <w:pPr>
        <w:tabs>
          <w:tab w:val="left" w:pos="1800"/>
          <w:tab w:val="left" w:pos="5580"/>
        </w:tabs>
        <w:rPr>
          <w:color w:val="auto"/>
          <w:sz w:val="24"/>
          <w:highlight w:val="none"/>
        </w:rPr>
      </w:pPr>
      <w:r>
        <w:rPr>
          <w:color w:val="auto"/>
          <w:sz w:val="24"/>
          <w:highlight w:val="none"/>
        </w:rPr>
        <w:t>项目编号/包号：________ 项目名称：__________报价单位：人民币元</w:t>
      </w:r>
    </w:p>
    <w:tbl>
      <w:tblPr>
        <w:tblStyle w:val="4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b/>
                <w:color w:val="auto"/>
                <w:sz w:val="24"/>
                <w:highlight w:val="none"/>
              </w:rPr>
            </w:pPr>
            <w:r>
              <w:rPr>
                <w:b/>
                <w:color w:val="auto"/>
                <w:sz w:val="24"/>
                <w:highlight w:val="none"/>
              </w:rPr>
              <w:t>序号</w:t>
            </w:r>
          </w:p>
        </w:tc>
        <w:tc>
          <w:tcPr>
            <w:tcW w:w="1847" w:type="pct"/>
            <w:vAlign w:val="center"/>
          </w:tcPr>
          <w:p>
            <w:pPr>
              <w:adjustRightInd w:val="0"/>
              <w:snapToGrid w:val="0"/>
              <w:jc w:val="left"/>
              <w:rPr>
                <w:b/>
                <w:color w:val="auto"/>
                <w:sz w:val="24"/>
                <w:highlight w:val="none"/>
              </w:rPr>
            </w:pPr>
            <w:r>
              <w:rPr>
                <w:b/>
                <w:color w:val="auto"/>
                <w:sz w:val="24"/>
                <w:highlight w:val="none"/>
              </w:rPr>
              <w:t>分项名称</w:t>
            </w:r>
          </w:p>
        </w:tc>
        <w:tc>
          <w:tcPr>
            <w:tcW w:w="848" w:type="pct"/>
            <w:vAlign w:val="center"/>
          </w:tcPr>
          <w:p>
            <w:pPr>
              <w:adjustRightInd w:val="0"/>
              <w:snapToGrid w:val="0"/>
              <w:jc w:val="left"/>
              <w:rPr>
                <w:b/>
                <w:color w:val="auto"/>
                <w:sz w:val="24"/>
                <w:highlight w:val="none"/>
              </w:rPr>
            </w:pPr>
            <w:r>
              <w:rPr>
                <w:b/>
                <w:color w:val="auto"/>
                <w:sz w:val="24"/>
                <w:highlight w:val="none"/>
              </w:rPr>
              <w:t>单价（元）</w:t>
            </w:r>
          </w:p>
        </w:tc>
        <w:tc>
          <w:tcPr>
            <w:tcW w:w="847" w:type="pct"/>
            <w:vAlign w:val="center"/>
          </w:tcPr>
          <w:p>
            <w:pPr>
              <w:adjustRightInd w:val="0"/>
              <w:snapToGrid w:val="0"/>
              <w:jc w:val="left"/>
              <w:rPr>
                <w:b/>
                <w:color w:val="auto"/>
                <w:sz w:val="24"/>
                <w:highlight w:val="none"/>
              </w:rPr>
            </w:pPr>
            <w:r>
              <w:rPr>
                <w:b/>
                <w:color w:val="auto"/>
                <w:sz w:val="24"/>
                <w:highlight w:val="none"/>
              </w:rPr>
              <w:t>合价（元）</w:t>
            </w:r>
          </w:p>
        </w:tc>
        <w:tc>
          <w:tcPr>
            <w:tcW w:w="1076" w:type="pct"/>
            <w:vAlign w:val="center"/>
          </w:tcPr>
          <w:p>
            <w:pPr>
              <w:adjustRightInd w:val="0"/>
              <w:snapToGrid w:val="0"/>
              <w:jc w:val="left"/>
              <w:rPr>
                <w:b/>
                <w:color w:val="auto"/>
                <w:sz w:val="24"/>
                <w:highlight w:val="none"/>
              </w:rPr>
            </w:pPr>
            <w:r>
              <w:rPr>
                <w:b/>
                <w:color w:val="auto"/>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auto"/>
                <w:sz w:val="24"/>
                <w:highlight w:val="none"/>
              </w:rPr>
            </w:pPr>
            <w:r>
              <w:rPr>
                <w:color w:val="auto"/>
                <w:sz w:val="24"/>
                <w:highlight w:val="none"/>
              </w:rPr>
              <w:t>1</w:t>
            </w:r>
          </w:p>
        </w:tc>
        <w:tc>
          <w:tcPr>
            <w:tcW w:w="1847" w:type="pct"/>
            <w:vAlign w:val="center"/>
          </w:tcPr>
          <w:p>
            <w:pPr>
              <w:adjustRightInd w:val="0"/>
              <w:snapToGrid w:val="0"/>
              <w:jc w:val="left"/>
              <w:rPr>
                <w:color w:val="auto"/>
                <w:sz w:val="24"/>
                <w:highlight w:val="none"/>
              </w:rPr>
            </w:pPr>
          </w:p>
        </w:tc>
        <w:tc>
          <w:tcPr>
            <w:tcW w:w="848" w:type="pct"/>
            <w:vAlign w:val="center"/>
          </w:tcPr>
          <w:p>
            <w:pPr>
              <w:adjustRightInd w:val="0"/>
              <w:snapToGrid w:val="0"/>
              <w:jc w:val="left"/>
              <w:rPr>
                <w:color w:val="auto"/>
                <w:sz w:val="24"/>
                <w:highlight w:val="none"/>
              </w:rPr>
            </w:pPr>
          </w:p>
        </w:tc>
        <w:tc>
          <w:tcPr>
            <w:tcW w:w="847" w:type="pct"/>
            <w:vAlign w:val="center"/>
          </w:tcPr>
          <w:p>
            <w:pPr>
              <w:adjustRightInd w:val="0"/>
              <w:snapToGrid w:val="0"/>
              <w:jc w:val="left"/>
              <w:rPr>
                <w:color w:val="auto"/>
                <w:sz w:val="24"/>
                <w:highlight w:val="none"/>
              </w:rPr>
            </w:pPr>
          </w:p>
        </w:tc>
        <w:tc>
          <w:tcPr>
            <w:tcW w:w="1076" w:type="pct"/>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auto"/>
                <w:sz w:val="24"/>
                <w:highlight w:val="none"/>
              </w:rPr>
            </w:pPr>
            <w:r>
              <w:rPr>
                <w:color w:val="auto"/>
                <w:sz w:val="24"/>
                <w:highlight w:val="none"/>
              </w:rPr>
              <w:t>2</w:t>
            </w:r>
          </w:p>
        </w:tc>
        <w:tc>
          <w:tcPr>
            <w:tcW w:w="1847" w:type="pct"/>
            <w:vAlign w:val="center"/>
          </w:tcPr>
          <w:p>
            <w:pPr>
              <w:adjustRightInd w:val="0"/>
              <w:snapToGrid w:val="0"/>
              <w:jc w:val="left"/>
              <w:rPr>
                <w:color w:val="auto"/>
                <w:sz w:val="24"/>
                <w:highlight w:val="none"/>
              </w:rPr>
            </w:pPr>
          </w:p>
        </w:tc>
        <w:tc>
          <w:tcPr>
            <w:tcW w:w="848" w:type="pct"/>
            <w:vAlign w:val="center"/>
          </w:tcPr>
          <w:p>
            <w:pPr>
              <w:adjustRightInd w:val="0"/>
              <w:snapToGrid w:val="0"/>
              <w:jc w:val="left"/>
              <w:rPr>
                <w:color w:val="auto"/>
                <w:sz w:val="24"/>
                <w:highlight w:val="none"/>
              </w:rPr>
            </w:pPr>
          </w:p>
        </w:tc>
        <w:tc>
          <w:tcPr>
            <w:tcW w:w="847" w:type="pct"/>
            <w:vAlign w:val="center"/>
          </w:tcPr>
          <w:p>
            <w:pPr>
              <w:adjustRightInd w:val="0"/>
              <w:snapToGrid w:val="0"/>
              <w:jc w:val="left"/>
              <w:rPr>
                <w:color w:val="auto"/>
                <w:sz w:val="24"/>
                <w:highlight w:val="none"/>
              </w:rPr>
            </w:pPr>
          </w:p>
        </w:tc>
        <w:tc>
          <w:tcPr>
            <w:tcW w:w="1076" w:type="pct"/>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auto"/>
                <w:sz w:val="24"/>
                <w:highlight w:val="none"/>
              </w:rPr>
            </w:pPr>
            <w:r>
              <w:rPr>
                <w:color w:val="auto"/>
                <w:sz w:val="24"/>
                <w:highlight w:val="none"/>
              </w:rPr>
              <w:t>3</w:t>
            </w:r>
          </w:p>
        </w:tc>
        <w:tc>
          <w:tcPr>
            <w:tcW w:w="1847" w:type="pct"/>
            <w:vAlign w:val="center"/>
          </w:tcPr>
          <w:p>
            <w:pPr>
              <w:adjustRightInd w:val="0"/>
              <w:snapToGrid w:val="0"/>
              <w:jc w:val="left"/>
              <w:rPr>
                <w:color w:val="auto"/>
                <w:sz w:val="24"/>
                <w:highlight w:val="none"/>
              </w:rPr>
            </w:pPr>
            <w:r>
              <w:rPr>
                <w:color w:val="auto"/>
                <w:sz w:val="24"/>
                <w:highlight w:val="none"/>
              </w:rPr>
              <w:t>…</w:t>
            </w:r>
          </w:p>
        </w:tc>
        <w:tc>
          <w:tcPr>
            <w:tcW w:w="848" w:type="pct"/>
            <w:vAlign w:val="center"/>
          </w:tcPr>
          <w:p>
            <w:pPr>
              <w:adjustRightInd w:val="0"/>
              <w:snapToGrid w:val="0"/>
              <w:jc w:val="left"/>
              <w:rPr>
                <w:color w:val="auto"/>
                <w:sz w:val="24"/>
                <w:highlight w:val="none"/>
              </w:rPr>
            </w:pPr>
          </w:p>
        </w:tc>
        <w:tc>
          <w:tcPr>
            <w:tcW w:w="847" w:type="pct"/>
            <w:vAlign w:val="center"/>
          </w:tcPr>
          <w:p>
            <w:pPr>
              <w:adjustRightInd w:val="0"/>
              <w:snapToGrid w:val="0"/>
              <w:jc w:val="left"/>
              <w:rPr>
                <w:color w:val="auto"/>
                <w:sz w:val="24"/>
                <w:highlight w:val="none"/>
              </w:rPr>
            </w:pPr>
          </w:p>
        </w:tc>
        <w:tc>
          <w:tcPr>
            <w:tcW w:w="1076" w:type="pct"/>
            <w:vAlign w:val="center"/>
          </w:tcPr>
          <w:p>
            <w:pPr>
              <w:adjustRightInd w:val="0"/>
              <w:snapToGrid w:val="0"/>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right"/>
              <w:rPr>
                <w:b/>
                <w:color w:val="auto"/>
                <w:sz w:val="24"/>
                <w:highlight w:val="none"/>
              </w:rPr>
            </w:pPr>
            <w:r>
              <w:rPr>
                <w:b/>
                <w:color w:val="auto"/>
                <w:sz w:val="24"/>
                <w:highlight w:val="none"/>
              </w:rPr>
              <w:t>总价（元）</w:t>
            </w:r>
          </w:p>
        </w:tc>
        <w:tc>
          <w:tcPr>
            <w:tcW w:w="847" w:type="pct"/>
            <w:vAlign w:val="center"/>
          </w:tcPr>
          <w:p>
            <w:pPr>
              <w:adjustRightInd w:val="0"/>
              <w:snapToGrid w:val="0"/>
              <w:jc w:val="left"/>
              <w:rPr>
                <w:color w:val="auto"/>
                <w:sz w:val="24"/>
                <w:highlight w:val="none"/>
              </w:rPr>
            </w:pPr>
          </w:p>
        </w:tc>
        <w:tc>
          <w:tcPr>
            <w:tcW w:w="1076" w:type="pct"/>
            <w:vAlign w:val="center"/>
          </w:tcPr>
          <w:p>
            <w:pPr>
              <w:adjustRightInd w:val="0"/>
              <w:snapToGrid w:val="0"/>
              <w:jc w:val="left"/>
              <w:rPr>
                <w:color w:val="auto"/>
                <w:sz w:val="24"/>
                <w:highlight w:val="none"/>
              </w:rPr>
            </w:pPr>
          </w:p>
        </w:tc>
      </w:tr>
    </w:tbl>
    <w:p>
      <w:pPr>
        <w:pStyle w:val="6"/>
        <w:rPr>
          <w:color w:val="auto"/>
          <w:highlight w:val="none"/>
        </w:rPr>
      </w:pPr>
    </w:p>
    <w:p>
      <w:pPr>
        <w:tabs>
          <w:tab w:val="left" w:pos="1800"/>
          <w:tab w:val="left" w:pos="5580"/>
        </w:tabs>
        <w:jc w:val="left"/>
        <w:rPr>
          <w:color w:val="auto"/>
          <w:sz w:val="24"/>
          <w:highlight w:val="none"/>
        </w:rPr>
      </w:pPr>
      <w:r>
        <w:rPr>
          <w:color w:val="auto"/>
          <w:sz w:val="24"/>
          <w:highlight w:val="none"/>
        </w:rPr>
        <w:t>注：1.本表应按包分别填写。</w:t>
      </w:r>
    </w:p>
    <w:p>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w:t>
      </w:r>
      <w:r>
        <w:rPr>
          <w:rFonts w:hint="eastAsia"/>
          <w:color w:val="auto"/>
          <w:sz w:val="24"/>
          <w:highlight w:val="none"/>
        </w:rPr>
        <w:t>比选文件</w:t>
      </w:r>
      <w:r>
        <w:rPr>
          <w:color w:val="auto"/>
          <w:sz w:val="24"/>
          <w:highlight w:val="none"/>
        </w:rPr>
        <w:t>。</w:t>
      </w:r>
    </w:p>
    <w:p>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pPr>
        <w:pStyle w:val="39"/>
        <w:ind w:left="0" w:leftChars="0" w:firstLine="480"/>
        <w:rPr>
          <w:color w:val="auto"/>
          <w:highlight w:val="none"/>
        </w:rPr>
      </w:pPr>
      <w:r>
        <w:rPr>
          <w:rFonts w:hint="eastAsia"/>
          <w:color w:val="auto"/>
          <w:sz w:val="24"/>
          <w:highlight w:val="none"/>
        </w:rPr>
        <w:t>4.</w:t>
      </w:r>
      <w:r>
        <w:rPr>
          <w:rFonts w:hint="eastAsia" w:hAnsi="宋体"/>
          <w:color w:val="auto"/>
          <w:kern w:val="0"/>
          <w:sz w:val="24"/>
          <w:szCs w:val="21"/>
          <w:highlight w:val="none"/>
        </w:rPr>
        <w:t>报价应包含但不限于人员工资（人员工资需满足京人社劳发〔2021〕77号《关于调整北京市2021年最低工资标准的通知》的要求，如实施期间人社部门标准更新，以实施时的最新标准为准）、社保、津贴、加班工资、服装、福利、经营成本、企业利润、税费等相关费用。</w:t>
      </w:r>
    </w:p>
    <w:p>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pPr>
        <w:autoSpaceDE w:val="0"/>
        <w:autoSpaceDN w:val="0"/>
        <w:adjustRightInd w:val="0"/>
        <w:snapToGrid w:val="0"/>
        <w:spacing w:before="25" w:after="25" w:line="360" w:lineRule="auto"/>
        <w:rPr>
          <w:color w:val="auto"/>
          <w:sz w:val="24"/>
          <w:highlight w:val="none"/>
          <w:lang w:val="zh-CN"/>
        </w:rPr>
      </w:pPr>
      <w:r>
        <w:rPr>
          <w:rFonts w:hint="eastAsia"/>
          <w:color w:val="auto"/>
          <w:sz w:val="24"/>
          <w:highlight w:val="none"/>
        </w:rPr>
        <w:t>供应商</w:t>
      </w:r>
      <w:r>
        <w:rPr>
          <w:color w:val="auto"/>
          <w:sz w:val="24"/>
          <w:highlight w:val="none"/>
        </w:rPr>
        <w:t>名称（加盖公章）</w:t>
      </w:r>
      <w:r>
        <w:rPr>
          <w:color w:val="auto"/>
          <w:sz w:val="24"/>
          <w:highlight w:val="none"/>
          <w:lang w:val="zh-CN"/>
        </w:rPr>
        <w:t>：____________</w:t>
      </w:r>
    </w:p>
    <w:p>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pPr>
        <w:pStyle w:val="23"/>
        <w:spacing w:line="360" w:lineRule="auto"/>
        <w:ind w:firstLine="482"/>
        <w:rPr>
          <w:rFonts w:hint="default" w:hAnsi="宋体"/>
          <w:color w:val="auto"/>
          <w:sz w:val="24"/>
          <w:highlight w:val="none"/>
        </w:rPr>
      </w:pPr>
      <w:r>
        <w:rPr>
          <w:rFonts w:hAnsi="宋体"/>
          <w:color w:val="auto"/>
          <w:sz w:val="24"/>
          <w:highlight w:val="none"/>
        </w:rPr>
        <w:br w:type="page"/>
      </w:r>
    </w:p>
    <w:p>
      <w:pPr>
        <w:spacing w:line="360" w:lineRule="auto"/>
        <w:outlineLvl w:val="2"/>
        <w:rPr>
          <w:rFonts w:ascii="宋体" w:hAnsi="宋体"/>
          <w:color w:val="auto"/>
          <w:sz w:val="24"/>
          <w:szCs w:val="20"/>
          <w:highlight w:val="none"/>
        </w:rPr>
      </w:pPr>
      <w:bookmarkStart w:id="733" w:name="_Toc264969252"/>
      <w:bookmarkStart w:id="734" w:name="_Toc226965835"/>
      <w:bookmarkStart w:id="735" w:name="_Toc305158904"/>
      <w:bookmarkStart w:id="736" w:name="_Toc127151562"/>
      <w:bookmarkStart w:id="737" w:name="_Toc142311062"/>
      <w:bookmarkStart w:id="738" w:name="_Toc226965752"/>
      <w:bookmarkStart w:id="739" w:name="_Toc150480798"/>
      <w:bookmarkStart w:id="740" w:name="_Toc226309806"/>
      <w:bookmarkStart w:id="741" w:name="_Toc305158830"/>
      <w:bookmarkStart w:id="742" w:name="_Toc226337258"/>
      <w:bookmarkStart w:id="743" w:name="_Toc195842927"/>
      <w:bookmarkStart w:id="744" w:name="_Toc265228400"/>
      <w:bookmarkStart w:id="745" w:name="_Toc150774765"/>
      <w:bookmarkStart w:id="746" w:name="_Toc226965834"/>
      <w:bookmarkStart w:id="747" w:name="_Toc226337257"/>
      <w:bookmarkStart w:id="748" w:name="_Toc142311061"/>
      <w:bookmarkStart w:id="749" w:name="_Toc127151561"/>
      <w:bookmarkStart w:id="750" w:name="_Toc226309805"/>
      <w:bookmarkStart w:id="751" w:name="_Toc150774764"/>
      <w:bookmarkStart w:id="752" w:name="_Toc150480797"/>
      <w:bookmarkStart w:id="753" w:name="_Toc264969251"/>
      <w:bookmarkStart w:id="754" w:name="_Toc305158903"/>
      <w:bookmarkStart w:id="755" w:name="_Toc265228399"/>
      <w:bookmarkStart w:id="756" w:name="_Toc305158829"/>
      <w:bookmarkStart w:id="757" w:name="_Toc195842926"/>
      <w:bookmarkStart w:id="758" w:name="_Toc226965751"/>
      <w:r>
        <w:rPr>
          <w:rFonts w:hint="eastAsia" w:ascii="宋体" w:hAnsi="宋体"/>
          <w:color w:val="auto"/>
          <w:sz w:val="24"/>
          <w:szCs w:val="20"/>
          <w:highlight w:val="none"/>
        </w:rPr>
        <w:t>5</w:t>
      </w:r>
      <w:r>
        <w:rPr>
          <w:rFonts w:ascii="宋体" w:hAnsi="宋体"/>
          <w:color w:val="auto"/>
          <w:sz w:val="24"/>
          <w:szCs w:val="20"/>
          <w:highlight w:val="none"/>
        </w:rPr>
        <w:t xml:space="preserve">  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ascii="宋体" w:hAnsi="宋体"/>
          <w:color w:val="auto"/>
          <w:sz w:val="24"/>
          <w:szCs w:val="20"/>
          <w:highlight w:val="none"/>
        </w:rPr>
        <w:t>（实质性格式）</w:t>
      </w:r>
    </w:p>
    <w:p>
      <w:pPr>
        <w:spacing w:line="360" w:lineRule="auto"/>
        <w:rPr>
          <w:rFonts w:ascii="宋体" w:hAnsi="宋体"/>
          <w:color w:val="auto"/>
          <w:sz w:val="24"/>
          <w:szCs w:val="20"/>
          <w:highlight w:val="none"/>
        </w:rPr>
      </w:pPr>
    </w:p>
    <w:p>
      <w:pPr>
        <w:tabs>
          <w:tab w:val="left" w:pos="2775"/>
          <w:tab w:val="center" w:pos="4153"/>
        </w:tabs>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合同条款偏离表</w:t>
      </w:r>
    </w:p>
    <w:p>
      <w:pPr>
        <w:spacing w:line="360" w:lineRule="auto"/>
        <w:rPr>
          <w:rFonts w:ascii="宋体" w:hAnsi="宋体"/>
          <w:color w:val="auto"/>
          <w:sz w:val="24"/>
          <w:szCs w:val="20"/>
          <w:highlight w:val="none"/>
        </w:rPr>
      </w:pPr>
    </w:p>
    <w:p>
      <w:pPr>
        <w:tabs>
          <w:tab w:val="left" w:pos="1800"/>
          <w:tab w:val="left" w:pos="5580"/>
        </w:tabs>
        <w:spacing w:line="360" w:lineRule="auto"/>
        <w:ind w:firstLine="360" w:firstLineChars="150"/>
        <w:jc w:val="left"/>
        <w:rPr>
          <w:rFonts w:ascii="宋体" w:hAnsi="宋体"/>
          <w:color w:val="auto"/>
          <w:sz w:val="24"/>
          <w:highlight w:val="none"/>
        </w:rPr>
      </w:pPr>
      <w:r>
        <w:rPr>
          <w:rFonts w:ascii="宋体" w:hAnsi="宋体"/>
          <w:color w:val="auto"/>
          <w:sz w:val="24"/>
          <w:highlight w:val="none"/>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合同条款的偏离情况（请进行勾选）：</w:t>
            </w:r>
          </w:p>
          <w:p>
            <w:pPr>
              <w:adjustRightInd w:val="0"/>
              <w:snapToGrid w:val="0"/>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pPr>
              <w:adjustRightInd w:val="0"/>
              <w:snapToGrid w:val="0"/>
              <w:jc w:val="left"/>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301" w:type="dxa"/>
            <w:vAlign w:val="center"/>
          </w:tcPr>
          <w:p>
            <w:pPr>
              <w:adjustRightInd w:val="0"/>
              <w:snapToGrid w:val="0"/>
              <w:jc w:val="center"/>
              <w:rPr>
                <w:rFonts w:ascii="宋体" w:hAnsi="宋体"/>
                <w:color w:val="auto"/>
                <w:sz w:val="24"/>
                <w:highlight w:val="none"/>
              </w:rPr>
            </w:pPr>
            <w:r>
              <w:rPr>
                <w:rFonts w:hint="eastAsia" w:ascii="宋体" w:hAnsi="宋体"/>
                <w:color w:val="auto"/>
                <w:sz w:val="24"/>
                <w:szCs w:val="21"/>
                <w:highlight w:val="none"/>
              </w:rPr>
              <w:t>比选文件</w:t>
            </w:r>
            <w:r>
              <w:rPr>
                <w:rFonts w:ascii="宋体" w:hAnsi="宋体"/>
                <w:color w:val="auto"/>
                <w:sz w:val="24"/>
                <w:highlight w:val="none"/>
              </w:rPr>
              <w:t>条目号（页码）</w:t>
            </w:r>
          </w:p>
        </w:tc>
        <w:tc>
          <w:tcPr>
            <w:tcW w:w="2007" w:type="dxa"/>
            <w:vAlign w:val="center"/>
          </w:tcPr>
          <w:p>
            <w:pPr>
              <w:adjustRightInd w:val="0"/>
              <w:snapToGrid w:val="0"/>
              <w:jc w:val="center"/>
              <w:rPr>
                <w:rFonts w:ascii="宋体" w:hAnsi="宋体"/>
                <w:color w:val="auto"/>
                <w:sz w:val="24"/>
                <w:highlight w:val="none"/>
              </w:rPr>
            </w:pPr>
            <w:r>
              <w:rPr>
                <w:rFonts w:hint="eastAsia" w:ascii="宋体" w:hAnsi="宋体"/>
                <w:color w:val="auto"/>
                <w:sz w:val="24"/>
                <w:szCs w:val="21"/>
                <w:highlight w:val="none"/>
              </w:rPr>
              <w:t>比选文件</w:t>
            </w:r>
            <w:r>
              <w:rPr>
                <w:rFonts w:ascii="宋体" w:hAnsi="宋体"/>
                <w:color w:val="auto"/>
                <w:sz w:val="24"/>
                <w:highlight w:val="none"/>
              </w:rPr>
              <w:t>要求</w:t>
            </w:r>
          </w:p>
        </w:tc>
        <w:tc>
          <w:tcPr>
            <w:tcW w:w="2008"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响应文件</w:t>
            </w:r>
            <w:r>
              <w:rPr>
                <w:rFonts w:ascii="宋体" w:hAnsi="宋体"/>
                <w:color w:val="auto"/>
                <w:sz w:val="24"/>
                <w:highlight w:val="none"/>
              </w:rPr>
              <w:t>内容</w:t>
            </w:r>
          </w:p>
        </w:tc>
        <w:tc>
          <w:tcPr>
            <w:tcW w:w="2458"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788"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auto"/>
                <w:sz w:val="24"/>
                <w:highlight w:val="none"/>
              </w:rPr>
            </w:pPr>
          </w:p>
        </w:tc>
        <w:tc>
          <w:tcPr>
            <w:tcW w:w="1301" w:type="dxa"/>
            <w:vAlign w:val="center"/>
          </w:tcPr>
          <w:p>
            <w:pPr>
              <w:adjustRightInd w:val="0"/>
              <w:snapToGrid w:val="0"/>
              <w:jc w:val="center"/>
              <w:rPr>
                <w:rFonts w:ascii="宋体" w:hAnsi="宋体"/>
                <w:color w:val="auto"/>
                <w:sz w:val="24"/>
                <w:highlight w:val="none"/>
              </w:rPr>
            </w:pPr>
          </w:p>
        </w:tc>
        <w:tc>
          <w:tcPr>
            <w:tcW w:w="2007" w:type="dxa"/>
            <w:vAlign w:val="center"/>
          </w:tcPr>
          <w:p>
            <w:pPr>
              <w:adjustRightInd w:val="0"/>
              <w:snapToGrid w:val="0"/>
              <w:jc w:val="center"/>
              <w:rPr>
                <w:rFonts w:ascii="宋体" w:hAnsi="宋体"/>
                <w:color w:val="auto"/>
                <w:sz w:val="24"/>
                <w:highlight w:val="none"/>
              </w:rPr>
            </w:pPr>
          </w:p>
        </w:tc>
        <w:tc>
          <w:tcPr>
            <w:tcW w:w="2008" w:type="dxa"/>
            <w:vAlign w:val="center"/>
          </w:tcPr>
          <w:p>
            <w:pPr>
              <w:adjustRightInd w:val="0"/>
              <w:snapToGrid w:val="0"/>
              <w:jc w:val="center"/>
              <w:rPr>
                <w:rFonts w:ascii="宋体" w:hAnsi="宋体"/>
                <w:color w:val="auto"/>
                <w:sz w:val="24"/>
                <w:highlight w:val="none"/>
              </w:rPr>
            </w:pPr>
          </w:p>
        </w:tc>
        <w:tc>
          <w:tcPr>
            <w:tcW w:w="2458" w:type="dxa"/>
            <w:vAlign w:val="center"/>
          </w:tcPr>
          <w:p>
            <w:pPr>
              <w:adjustRightInd w:val="0"/>
              <w:snapToGrid w:val="0"/>
              <w:jc w:val="center"/>
              <w:rPr>
                <w:rFonts w:ascii="宋体" w:hAnsi="宋体"/>
                <w:color w:val="auto"/>
                <w:sz w:val="24"/>
                <w:highlight w:val="none"/>
              </w:rPr>
            </w:pPr>
          </w:p>
        </w:tc>
        <w:tc>
          <w:tcPr>
            <w:tcW w:w="788"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auto"/>
                <w:sz w:val="24"/>
                <w:highlight w:val="none"/>
              </w:rPr>
            </w:pPr>
          </w:p>
        </w:tc>
        <w:tc>
          <w:tcPr>
            <w:tcW w:w="1301" w:type="dxa"/>
            <w:vAlign w:val="center"/>
          </w:tcPr>
          <w:p>
            <w:pPr>
              <w:adjustRightInd w:val="0"/>
              <w:snapToGrid w:val="0"/>
              <w:jc w:val="center"/>
              <w:rPr>
                <w:rFonts w:ascii="宋体" w:hAnsi="宋体"/>
                <w:color w:val="auto"/>
                <w:sz w:val="24"/>
                <w:highlight w:val="none"/>
              </w:rPr>
            </w:pPr>
          </w:p>
        </w:tc>
        <w:tc>
          <w:tcPr>
            <w:tcW w:w="2007" w:type="dxa"/>
            <w:vAlign w:val="center"/>
          </w:tcPr>
          <w:p>
            <w:pPr>
              <w:adjustRightInd w:val="0"/>
              <w:snapToGrid w:val="0"/>
              <w:jc w:val="center"/>
              <w:rPr>
                <w:rFonts w:ascii="宋体" w:hAnsi="宋体"/>
                <w:color w:val="auto"/>
                <w:sz w:val="24"/>
                <w:highlight w:val="none"/>
              </w:rPr>
            </w:pPr>
          </w:p>
        </w:tc>
        <w:tc>
          <w:tcPr>
            <w:tcW w:w="2008" w:type="dxa"/>
            <w:vAlign w:val="center"/>
          </w:tcPr>
          <w:p>
            <w:pPr>
              <w:adjustRightInd w:val="0"/>
              <w:snapToGrid w:val="0"/>
              <w:jc w:val="center"/>
              <w:rPr>
                <w:rFonts w:ascii="宋体" w:hAnsi="宋体"/>
                <w:color w:val="auto"/>
                <w:sz w:val="24"/>
                <w:highlight w:val="none"/>
              </w:rPr>
            </w:pPr>
          </w:p>
        </w:tc>
        <w:tc>
          <w:tcPr>
            <w:tcW w:w="2458" w:type="dxa"/>
            <w:vAlign w:val="center"/>
          </w:tcPr>
          <w:p>
            <w:pPr>
              <w:adjustRightInd w:val="0"/>
              <w:snapToGrid w:val="0"/>
              <w:jc w:val="center"/>
              <w:rPr>
                <w:rFonts w:ascii="宋体" w:hAnsi="宋体"/>
                <w:color w:val="auto"/>
                <w:sz w:val="24"/>
                <w:highlight w:val="none"/>
              </w:rPr>
            </w:pPr>
          </w:p>
        </w:tc>
        <w:tc>
          <w:tcPr>
            <w:tcW w:w="788"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auto"/>
                <w:sz w:val="24"/>
                <w:highlight w:val="none"/>
              </w:rPr>
            </w:pPr>
          </w:p>
        </w:tc>
        <w:tc>
          <w:tcPr>
            <w:tcW w:w="1301" w:type="dxa"/>
            <w:vAlign w:val="center"/>
          </w:tcPr>
          <w:p>
            <w:pPr>
              <w:adjustRightInd w:val="0"/>
              <w:snapToGrid w:val="0"/>
              <w:jc w:val="center"/>
              <w:rPr>
                <w:rFonts w:ascii="宋体" w:hAnsi="宋体"/>
                <w:color w:val="auto"/>
                <w:sz w:val="24"/>
                <w:highlight w:val="none"/>
              </w:rPr>
            </w:pPr>
          </w:p>
        </w:tc>
        <w:tc>
          <w:tcPr>
            <w:tcW w:w="2007" w:type="dxa"/>
            <w:vAlign w:val="center"/>
          </w:tcPr>
          <w:p>
            <w:pPr>
              <w:adjustRightInd w:val="0"/>
              <w:snapToGrid w:val="0"/>
              <w:jc w:val="center"/>
              <w:rPr>
                <w:rFonts w:ascii="宋体" w:hAnsi="宋体"/>
                <w:color w:val="auto"/>
                <w:sz w:val="24"/>
                <w:highlight w:val="none"/>
              </w:rPr>
            </w:pPr>
          </w:p>
        </w:tc>
        <w:tc>
          <w:tcPr>
            <w:tcW w:w="2008" w:type="dxa"/>
            <w:vAlign w:val="center"/>
          </w:tcPr>
          <w:p>
            <w:pPr>
              <w:adjustRightInd w:val="0"/>
              <w:snapToGrid w:val="0"/>
              <w:jc w:val="center"/>
              <w:rPr>
                <w:rFonts w:ascii="宋体" w:hAnsi="宋体"/>
                <w:color w:val="auto"/>
                <w:sz w:val="24"/>
                <w:highlight w:val="none"/>
              </w:rPr>
            </w:pPr>
          </w:p>
        </w:tc>
        <w:tc>
          <w:tcPr>
            <w:tcW w:w="2458" w:type="dxa"/>
            <w:vAlign w:val="center"/>
          </w:tcPr>
          <w:p>
            <w:pPr>
              <w:adjustRightInd w:val="0"/>
              <w:snapToGrid w:val="0"/>
              <w:jc w:val="center"/>
              <w:rPr>
                <w:rFonts w:ascii="宋体" w:hAnsi="宋体"/>
                <w:color w:val="auto"/>
                <w:sz w:val="24"/>
                <w:highlight w:val="none"/>
              </w:rPr>
            </w:pPr>
          </w:p>
        </w:tc>
        <w:tc>
          <w:tcPr>
            <w:tcW w:w="788"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auto"/>
                <w:sz w:val="24"/>
                <w:highlight w:val="none"/>
              </w:rPr>
            </w:pPr>
          </w:p>
        </w:tc>
        <w:tc>
          <w:tcPr>
            <w:tcW w:w="1301" w:type="dxa"/>
            <w:vAlign w:val="center"/>
          </w:tcPr>
          <w:p>
            <w:pPr>
              <w:adjustRightInd w:val="0"/>
              <w:snapToGrid w:val="0"/>
              <w:jc w:val="center"/>
              <w:rPr>
                <w:rFonts w:ascii="宋体" w:hAnsi="宋体"/>
                <w:color w:val="auto"/>
                <w:sz w:val="24"/>
                <w:highlight w:val="none"/>
              </w:rPr>
            </w:pPr>
          </w:p>
        </w:tc>
        <w:tc>
          <w:tcPr>
            <w:tcW w:w="2007" w:type="dxa"/>
            <w:vAlign w:val="center"/>
          </w:tcPr>
          <w:p>
            <w:pPr>
              <w:adjustRightInd w:val="0"/>
              <w:snapToGrid w:val="0"/>
              <w:jc w:val="center"/>
              <w:rPr>
                <w:rFonts w:ascii="宋体" w:hAnsi="宋体"/>
                <w:color w:val="auto"/>
                <w:sz w:val="24"/>
                <w:highlight w:val="none"/>
              </w:rPr>
            </w:pPr>
          </w:p>
        </w:tc>
        <w:tc>
          <w:tcPr>
            <w:tcW w:w="2008" w:type="dxa"/>
            <w:vAlign w:val="center"/>
          </w:tcPr>
          <w:p>
            <w:pPr>
              <w:adjustRightInd w:val="0"/>
              <w:snapToGrid w:val="0"/>
              <w:jc w:val="center"/>
              <w:rPr>
                <w:rFonts w:ascii="宋体" w:hAnsi="宋体"/>
                <w:color w:val="auto"/>
                <w:sz w:val="24"/>
                <w:highlight w:val="none"/>
              </w:rPr>
            </w:pPr>
          </w:p>
        </w:tc>
        <w:tc>
          <w:tcPr>
            <w:tcW w:w="2458" w:type="dxa"/>
            <w:vAlign w:val="center"/>
          </w:tcPr>
          <w:p>
            <w:pPr>
              <w:adjustRightInd w:val="0"/>
              <w:snapToGrid w:val="0"/>
              <w:jc w:val="center"/>
              <w:rPr>
                <w:rFonts w:ascii="宋体" w:hAnsi="宋体"/>
                <w:color w:val="auto"/>
                <w:sz w:val="24"/>
                <w:highlight w:val="none"/>
              </w:rPr>
            </w:pPr>
          </w:p>
        </w:tc>
        <w:tc>
          <w:tcPr>
            <w:tcW w:w="788" w:type="dxa"/>
            <w:vAlign w:val="center"/>
          </w:tcPr>
          <w:p>
            <w:pPr>
              <w:adjustRightInd w:val="0"/>
              <w:snapToGrid w:val="0"/>
              <w:jc w:val="center"/>
              <w:rPr>
                <w:rFonts w:ascii="宋体" w:hAnsi="宋体"/>
                <w:color w:val="auto"/>
                <w:sz w:val="24"/>
                <w:highlight w:val="none"/>
              </w:rPr>
            </w:pPr>
          </w:p>
        </w:tc>
      </w:tr>
    </w:tbl>
    <w:p>
      <w:pPr>
        <w:tabs>
          <w:tab w:val="left" w:pos="1800"/>
          <w:tab w:val="left" w:pos="5580"/>
        </w:tabs>
        <w:jc w:val="left"/>
        <w:rPr>
          <w:rFonts w:ascii="宋体" w:hAnsi="宋体"/>
          <w:color w:val="auto"/>
          <w:sz w:val="24"/>
          <w:highlight w:val="none"/>
        </w:rPr>
      </w:pPr>
    </w:p>
    <w:p>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p>
    <w:p>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w:t>
      </w:r>
    </w:p>
    <w:p>
      <w:pPr>
        <w:spacing w:line="360" w:lineRule="auto"/>
        <w:rPr>
          <w:rFonts w:ascii="宋体" w:hAnsi="宋体"/>
          <w:color w:val="auto"/>
          <w:sz w:val="24"/>
          <w:szCs w:val="20"/>
          <w:highlight w:val="none"/>
        </w:rPr>
      </w:pP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pPr>
        <w:autoSpaceDE w:val="0"/>
        <w:autoSpaceDN w:val="0"/>
        <w:adjustRightInd w:val="0"/>
        <w:snapToGrid w:val="0"/>
        <w:spacing w:before="25" w:after="25"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szCs w:val="20"/>
          <w:highlight w:val="none"/>
        </w:rPr>
        <w:t xml:space="preserve">日期：_____年______月______日   </w:t>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br w:type="page"/>
      </w:r>
      <w:r>
        <w:rPr>
          <w:rFonts w:hint="eastAsia" w:ascii="宋体" w:hAnsi="宋体"/>
          <w:color w:val="auto"/>
          <w:sz w:val="24"/>
          <w:szCs w:val="20"/>
          <w:highlight w:val="none"/>
        </w:rPr>
        <w:t>6</w:t>
      </w:r>
      <w:r>
        <w:rPr>
          <w:rFonts w:ascii="宋体" w:hAnsi="宋体"/>
          <w:color w:val="auto"/>
          <w:sz w:val="24"/>
          <w:szCs w:val="20"/>
          <w:highlight w:val="none"/>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color w:val="auto"/>
          <w:sz w:val="24"/>
          <w:szCs w:val="20"/>
          <w:highlight w:val="none"/>
        </w:rPr>
        <w:t>采购需求偏离表（实质性格式）</w:t>
      </w:r>
    </w:p>
    <w:p>
      <w:pPr>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采购需求偏离表</w:t>
      </w:r>
    </w:p>
    <w:p>
      <w:pPr>
        <w:tabs>
          <w:tab w:val="left" w:pos="1800"/>
          <w:tab w:val="left" w:pos="5580"/>
        </w:tabs>
        <w:spacing w:line="360" w:lineRule="auto"/>
        <w:ind w:firstLine="360" w:firstLineChars="150"/>
        <w:jc w:val="left"/>
        <w:rPr>
          <w:rFonts w:ascii="宋体" w:hAnsi="宋体"/>
          <w:color w:val="auto"/>
          <w:sz w:val="24"/>
          <w:highlight w:val="none"/>
          <w:u w:val="single"/>
        </w:rPr>
      </w:pPr>
      <w:r>
        <w:rPr>
          <w:rFonts w:ascii="宋体" w:hAnsi="宋体"/>
          <w:color w:val="auto"/>
          <w:sz w:val="24"/>
          <w:highlight w:val="none"/>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hint="eastAsia" w:ascii="宋体" w:hAnsi="宋体"/>
                <w:b/>
                <w:color w:val="auto"/>
                <w:sz w:val="24"/>
                <w:highlight w:val="none"/>
                <w:lang w:val="en-US" w:eastAsia="zh-CN"/>
              </w:rPr>
              <w:t>第四章采购需求</w:t>
            </w:r>
            <w:r>
              <w:rPr>
                <w:rFonts w:ascii="宋体" w:hAnsi="宋体"/>
                <w:b/>
                <w:color w:val="auto"/>
                <w:sz w:val="24"/>
                <w:highlight w:val="none"/>
              </w:rPr>
              <w:t>的偏离情况（请进行勾选）：</w:t>
            </w:r>
          </w:p>
          <w:p>
            <w:pPr>
              <w:adjustRightInd w:val="0"/>
              <w:snapToGrid w:val="0"/>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pPr>
              <w:adjustRightInd w:val="0"/>
              <w:snapToGrid w:val="0"/>
              <w:jc w:val="both"/>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482"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比选文件</w:t>
            </w:r>
            <w:r>
              <w:rPr>
                <w:rFonts w:ascii="宋体" w:hAnsi="宋体"/>
                <w:color w:val="auto"/>
                <w:sz w:val="24"/>
                <w:highlight w:val="none"/>
              </w:rPr>
              <w:t>条目号(页码)</w:t>
            </w:r>
          </w:p>
        </w:tc>
        <w:tc>
          <w:tcPr>
            <w:tcW w:w="2384"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比选文件</w:t>
            </w:r>
            <w:r>
              <w:rPr>
                <w:rFonts w:ascii="宋体" w:hAnsi="宋体"/>
                <w:color w:val="auto"/>
                <w:sz w:val="24"/>
                <w:highlight w:val="none"/>
              </w:rPr>
              <w:t>要求</w:t>
            </w:r>
          </w:p>
        </w:tc>
        <w:tc>
          <w:tcPr>
            <w:tcW w:w="2126"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响应内容</w:t>
            </w:r>
          </w:p>
        </w:tc>
        <w:tc>
          <w:tcPr>
            <w:tcW w:w="1875"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1009"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auto"/>
                <w:sz w:val="24"/>
                <w:highlight w:val="none"/>
              </w:rPr>
            </w:pPr>
          </w:p>
        </w:tc>
        <w:tc>
          <w:tcPr>
            <w:tcW w:w="1482" w:type="dxa"/>
            <w:vAlign w:val="center"/>
          </w:tcPr>
          <w:p>
            <w:pPr>
              <w:adjustRightInd w:val="0"/>
              <w:snapToGrid w:val="0"/>
              <w:jc w:val="center"/>
              <w:rPr>
                <w:rFonts w:ascii="宋体" w:hAnsi="宋体"/>
                <w:color w:val="auto"/>
                <w:sz w:val="24"/>
                <w:highlight w:val="none"/>
              </w:rPr>
            </w:pPr>
          </w:p>
        </w:tc>
        <w:tc>
          <w:tcPr>
            <w:tcW w:w="2384" w:type="dxa"/>
            <w:vAlign w:val="center"/>
          </w:tcPr>
          <w:p>
            <w:pPr>
              <w:adjustRightInd w:val="0"/>
              <w:snapToGrid w:val="0"/>
              <w:jc w:val="center"/>
              <w:rPr>
                <w:rFonts w:ascii="宋体" w:hAnsi="宋体"/>
                <w:color w:val="auto"/>
                <w:sz w:val="24"/>
                <w:highlight w:val="none"/>
              </w:rPr>
            </w:pPr>
          </w:p>
        </w:tc>
        <w:tc>
          <w:tcPr>
            <w:tcW w:w="2126" w:type="dxa"/>
            <w:vAlign w:val="center"/>
          </w:tcPr>
          <w:p>
            <w:pPr>
              <w:adjustRightInd w:val="0"/>
              <w:snapToGrid w:val="0"/>
              <w:jc w:val="center"/>
              <w:rPr>
                <w:rFonts w:ascii="宋体" w:hAnsi="宋体"/>
                <w:color w:val="auto"/>
                <w:sz w:val="24"/>
                <w:highlight w:val="none"/>
              </w:rPr>
            </w:pPr>
          </w:p>
        </w:tc>
        <w:tc>
          <w:tcPr>
            <w:tcW w:w="1875" w:type="dxa"/>
            <w:vAlign w:val="center"/>
          </w:tcPr>
          <w:p>
            <w:pPr>
              <w:adjustRightInd w:val="0"/>
              <w:snapToGrid w:val="0"/>
              <w:jc w:val="center"/>
              <w:rPr>
                <w:rFonts w:ascii="宋体" w:hAnsi="宋体"/>
                <w:color w:val="auto"/>
                <w:sz w:val="24"/>
                <w:highlight w:val="none"/>
              </w:rPr>
            </w:pPr>
          </w:p>
        </w:tc>
        <w:tc>
          <w:tcPr>
            <w:tcW w:w="1009" w:type="dxa"/>
            <w:vAlign w:val="center"/>
          </w:tcPr>
          <w:p>
            <w:pPr>
              <w:adjustRightInd w:val="0"/>
              <w:snapToGrid w:val="0"/>
              <w:jc w:val="center"/>
              <w:rPr>
                <w:rFonts w:ascii="宋体" w:hAnsi="宋体"/>
                <w:color w:val="auto"/>
                <w:sz w:val="24"/>
                <w:highlight w:val="none"/>
              </w:rPr>
            </w:pPr>
          </w:p>
        </w:tc>
      </w:tr>
    </w:tbl>
    <w:p>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pPr>
        <w:tabs>
          <w:tab w:val="left" w:pos="1800"/>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.对</w:t>
      </w:r>
      <w:r>
        <w:rPr>
          <w:rFonts w:hint="eastAsia" w:ascii="宋体" w:hAnsi="宋体"/>
          <w:color w:val="auto"/>
          <w:sz w:val="24"/>
          <w:highlight w:val="none"/>
        </w:rPr>
        <w:t>比选文件</w:t>
      </w:r>
      <w:r>
        <w:rPr>
          <w:rFonts w:ascii="宋体" w:hAnsi="宋体"/>
          <w:color w:val="auto"/>
          <w:sz w:val="24"/>
          <w:highlight w:val="none"/>
        </w:rPr>
        <w:t>中的所有商务、技术要求，除本表所列明的所有偏离外，均视作供应商已对之理解和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r>
        <w:rPr>
          <w:rFonts w:hint="eastAsia" w:ascii="宋体" w:hAnsi="宋体"/>
          <w:color w:val="auto"/>
          <w:sz w:val="24"/>
          <w:highlight w:val="none"/>
        </w:rPr>
        <w:t>此表中若无任何文字说明，内容为空白，</w:t>
      </w:r>
      <w:r>
        <w:rPr>
          <w:rFonts w:hint="eastAsia" w:ascii="宋体" w:hAnsi="宋体"/>
          <w:b/>
          <w:color w:val="auto"/>
          <w:sz w:val="24"/>
          <w:highlight w:val="none"/>
        </w:rPr>
        <w:t>响应无效。</w:t>
      </w:r>
    </w:p>
    <w:p>
      <w:pPr>
        <w:tabs>
          <w:tab w:val="left" w:pos="1800"/>
          <w:tab w:val="left" w:pos="5580"/>
        </w:tabs>
        <w:spacing w:line="360" w:lineRule="auto"/>
        <w:jc w:val="left"/>
        <w:rPr>
          <w:rFonts w:ascii="宋体" w:hAnsi="宋体"/>
          <w:color w:val="auto"/>
          <w:sz w:val="24"/>
          <w:highlight w:val="none"/>
        </w:rPr>
      </w:pPr>
      <w:r>
        <w:rPr>
          <w:rFonts w:ascii="宋体" w:hAnsi="宋体"/>
          <w:color w:val="auto"/>
          <w:sz w:val="24"/>
          <w:highlight w:val="none"/>
        </w:rPr>
        <w:t>2.</w:t>
      </w:r>
      <w:r>
        <w:rPr>
          <w:rFonts w:hint="eastAsia"/>
          <w:color w:val="auto"/>
          <w:highlight w:val="none"/>
        </w:rPr>
        <w:t xml:space="preserve"> </w:t>
      </w:r>
      <w:r>
        <w:rPr>
          <w:rFonts w:hint="eastAsia" w:ascii="宋体" w:hAnsi="宋体"/>
          <w:color w:val="auto"/>
          <w:sz w:val="24"/>
          <w:highlight w:val="none"/>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pPr>
        <w:autoSpaceDE w:val="0"/>
        <w:autoSpaceDN w:val="0"/>
        <w:adjustRightInd w:val="0"/>
        <w:snapToGrid w:val="0"/>
        <w:spacing w:before="25" w:after="25"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szCs w:val="20"/>
          <w:highlight w:val="none"/>
        </w:rPr>
        <w:t xml:space="preserve">日期：_____年______月______日   </w:t>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br w:type="page"/>
      </w:r>
      <w:r>
        <w:rPr>
          <w:rFonts w:hint="eastAsia" w:ascii="宋体" w:hAnsi="宋体"/>
          <w:color w:val="auto"/>
          <w:sz w:val="24"/>
          <w:szCs w:val="20"/>
          <w:highlight w:val="none"/>
        </w:rPr>
        <w:t>7</w:t>
      </w:r>
      <w:r>
        <w:rPr>
          <w:rFonts w:ascii="宋体" w:hAnsi="宋体"/>
          <w:color w:val="auto"/>
          <w:sz w:val="24"/>
          <w:szCs w:val="20"/>
          <w:highlight w:val="none"/>
        </w:rPr>
        <w:t xml:space="preserve">  中小企业声明函</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说明：</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color w:val="auto"/>
          <w:sz w:val="24"/>
          <w:highlight w:val="none"/>
        </w:rPr>
      </w:pPr>
      <w:r>
        <w:rPr>
          <w:rFonts w:hint="eastAsia" w:ascii="宋体" w:hAnsi="宋体"/>
          <w:color w:val="auto"/>
          <w:sz w:val="24"/>
          <w:highlight w:val="none"/>
        </w:rPr>
        <w:t>5）后附《中小企业划型标准规定》</w:t>
      </w:r>
    </w:p>
    <w:p>
      <w:pPr>
        <w:widowControl/>
        <w:jc w:val="left"/>
        <w:rPr>
          <w:rFonts w:ascii="宋体" w:hAnsi="宋体"/>
          <w:b/>
          <w:bCs/>
          <w:color w:val="auto"/>
          <w:sz w:val="24"/>
          <w:highlight w:val="none"/>
        </w:rPr>
      </w:pPr>
      <w:r>
        <w:rPr>
          <w:rFonts w:ascii="宋体" w:hAnsi="宋体"/>
          <w:b/>
          <w:bCs/>
          <w:color w:val="auto"/>
          <w:sz w:val="24"/>
          <w:highlight w:val="none"/>
        </w:rPr>
        <w:br w:type="page"/>
      </w:r>
    </w:p>
    <w:p>
      <w:pPr>
        <w:spacing w:before="240" w:beforeLines="100" w:after="240" w:afterLines="100" w:line="360" w:lineRule="auto"/>
        <w:jc w:val="center"/>
        <w:rPr>
          <w:rFonts w:ascii="宋体" w:hAnsi="宋体"/>
          <w:b/>
          <w:bCs/>
          <w:color w:val="auto"/>
          <w:sz w:val="36"/>
          <w:szCs w:val="36"/>
          <w:highlight w:val="none"/>
        </w:rPr>
      </w:pPr>
      <w:r>
        <w:rPr>
          <w:rFonts w:ascii="宋体" w:hAnsi="宋体"/>
          <w:b/>
          <w:bCs/>
          <w:color w:val="auto"/>
          <w:sz w:val="36"/>
          <w:szCs w:val="36"/>
          <w:highlight w:val="none"/>
        </w:rPr>
        <w:t>中小企业声明函（工程、服务）格式</w:t>
      </w:r>
    </w:p>
    <w:p>
      <w:pPr>
        <w:autoSpaceDE w:val="0"/>
        <w:autoSpaceDN w:val="0"/>
        <w:spacing w:line="360" w:lineRule="auto"/>
        <w:ind w:left="220" w:right="415" w:firstLine="640"/>
        <w:jc w:val="left"/>
        <w:rPr>
          <w:rFonts w:ascii="宋体" w:hAnsi="宋体"/>
          <w:color w:val="auto"/>
          <w:kern w:val="0"/>
          <w:sz w:val="24"/>
          <w:highlight w:val="none"/>
        </w:rPr>
      </w:pPr>
      <w:r>
        <w:rPr>
          <w:rFonts w:ascii="宋体" w:hAnsi="宋体"/>
          <w:color w:val="auto"/>
          <w:kern w:val="0"/>
          <w:sz w:val="24"/>
          <w:highlight w:val="none"/>
        </w:rPr>
        <w:t>本公司（联合体）郑重声明，根据《政府采购促进中小企业发展管理办法》（财库﹝2020﹞46号）的规定，本公司（联合体）参加</w:t>
      </w:r>
      <w:r>
        <w:rPr>
          <w:rFonts w:ascii="宋体" w:hAnsi="宋体"/>
          <w:i/>
          <w:color w:val="auto"/>
          <w:kern w:val="0"/>
          <w:sz w:val="24"/>
          <w:highlight w:val="none"/>
          <w:u w:val="single"/>
        </w:rPr>
        <w:t>（单位名称）</w:t>
      </w:r>
      <w:r>
        <w:rPr>
          <w:rFonts w:ascii="宋体" w:hAnsi="宋体"/>
          <w:color w:val="auto"/>
          <w:kern w:val="0"/>
          <w:sz w:val="24"/>
          <w:highlight w:val="none"/>
        </w:rPr>
        <w:t>的</w:t>
      </w:r>
      <w:r>
        <w:rPr>
          <w:rFonts w:ascii="宋体" w:hAnsi="宋体"/>
          <w:i/>
          <w:color w:val="auto"/>
          <w:kern w:val="0"/>
          <w:sz w:val="24"/>
          <w:highlight w:val="none"/>
          <w:u w:val="single"/>
        </w:rPr>
        <w:t>（项目名称）</w:t>
      </w:r>
      <w:r>
        <w:rPr>
          <w:rFonts w:ascii="宋体" w:hAnsi="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52"/>
        </w:numPr>
        <w:tabs>
          <w:tab w:val="left" w:pos="1276"/>
          <w:tab w:val="left" w:pos="5005"/>
          <w:tab w:val="left" w:pos="7227"/>
        </w:tabs>
        <w:autoSpaceDE w:val="0"/>
        <w:autoSpaceDN w:val="0"/>
        <w:spacing w:line="360" w:lineRule="auto"/>
        <w:ind w:left="284" w:right="236" w:firstLine="576"/>
        <w:jc w:val="left"/>
        <w:rPr>
          <w:rFonts w:ascii="宋体" w:hAnsi="宋体"/>
          <w:color w:val="auto"/>
          <w:kern w:val="0"/>
          <w:sz w:val="24"/>
          <w:highlight w:val="none"/>
        </w:rPr>
      </w:pPr>
      <w:r>
        <w:rPr>
          <w:rFonts w:ascii="宋体" w:hAnsi="宋体"/>
          <w:i/>
          <w:color w:val="auto"/>
          <w:kern w:val="0"/>
          <w:sz w:val="24"/>
          <w:highlight w:val="none"/>
          <w:u w:val="single" w:color="000000"/>
        </w:rPr>
        <w:t>（标的名称）</w:t>
      </w:r>
      <w:r>
        <w:rPr>
          <w:rFonts w:ascii="宋体" w:hAnsi="宋体"/>
          <w:color w:val="auto"/>
          <w:kern w:val="0"/>
          <w:sz w:val="24"/>
          <w:highlight w:val="none"/>
        </w:rPr>
        <w:t>，属于</w:t>
      </w:r>
      <w:r>
        <w:rPr>
          <w:rFonts w:ascii="宋体" w:hAnsi="宋体"/>
          <w:i/>
          <w:color w:val="auto"/>
          <w:kern w:val="0"/>
          <w:sz w:val="24"/>
          <w:highlight w:val="none"/>
        </w:rPr>
        <w:t>（</w:t>
      </w:r>
      <w:r>
        <w:rPr>
          <w:rFonts w:ascii="宋体" w:hAnsi="宋体"/>
          <w:i/>
          <w:color w:val="auto"/>
          <w:kern w:val="0"/>
          <w:sz w:val="24"/>
          <w:highlight w:val="none"/>
          <w:u w:val="single" w:color="000000"/>
        </w:rPr>
        <w:t>采购文件中明确的所属行业）</w:t>
      </w:r>
      <w:r>
        <w:rPr>
          <w:rFonts w:ascii="宋体" w:hAnsi="宋体"/>
          <w:color w:val="auto"/>
          <w:kern w:val="0"/>
          <w:sz w:val="24"/>
          <w:highlight w:val="none"/>
        </w:rPr>
        <w:t>；承建（承接）企业为</w:t>
      </w:r>
      <w:r>
        <w:rPr>
          <w:rFonts w:ascii="宋体" w:hAnsi="宋体"/>
          <w:i/>
          <w:color w:val="auto"/>
          <w:kern w:val="0"/>
          <w:sz w:val="24"/>
          <w:highlight w:val="none"/>
          <w:u w:val="single"/>
        </w:rPr>
        <w:t>（企业名称）</w:t>
      </w:r>
      <w:r>
        <w:rPr>
          <w:rFonts w:ascii="宋体" w:hAnsi="宋体"/>
          <w:color w:val="auto"/>
          <w:kern w:val="0"/>
          <w:sz w:val="24"/>
          <w:highlight w:val="none"/>
        </w:rPr>
        <w:t>，从业人员</w:t>
      </w:r>
      <w:r>
        <w:rPr>
          <w:rFonts w:ascii="宋体" w:hAnsi="宋体"/>
          <w:color w:val="auto"/>
          <w:kern w:val="0"/>
          <w:sz w:val="24"/>
          <w:highlight w:val="none"/>
          <w:u w:val="single"/>
        </w:rPr>
        <w:tab/>
      </w:r>
      <w:r>
        <w:rPr>
          <w:rFonts w:ascii="宋体" w:hAnsi="宋体"/>
          <w:color w:val="auto"/>
          <w:kern w:val="0"/>
          <w:sz w:val="24"/>
          <w:highlight w:val="none"/>
        </w:rPr>
        <w:t>人，营业收入为</w:t>
      </w:r>
      <w:r>
        <w:rPr>
          <w:rFonts w:ascii="宋体" w:hAnsi="宋体"/>
          <w:color w:val="auto"/>
          <w:kern w:val="0"/>
          <w:sz w:val="24"/>
          <w:highlight w:val="none"/>
          <w:u w:val="single"/>
        </w:rPr>
        <w:tab/>
      </w:r>
      <w:r>
        <w:rPr>
          <w:rFonts w:ascii="宋体" w:hAnsi="宋体"/>
          <w:color w:val="auto"/>
          <w:kern w:val="0"/>
          <w:sz w:val="24"/>
          <w:highlight w:val="none"/>
        </w:rPr>
        <w:t>万元，资产总额为</w:t>
      </w:r>
      <w:r>
        <w:rPr>
          <w:rFonts w:ascii="宋体" w:hAnsi="宋体"/>
          <w:color w:val="auto"/>
          <w:kern w:val="0"/>
          <w:sz w:val="24"/>
          <w:highlight w:val="none"/>
          <w:u w:val="single"/>
        </w:rPr>
        <w:tab/>
      </w:r>
      <w:r>
        <w:rPr>
          <w:rFonts w:ascii="宋体" w:hAnsi="宋体"/>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color w:val="auto"/>
          <w:kern w:val="0"/>
          <w:position w:val="16"/>
          <w:sz w:val="24"/>
          <w:highlight w:val="none"/>
        </w:rPr>
        <w:t>1</w:t>
      </w:r>
      <w:r>
        <w:rPr>
          <w:rFonts w:ascii="宋体" w:hAnsi="宋体"/>
          <w:color w:val="auto"/>
          <w:kern w:val="0"/>
          <w:position w:val="16"/>
          <w:sz w:val="24"/>
          <w:highlight w:val="none"/>
        </w:rPr>
        <w:fldChar w:fldCharType="end"/>
      </w:r>
      <w:r>
        <w:rPr>
          <w:rFonts w:ascii="宋体" w:hAnsi="宋体"/>
          <w:color w:val="auto"/>
          <w:kern w:val="0"/>
          <w:sz w:val="24"/>
          <w:highlight w:val="none"/>
        </w:rPr>
        <w:t>，属于</w:t>
      </w:r>
      <w:r>
        <w:rPr>
          <w:rFonts w:ascii="宋体" w:hAnsi="宋体"/>
          <w:i/>
          <w:color w:val="auto"/>
          <w:kern w:val="0"/>
          <w:sz w:val="24"/>
          <w:highlight w:val="none"/>
          <w:u w:val="single"/>
        </w:rPr>
        <w:t>（中型企业、小型企业、微型企业）</w:t>
      </w:r>
      <w:r>
        <w:rPr>
          <w:rFonts w:ascii="宋体" w:hAnsi="宋体"/>
          <w:color w:val="auto"/>
          <w:kern w:val="0"/>
          <w:sz w:val="24"/>
          <w:highlight w:val="none"/>
        </w:rPr>
        <w:t>；</w:t>
      </w:r>
    </w:p>
    <w:p>
      <w:pPr>
        <w:numPr>
          <w:ilvl w:val="0"/>
          <w:numId w:val="52"/>
        </w:numPr>
        <w:tabs>
          <w:tab w:val="left" w:pos="1243"/>
          <w:tab w:val="left" w:pos="1806"/>
          <w:tab w:val="left" w:pos="5005"/>
          <w:tab w:val="left" w:pos="7213"/>
        </w:tabs>
        <w:autoSpaceDE w:val="0"/>
        <w:autoSpaceDN w:val="0"/>
        <w:spacing w:line="360" w:lineRule="auto"/>
        <w:ind w:left="205" w:right="258" w:firstLine="655"/>
        <w:jc w:val="left"/>
        <w:rPr>
          <w:rFonts w:ascii="宋体" w:hAnsi="宋体"/>
          <w:color w:val="auto"/>
          <w:kern w:val="0"/>
          <w:sz w:val="24"/>
          <w:highlight w:val="none"/>
        </w:rPr>
      </w:pPr>
      <w:r>
        <w:rPr>
          <w:rFonts w:ascii="宋体" w:hAnsi="宋体"/>
          <w:i/>
          <w:color w:val="auto"/>
          <w:kern w:val="0"/>
          <w:sz w:val="24"/>
          <w:highlight w:val="none"/>
          <w:u w:val="single" w:color="000000"/>
        </w:rPr>
        <w:t>（标的名称）</w:t>
      </w:r>
      <w:r>
        <w:rPr>
          <w:rFonts w:ascii="宋体" w:hAnsi="宋体"/>
          <w:color w:val="auto"/>
          <w:kern w:val="0"/>
          <w:sz w:val="24"/>
          <w:highlight w:val="none"/>
        </w:rPr>
        <w:t>，属于</w:t>
      </w:r>
      <w:r>
        <w:rPr>
          <w:rFonts w:ascii="宋体" w:hAnsi="宋体"/>
          <w:i/>
          <w:color w:val="auto"/>
          <w:kern w:val="0"/>
          <w:sz w:val="24"/>
          <w:highlight w:val="none"/>
        </w:rPr>
        <w:t>（</w:t>
      </w:r>
      <w:r>
        <w:rPr>
          <w:rFonts w:ascii="宋体" w:hAnsi="宋体"/>
          <w:i/>
          <w:color w:val="auto"/>
          <w:kern w:val="0"/>
          <w:sz w:val="24"/>
          <w:highlight w:val="none"/>
          <w:u w:val="single" w:color="000000"/>
        </w:rPr>
        <w:t>采购文件中明确的所属行业）</w:t>
      </w:r>
      <w:r>
        <w:rPr>
          <w:rFonts w:ascii="宋体" w:hAnsi="宋体"/>
          <w:color w:val="auto"/>
          <w:kern w:val="0"/>
          <w:sz w:val="24"/>
          <w:highlight w:val="none"/>
        </w:rPr>
        <w:t>；承建（承接）企业为</w:t>
      </w:r>
      <w:r>
        <w:rPr>
          <w:rFonts w:ascii="宋体" w:hAnsi="宋体"/>
          <w:i/>
          <w:color w:val="auto"/>
          <w:kern w:val="0"/>
          <w:sz w:val="24"/>
          <w:highlight w:val="none"/>
          <w:u w:val="single" w:color="000000"/>
        </w:rPr>
        <w:t>（企业名称）</w:t>
      </w:r>
      <w:r>
        <w:rPr>
          <w:rFonts w:ascii="宋体" w:hAnsi="宋体"/>
          <w:color w:val="auto"/>
          <w:kern w:val="0"/>
          <w:sz w:val="24"/>
          <w:highlight w:val="none"/>
        </w:rPr>
        <w:t>，从业人员</w:t>
      </w:r>
      <w:r>
        <w:rPr>
          <w:rFonts w:ascii="宋体" w:hAnsi="宋体"/>
          <w:color w:val="auto"/>
          <w:kern w:val="0"/>
          <w:sz w:val="24"/>
          <w:highlight w:val="none"/>
          <w:u w:val="single" w:color="000000"/>
        </w:rPr>
        <w:tab/>
      </w:r>
      <w:r>
        <w:rPr>
          <w:rFonts w:ascii="宋体" w:hAnsi="宋体"/>
          <w:color w:val="auto"/>
          <w:kern w:val="0"/>
          <w:sz w:val="24"/>
          <w:highlight w:val="none"/>
        </w:rPr>
        <w:t>人，营业收入为</w:t>
      </w:r>
      <w:r>
        <w:rPr>
          <w:rFonts w:ascii="宋体" w:hAnsi="宋体"/>
          <w:color w:val="auto"/>
          <w:kern w:val="0"/>
          <w:sz w:val="24"/>
          <w:highlight w:val="none"/>
          <w:u w:val="single" w:color="000000"/>
        </w:rPr>
        <w:tab/>
      </w:r>
      <w:r>
        <w:rPr>
          <w:rFonts w:ascii="宋体" w:hAnsi="宋体"/>
          <w:color w:val="auto"/>
          <w:kern w:val="0"/>
          <w:sz w:val="24"/>
          <w:highlight w:val="none"/>
        </w:rPr>
        <w:t>万元，资产总额为</w:t>
      </w:r>
      <w:r>
        <w:rPr>
          <w:rFonts w:ascii="宋体" w:hAnsi="宋体"/>
          <w:color w:val="auto"/>
          <w:kern w:val="0"/>
          <w:sz w:val="24"/>
          <w:highlight w:val="none"/>
          <w:u w:val="single" w:color="000000"/>
        </w:rPr>
        <w:tab/>
      </w:r>
      <w:r>
        <w:rPr>
          <w:rFonts w:ascii="宋体" w:hAnsi="宋体"/>
          <w:color w:val="auto"/>
          <w:kern w:val="0"/>
          <w:sz w:val="24"/>
          <w:highlight w:val="none"/>
        </w:rPr>
        <w:t>万元，属于</w:t>
      </w:r>
      <w:r>
        <w:rPr>
          <w:rFonts w:ascii="宋体" w:hAnsi="宋体"/>
          <w:i/>
          <w:color w:val="auto"/>
          <w:kern w:val="0"/>
          <w:sz w:val="24"/>
          <w:highlight w:val="none"/>
          <w:u w:val="single" w:color="000000"/>
        </w:rPr>
        <w:t>（中型企业、小型企业、微型企业）</w:t>
      </w:r>
      <w:r>
        <w:rPr>
          <w:rFonts w:ascii="宋体" w:hAnsi="宋体"/>
          <w:color w:val="auto"/>
          <w:kern w:val="0"/>
          <w:sz w:val="24"/>
          <w:highlight w:val="none"/>
        </w:rPr>
        <w:t>；</w:t>
      </w:r>
    </w:p>
    <w:p>
      <w:pPr>
        <w:autoSpaceDE w:val="0"/>
        <w:autoSpaceDN w:val="0"/>
        <w:spacing w:line="360" w:lineRule="auto"/>
        <w:ind w:left="860"/>
        <w:jc w:val="left"/>
        <w:rPr>
          <w:rFonts w:ascii="宋体" w:hAnsi="宋体"/>
          <w:color w:val="auto"/>
          <w:kern w:val="0"/>
          <w:sz w:val="24"/>
          <w:highlight w:val="none"/>
        </w:rPr>
      </w:pPr>
      <w:r>
        <w:rPr>
          <w:rFonts w:ascii="宋体" w:hAnsi="宋体"/>
          <w:color w:val="auto"/>
          <w:kern w:val="0"/>
          <w:sz w:val="24"/>
          <w:highlight w:val="none"/>
        </w:rPr>
        <w:t>……</w:t>
      </w:r>
    </w:p>
    <w:p>
      <w:pPr>
        <w:autoSpaceDE w:val="0"/>
        <w:autoSpaceDN w:val="0"/>
        <w:spacing w:line="360" w:lineRule="auto"/>
        <w:ind w:left="220" w:right="417" w:firstLine="645"/>
        <w:rPr>
          <w:rFonts w:ascii="宋体" w:hAnsi="宋体"/>
          <w:color w:val="auto"/>
          <w:kern w:val="0"/>
          <w:sz w:val="24"/>
          <w:highlight w:val="none"/>
        </w:rPr>
      </w:pPr>
      <w:r>
        <w:rPr>
          <w:rFonts w:ascii="宋体" w:hAnsi="宋体"/>
          <w:color w:val="auto"/>
          <w:kern w:val="0"/>
          <w:sz w:val="24"/>
          <w:highlight w:val="none"/>
        </w:rPr>
        <w:t>以上企业，不属于大企业的分支机构，不存在控股股东为大企业的情形，也不存在与大企业的负责人为同一人的情形。</w:t>
      </w:r>
    </w:p>
    <w:p>
      <w:pPr>
        <w:spacing w:line="360" w:lineRule="auto"/>
        <w:ind w:firstLine="504"/>
        <w:rPr>
          <w:rFonts w:ascii="宋体" w:hAnsi="宋体"/>
          <w:color w:val="auto"/>
          <w:spacing w:val="6"/>
          <w:sz w:val="24"/>
          <w:highlight w:val="none"/>
        </w:rPr>
      </w:pPr>
      <w:r>
        <w:rPr>
          <w:rFonts w:ascii="宋体" w:hAnsi="宋体"/>
          <w:color w:val="auto"/>
          <w:kern w:val="0"/>
          <w:sz w:val="24"/>
          <w:highlight w:val="none"/>
        </w:rPr>
        <w:t>本企业对上述声明内容的真实性负责。如有虚假，将依法承担相应责任。</w:t>
      </w:r>
    </w:p>
    <w:p>
      <w:pPr>
        <w:spacing w:line="360" w:lineRule="auto"/>
        <w:ind w:firstLine="504"/>
        <w:rPr>
          <w:rFonts w:ascii="宋体" w:hAnsi="宋体"/>
          <w:color w:val="auto"/>
          <w:spacing w:val="6"/>
          <w:sz w:val="24"/>
          <w:highlight w:val="none"/>
        </w:rPr>
      </w:pPr>
    </w:p>
    <w:p>
      <w:pPr>
        <w:spacing w:line="360" w:lineRule="auto"/>
        <w:ind w:right="360" w:firstLine="480"/>
        <w:jc w:val="right"/>
        <w:rPr>
          <w:rFonts w:ascii="宋体" w:hAnsi="宋体"/>
          <w:color w:val="auto"/>
          <w:sz w:val="24"/>
          <w:highlight w:val="none"/>
        </w:rPr>
      </w:pPr>
    </w:p>
    <w:p>
      <w:pPr>
        <w:spacing w:line="360" w:lineRule="auto"/>
        <w:ind w:right="360" w:firstLine="480"/>
        <w:jc w:val="right"/>
        <w:rPr>
          <w:rFonts w:ascii="宋体" w:hAnsi="宋体"/>
          <w:color w:val="auto"/>
          <w:sz w:val="24"/>
          <w:highlight w:val="none"/>
        </w:rPr>
      </w:pPr>
      <w:r>
        <w:rPr>
          <w:rFonts w:ascii="宋体" w:hAnsi="宋体"/>
          <w:color w:val="auto"/>
          <w:sz w:val="24"/>
          <w:highlight w:val="none"/>
        </w:rPr>
        <w:t>企业名称（盖章）：________</w:t>
      </w:r>
    </w:p>
    <w:p>
      <w:pPr>
        <w:spacing w:line="360" w:lineRule="auto"/>
        <w:ind w:right="360" w:firstLine="480"/>
        <w:jc w:val="right"/>
        <w:rPr>
          <w:rFonts w:ascii="宋体" w:hAnsi="宋体"/>
          <w:color w:val="auto"/>
          <w:sz w:val="24"/>
          <w:highlight w:val="none"/>
        </w:rPr>
      </w:pPr>
      <w:r>
        <w:rPr>
          <w:rFonts w:ascii="宋体" w:hAnsi="宋体"/>
          <w:color w:val="auto"/>
          <w:sz w:val="24"/>
          <w:highlight w:val="none"/>
        </w:rPr>
        <w:t>日 期：________</w:t>
      </w:r>
    </w:p>
    <w:p>
      <w:pPr>
        <w:spacing w:line="360" w:lineRule="auto"/>
        <w:ind w:right="360" w:firstLine="480"/>
        <w:jc w:val="right"/>
        <w:rPr>
          <w:rFonts w:ascii="宋体" w:hAnsi="宋体"/>
          <w:color w:val="auto"/>
          <w:sz w:val="24"/>
          <w:highlight w:val="none"/>
        </w:rPr>
      </w:pPr>
    </w:p>
    <w:p>
      <w:pPr>
        <w:adjustRightInd w:val="0"/>
        <w:snapToGrid w:val="0"/>
        <w:jc w:val="left"/>
        <w:rPr>
          <w:rFonts w:ascii="宋体" w:hAnsi="宋体"/>
          <w:color w:val="auto"/>
          <w:sz w:val="24"/>
          <w:szCs w:val="21"/>
          <w:highlight w:val="none"/>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auto"/>
                <w:szCs w:val="21"/>
                <w:highlight w:val="none"/>
              </w:rPr>
            </w:pPr>
            <w:r>
              <w:rPr>
                <w:rFonts w:ascii="宋体" w:hAnsi="宋体"/>
                <w:color w:val="auto"/>
                <w:szCs w:val="21"/>
                <w:highlight w:val="none"/>
                <w:vertAlign w:val="superscript"/>
              </w:rPr>
              <w:t>1</w:t>
            </w:r>
            <w:r>
              <w:rPr>
                <w:rFonts w:ascii="宋体" w:hAnsi="宋体"/>
                <w:color w:val="auto"/>
                <w:szCs w:val="21"/>
                <w:highlight w:val="none"/>
              </w:rPr>
              <w:t>从业人员、营业收入、资产总额填报上一年度数据，无上一年度数据的新成立企业可不填报。</w:t>
            </w:r>
          </w:p>
        </w:tc>
      </w:tr>
    </w:tbl>
    <w:p>
      <w:pPr>
        <w:adjustRightInd w:val="0"/>
        <w:snapToGrid w:val="0"/>
        <w:jc w:val="left"/>
        <w:rPr>
          <w:rFonts w:ascii="宋体" w:hAnsi="宋体"/>
          <w:color w:val="auto"/>
          <w:szCs w:val="21"/>
          <w:highlight w:val="none"/>
          <w:vertAlign w:val="superscript"/>
        </w:rPr>
      </w:pPr>
    </w:p>
    <w:p>
      <w:pPr>
        <w:spacing w:line="360" w:lineRule="auto"/>
        <w:ind w:right="360" w:firstLine="480"/>
        <w:jc w:val="right"/>
        <w:rPr>
          <w:rFonts w:ascii="宋体" w:hAnsi="宋体"/>
          <w:color w:val="auto"/>
          <w:sz w:val="24"/>
          <w:highlight w:val="none"/>
        </w:rPr>
      </w:pPr>
    </w:p>
    <w:p>
      <w:pPr>
        <w:spacing w:line="360" w:lineRule="auto"/>
        <w:ind w:right="360" w:firstLine="480"/>
        <w:jc w:val="right"/>
        <w:rPr>
          <w:rFonts w:ascii="宋体" w:hAnsi="宋体"/>
          <w:color w:val="auto"/>
          <w:sz w:val="24"/>
          <w:highlight w:val="none"/>
        </w:rPr>
      </w:pP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br w:type="page"/>
      </w:r>
    </w:p>
    <w:p>
      <w:pPr>
        <w:spacing w:before="240" w:beforeLines="100" w:after="240" w:afterLines="100" w:line="360" w:lineRule="auto"/>
        <w:jc w:val="center"/>
        <w:rPr>
          <w:rFonts w:ascii="宋体" w:hAnsi="宋体"/>
          <w:color w:val="auto"/>
          <w:sz w:val="36"/>
          <w:szCs w:val="36"/>
          <w:highlight w:val="none"/>
        </w:rPr>
      </w:pPr>
      <w:r>
        <w:rPr>
          <w:rFonts w:ascii="宋体" w:hAnsi="宋体"/>
          <w:b/>
          <w:bCs/>
          <w:color w:val="auto"/>
          <w:sz w:val="36"/>
          <w:szCs w:val="36"/>
          <w:highlight w:val="none"/>
        </w:rPr>
        <w:t>残疾人福利性单位声明函格式</w:t>
      </w:r>
      <w:r>
        <w:rPr>
          <w:rFonts w:ascii="宋体" w:hAnsi="宋体"/>
          <w:color w:val="auto"/>
          <w:sz w:val="36"/>
          <w:szCs w:val="36"/>
          <w:highlight w:val="none"/>
        </w:rPr>
        <w:t xml:space="preserve"> </w:t>
      </w:r>
    </w:p>
    <w:p>
      <w:pPr>
        <w:spacing w:line="588"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pPr>
        <w:spacing w:line="588" w:lineRule="exact"/>
        <w:ind w:firstLine="482"/>
        <w:rPr>
          <w:rFonts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pPr>
        <w:spacing w:line="588" w:lineRule="exact"/>
        <w:ind w:firstLine="482"/>
        <w:rPr>
          <w:rFonts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pPr>
        <w:spacing w:line="588" w:lineRule="exact"/>
        <w:ind w:firstLine="504" w:firstLineChars="200"/>
        <w:rPr>
          <w:rFonts w:ascii="宋体" w:hAnsi="宋体"/>
          <w:color w:val="auto"/>
          <w:spacing w:val="6"/>
          <w:sz w:val="24"/>
          <w:highlight w:val="none"/>
        </w:rPr>
      </w:pPr>
    </w:p>
    <w:p>
      <w:pPr>
        <w:spacing w:line="588" w:lineRule="exact"/>
        <w:ind w:firstLine="504" w:firstLineChars="200"/>
        <w:rPr>
          <w:rFonts w:ascii="宋体" w:hAnsi="宋体"/>
          <w:color w:val="auto"/>
          <w:spacing w:val="6"/>
          <w:sz w:val="24"/>
          <w:highlight w:val="none"/>
        </w:rPr>
      </w:pPr>
    </w:p>
    <w:p>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单位名称（盖章）：</w:t>
      </w:r>
    </w:p>
    <w:p>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日  期：</w:t>
      </w:r>
    </w:p>
    <w:p>
      <w:pPr>
        <w:spacing w:line="360" w:lineRule="auto"/>
        <w:outlineLvl w:val="2"/>
        <w:rPr>
          <w:rFonts w:ascii="宋体" w:hAnsi="宋体"/>
          <w:color w:val="auto"/>
          <w:sz w:val="24"/>
          <w:szCs w:val="20"/>
          <w:highlight w:val="none"/>
        </w:rPr>
      </w:pPr>
      <w:r>
        <w:rPr>
          <w:rFonts w:ascii="宋体" w:hAnsi="宋体"/>
          <w:color w:val="auto"/>
          <w:spacing w:val="6"/>
          <w:sz w:val="24"/>
          <w:highlight w:val="none"/>
        </w:rPr>
        <w:br w:type="page"/>
      </w:r>
    </w:p>
    <w:p>
      <w:pPr>
        <w:spacing w:before="240" w:beforeLines="100" w:after="240" w:afterLines="100" w:line="360" w:lineRule="auto"/>
        <w:jc w:val="center"/>
        <w:rPr>
          <w:rFonts w:ascii="宋体" w:hAnsi="宋体"/>
          <w:b/>
          <w:bCs/>
          <w:color w:val="auto"/>
          <w:sz w:val="36"/>
          <w:szCs w:val="36"/>
          <w:highlight w:val="none"/>
        </w:rPr>
      </w:pPr>
      <w:r>
        <w:rPr>
          <w:b/>
          <w:bCs/>
          <w:color w:val="auto"/>
          <w:sz w:val="36"/>
          <w:szCs w:val="36"/>
          <w:highlight w:val="none"/>
        </w:rPr>
        <w:t>中小企业划型标准规定</w:t>
      </w:r>
    </w:p>
    <w:p>
      <w:pPr>
        <w:pStyle w:val="23"/>
        <w:spacing w:line="360" w:lineRule="auto"/>
        <w:rPr>
          <w:rFonts w:hint="default" w:hAnsi="宋体"/>
          <w:color w:val="auto"/>
          <w:sz w:val="24"/>
          <w:szCs w:val="24"/>
          <w:highlight w:val="none"/>
        </w:rPr>
      </w:pPr>
      <w:r>
        <w:rPr>
          <w:rFonts w:hAnsi="宋体"/>
          <w:color w:val="auto"/>
          <w:sz w:val="24"/>
          <w:szCs w:val="24"/>
          <w:highlight w:val="none"/>
        </w:rPr>
        <w:t>　　一、根据《中华人民共和国中小企业促进法》和《国务院关于进一步促进中小企业发展的若干意见》(国发〔2009〕36号)，制定本规定。</w:t>
      </w:r>
      <w:r>
        <w:rPr>
          <w:rFonts w:hAnsi="宋体"/>
          <w:color w:val="auto"/>
          <w:sz w:val="24"/>
          <w:szCs w:val="24"/>
          <w:highlight w:val="none"/>
        </w:rPr>
        <w:br w:type="textWrapping"/>
      </w:r>
      <w:r>
        <w:rPr>
          <w:rFonts w:hAnsi="宋体"/>
          <w:color w:val="auto"/>
          <w:sz w:val="24"/>
          <w:szCs w:val="24"/>
          <w:highlight w:val="none"/>
        </w:rPr>
        <w:t>　　二、中小企业划分为中型、小型、微型三种类型，具体标准根据企业从业人员、营业收入、资产总额等指标，结合行业特点制定。</w:t>
      </w:r>
      <w:r>
        <w:rPr>
          <w:rFonts w:hAnsi="宋体"/>
          <w:color w:val="auto"/>
          <w:sz w:val="24"/>
          <w:szCs w:val="24"/>
          <w:highlight w:val="none"/>
        </w:rPr>
        <w:br w:type="textWrapping"/>
      </w:r>
      <w:r>
        <w:rPr>
          <w:rFonts w:hAnsi="宋体"/>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color w:val="auto"/>
          <w:sz w:val="24"/>
          <w:szCs w:val="24"/>
          <w:highlight w:val="none"/>
        </w:rPr>
        <w:br w:type="textWrapping"/>
      </w:r>
      <w:r>
        <w:rPr>
          <w:rFonts w:hAnsi="宋体"/>
          <w:color w:val="auto"/>
          <w:sz w:val="24"/>
          <w:szCs w:val="24"/>
          <w:highlight w:val="none"/>
        </w:rPr>
        <w:t>　　四、各行业划型标准为：</w:t>
      </w:r>
      <w:r>
        <w:rPr>
          <w:rFonts w:hAnsi="宋体"/>
          <w:color w:val="auto"/>
          <w:sz w:val="24"/>
          <w:szCs w:val="24"/>
          <w:highlight w:val="none"/>
        </w:rPr>
        <w:br w:type="textWrapping"/>
      </w:r>
      <w:r>
        <w:rPr>
          <w:rFonts w:hAnsi="宋体"/>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Ansi="宋体"/>
          <w:color w:val="auto"/>
          <w:sz w:val="24"/>
          <w:szCs w:val="24"/>
          <w:highlight w:val="none"/>
        </w:rPr>
        <w:br w:type="textWrapping"/>
      </w:r>
      <w:r>
        <w:rPr>
          <w:rFonts w:hAnsi="宋体"/>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color w:val="auto"/>
          <w:sz w:val="24"/>
          <w:szCs w:val="24"/>
          <w:highlight w:val="none"/>
        </w:rPr>
        <w:br w:type="textWrapping"/>
      </w:r>
      <w:r>
        <w:rPr>
          <w:rFonts w:hAnsi="宋体"/>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color w:val="auto"/>
          <w:sz w:val="24"/>
          <w:szCs w:val="24"/>
          <w:highlight w:val="none"/>
        </w:rPr>
        <w:br w:type="textWrapping"/>
      </w:r>
      <w:r>
        <w:rPr>
          <w:rFonts w:hAnsi="宋体"/>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color w:val="auto"/>
          <w:sz w:val="24"/>
          <w:szCs w:val="24"/>
          <w:highlight w:val="none"/>
        </w:rPr>
        <w:br w:type="textWrapping"/>
      </w:r>
      <w:r>
        <w:rPr>
          <w:rFonts w:hAnsi="宋体"/>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color w:val="auto"/>
          <w:sz w:val="24"/>
          <w:szCs w:val="24"/>
          <w:highlight w:val="none"/>
        </w:rPr>
        <w:br w:type="textWrapping"/>
      </w:r>
      <w:r>
        <w:rPr>
          <w:rFonts w:hAnsi="宋体"/>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color w:val="auto"/>
          <w:sz w:val="24"/>
          <w:szCs w:val="24"/>
          <w:highlight w:val="none"/>
        </w:rPr>
        <w:br w:type="textWrapping"/>
      </w:r>
      <w:r>
        <w:rPr>
          <w:rFonts w:hAnsi="宋体"/>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color w:val="auto"/>
          <w:sz w:val="24"/>
          <w:szCs w:val="24"/>
          <w:highlight w:val="none"/>
        </w:rPr>
        <w:br w:type="textWrapping"/>
      </w:r>
      <w:r>
        <w:rPr>
          <w:rFonts w:hAnsi="宋体"/>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color w:val="auto"/>
          <w:sz w:val="24"/>
          <w:szCs w:val="24"/>
          <w:highlight w:val="none"/>
        </w:rPr>
        <w:br w:type="textWrapping"/>
      </w:r>
      <w:r>
        <w:rPr>
          <w:rFonts w:hAnsi="宋体"/>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color w:val="auto"/>
          <w:sz w:val="24"/>
          <w:szCs w:val="24"/>
          <w:highlight w:val="none"/>
        </w:rPr>
        <w:br w:type="textWrapping"/>
      </w:r>
      <w:r>
        <w:rPr>
          <w:rFonts w:hAnsi="宋体"/>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color w:val="auto"/>
          <w:sz w:val="24"/>
          <w:szCs w:val="24"/>
          <w:highlight w:val="none"/>
        </w:rPr>
        <w:br w:type="textWrapping"/>
      </w:r>
      <w:r>
        <w:rPr>
          <w:rFonts w:hAnsi="宋体"/>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r>
        <w:rPr>
          <w:rFonts w:hAnsi="宋体"/>
          <w:color w:val="auto"/>
          <w:sz w:val="24"/>
          <w:szCs w:val="24"/>
          <w:highlight w:val="none"/>
        </w:rPr>
        <w:br w:type="textWrapping"/>
      </w:r>
      <w:r>
        <w:rPr>
          <w:rFonts w:hAnsi="宋体"/>
          <w:color w:val="auto"/>
          <w:sz w:val="24"/>
          <w:szCs w:val="24"/>
          <w:highlight w:val="none"/>
        </w:rPr>
        <w:t>　　五、企业类型的划分以统计部门的统计数据为依据。</w:t>
      </w:r>
      <w:r>
        <w:rPr>
          <w:rFonts w:hAnsi="宋体"/>
          <w:color w:val="auto"/>
          <w:sz w:val="24"/>
          <w:szCs w:val="24"/>
          <w:highlight w:val="none"/>
        </w:rPr>
        <w:br w:type="textWrapping"/>
      </w:r>
      <w:r>
        <w:rPr>
          <w:rFonts w:hAnsi="宋体"/>
          <w:color w:val="auto"/>
          <w:sz w:val="24"/>
          <w:szCs w:val="24"/>
          <w:highlight w:val="none"/>
        </w:rPr>
        <w:t>　　六、本规定适用于在中华人民共和国境内依法设立的各类所有制和各种组织形式的企业。个体工商户和本规定以外的行业，参照本规定进行划型。</w:t>
      </w:r>
      <w:r>
        <w:rPr>
          <w:rFonts w:hAnsi="宋体"/>
          <w:color w:val="auto"/>
          <w:sz w:val="24"/>
          <w:szCs w:val="24"/>
          <w:highlight w:val="none"/>
        </w:rPr>
        <w:br w:type="textWrapping"/>
      </w:r>
      <w:r>
        <w:rPr>
          <w:rFonts w:hAnsi="宋体"/>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color w:val="auto"/>
          <w:sz w:val="24"/>
          <w:szCs w:val="24"/>
          <w:highlight w:val="none"/>
        </w:rPr>
        <w:br w:type="textWrapping"/>
      </w:r>
      <w:r>
        <w:rPr>
          <w:rFonts w:hAnsi="宋体"/>
          <w:color w:val="auto"/>
          <w:sz w:val="24"/>
          <w:szCs w:val="24"/>
          <w:highlight w:val="none"/>
        </w:rPr>
        <w:t>　　八、本规定由工业和信息化部、国家统计局会同有关部门根据《国民经济行业分类》修订情况和企业发展变化情况适时修订。</w:t>
      </w:r>
      <w:r>
        <w:rPr>
          <w:rFonts w:hAnsi="宋体"/>
          <w:color w:val="auto"/>
          <w:sz w:val="24"/>
          <w:szCs w:val="24"/>
          <w:highlight w:val="none"/>
        </w:rPr>
        <w:br w:type="textWrapping"/>
      </w:r>
      <w:r>
        <w:rPr>
          <w:rFonts w:hAnsi="宋体"/>
          <w:color w:val="auto"/>
          <w:sz w:val="24"/>
          <w:szCs w:val="24"/>
          <w:highlight w:val="none"/>
        </w:rPr>
        <w:t>　　九、本规定由工业和信息化部、国家统计局会同有关部门负责解释。</w:t>
      </w:r>
      <w:r>
        <w:rPr>
          <w:rFonts w:hAnsi="宋体"/>
          <w:color w:val="auto"/>
          <w:sz w:val="24"/>
          <w:szCs w:val="24"/>
          <w:highlight w:val="none"/>
        </w:rPr>
        <w:br w:type="textWrapping"/>
      </w:r>
      <w:r>
        <w:rPr>
          <w:rFonts w:hAnsi="宋体"/>
          <w:color w:val="auto"/>
          <w:sz w:val="24"/>
          <w:szCs w:val="24"/>
          <w:highlight w:val="none"/>
        </w:rPr>
        <w:t>　　十、本规定自发布之日起执行，原国家经贸委、原国家计委、财政部和国家统计局2003年颁布的《中小企业标准暂行规定》同时废止。</w:t>
      </w:r>
    </w:p>
    <w:p>
      <w:pPr>
        <w:rPr>
          <w:color w:val="auto"/>
          <w:highlight w:val="none"/>
        </w:rPr>
      </w:pPr>
    </w:p>
    <w:p>
      <w:pPr>
        <w:tabs>
          <w:tab w:val="left" w:pos="4860"/>
        </w:tabs>
        <w:spacing w:line="588" w:lineRule="exact"/>
        <w:ind w:right="1560" w:firstLine="504" w:firstLineChars="200"/>
        <w:jc w:val="center"/>
        <w:rPr>
          <w:rFonts w:ascii="宋体" w:hAnsi="宋体"/>
          <w:color w:val="auto"/>
          <w:spacing w:val="6"/>
          <w:sz w:val="24"/>
          <w:highlight w:val="none"/>
        </w:rPr>
      </w:pPr>
    </w:p>
    <w:p>
      <w:pPr>
        <w:spacing w:line="360" w:lineRule="auto"/>
        <w:outlineLvl w:val="2"/>
        <w:rPr>
          <w:rFonts w:ascii="宋体" w:hAnsi="宋体"/>
          <w:color w:val="auto"/>
          <w:sz w:val="24"/>
          <w:szCs w:val="20"/>
          <w:highlight w:val="none"/>
        </w:rPr>
      </w:pPr>
      <w:r>
        <w:rPr>
          <w:rFonts w:ascii="宋体" w:hAnsi="宋体"/>
          <w:color w:val="auto"/>
          <w:szCs w:val="20"/>
          <w:highlight w:val="none"/>
        </w:rPr>
        <w:br w:type="page"/>
      </w:r>
    </w:p>
    <w:p>
      <w:pPr>
        <w:spacing w:line="360" w:lineRule="auto"/>
        <w:outlineLvl w:val="2"/>
        <w:rPr>
          <w:color w:val="auto"/>
          <w:sz w:val="24"/>
          <w:szCs w:val="20"/>
          <w:highlight w:val="none"/>
        </w:rPr>
      </w:pPr>
      <w:r>
        <w:rPr>
          <w:rFonts w:hint="eastAsia"/>
          <w:color w:val="auto"/>
          <w:sz w:val="24"/>
          <w:szCs w:val="20"/>
          <w:highlight w:val="none"/>
        </w:rPr>
        <w:t>8</w:t>
      </w:r>
      <w:r>
        <w:rPr>
          <w:color w:val="auto"/>
          <w:sz w:val="24"/>
          <w:szCs w:val="20"/>
          <w:highlight w:val="none"/>
        </w:rPr>
        <w:t xml:space="preserve">  拟分包情况说明（类型二）</w:t>
      </w:r>
      <w:r>
        <w:rPr>
          <w:color w:val="auto"/>
          <w:sz w:val="24"/>
          <w:highlight w:val="none"/>
        </w:rPr>
        <w:t>（实质性格式）</w:t>
      </w:r>
      <w:r>
        <w:rPr>
          <w:b/>
          <w:color w:val="auto"/>
          <w:sz w:val="24"/>
          <w:szCs w:val="20"/>
          <w:highlight w:val="none"/>
        </w:rPr>
        <w:t>（本项目不涉及）</w:t>
      </w:r>
    </w:p>
    <w:p>
      <w:pPr>
        <w:autoSpaceDE w:val="0"/>
        <w:autoSpaceDN w:val="0"/>
        <w:adjustRightInd w:val="0"/>
        <w:jc w:val="center"/>
        <w:rPr>
          <w:color w:val="auto"/>
          <w:sz w:val="30"/>
          <w:szCs w:val="30"/>
          <w:highlight w:val="none"/>
        </w:rPr>
      </w:pPr>
    </w:p>
    <w:p>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拟分包情况说明</w:t>
      </w:r>
    </w:p>
    <w:p>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w:t>
      </w:r>
      <w:r>
        <w:rPr>
          <w:rFonts w:hint="eastAsia"/>
          <w:color w:val="auto"/>
          <w:sz w:val="24"/>
          <w:highlight w:val="none"/>
        </w:rPr>
        <w:t>响应</w:t>
      </w:r>
      <w:r>
        <w:rPr>
          <w:color w:val="auto"/>
          <w:sz w:val="24"/>
          <w:highlight w:val="none"/>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color w:val="auto"/>
                <w:sz w:val="24"/>
                <w:highlight w:val="none"/>
              </w:rPr>
            </w:pPr>
            <w:r>
              <w:rPr>
                <w:color w:val="auto"/>
                <w:sz w:val="24"/>
                <w:highlight w:val="none"/>
              </w:rPr>
              <w:t>序号</w:t>
            </w:r>
          </w:p>
        </w:tc>
        <w:tc>
          <w:tcPr>
            <w:tcW w:w="1287" w:type="dxa"/>
            <w:shd w:val="clear" w:color="auto" w:fill="auto"/>
            <w:vAlign w:val="center"/>
          </w:tcPr>
          <w:p>
            <w:pPr>
              <w:pStyle w:val="255"/>
              <w:jc w:val="center"/>
              <w:rPr>
                <w:color w:val="auto"/>
                <w:sz w:val="24"/>
                <w:highlight w:val="none"/>
              </w:rPr>
            </w:pPr>
            <w:r>
              <w:rPr>
                <w:color w:val="auto"/>
                <w:sz w:val="24"/>
                <w:highlight w:val="none"/>
              </w:rPr>
              <w:t>分包承担</w:t>
            </w:r>
          </w:p>
          <w:p>
            <w:pPr>
              <w:pStyle w:val="255"/>
              <w:jc w:val="center"/>
              <w:rPr>
                <w:color w:val="auto"/>
                <w:sz w:val="24"/>
                <w:highlight w:val="none"/>
              </w:rPr>
            </w:pPr>
            <w:r>
              <w:rPr>
                <w:color w:val="auto"/>
                <w:sz w:val="24"/>
                <w:highlight w:val="none"/>
              </w:rPr>
              <w:t>主体名称</w:t>
            </w:r>
          </w:p>
        </w:tc>
        <w:tc>
          <w:tcPr>
            <w:tcW w:w="1513" w:type="dxa"/>
            <w:shd w:val="clear" w:color="auto" w:fill="auto"/>
            <w:vAlign w:val="center"/>
          </w:tcPr>
          <w:p>
            <w:pPr>
              <w:pStyle w:val="255"/>
              <w:jc w:val="center"/>
              <w:rPr>
                <w:color w:val="auto"/>
                <w:sz w:val="24"/>
                <w:highlight w:val="none"/>
                <w:lang w:eastAsia="zh-CN"/>
              </w:rPr>
            </w:pPr>
            <w:r>
              <w:rPr>
                <w:color w:val="auto"/>
                <w:sz w:val="24"/>
                <w:highlight w:val="none"/>
                <w:lang w:eastAsia="zh-CN"/>
              </w:rPr>
              <w:t>分包承担</w:t>
            </w:r>
          </w:p>
          <w:p>
            <w:pPr>
              <w:pStyle w:val="255"/>
              <w:jc w:val="center"/>
              <w:rPr>
                <w:color w:val="auto"/>
                <w:sz w:val="24"/>
                <w:highlight w:val="none"/>
                <w:lang w:eastAsia="zh-CN"/>
              </w:rPr>
            </w:pPr>
            <w:r>
              <w:rPr>
                <w:color w:val="auto"/>
                <w:sz w:val="24"/>
                <w:highlight w:val="none"/>
                <w:lang w:eastAsia="zh-CN"/>
              </w:rPr>
              <w:t>主体类型</w:t>
            </w:r>
          </w:p>
          <w:p>
            <w:pPr>
              <w:pStyle w:val="255"/>
              <w:jc w:val="center"/>
              <w:rPr>
                <w:color w:val="auto"/>
                <w:sz w:val="24"/>
                <w:highlight w:val="none"/>
                <w:lang w:eastAsia="zh-CN"/>
              </w:rPr>
            </w:pPr>
            <w:r>
              <w:rPr>
                <w:rFonts w:hint="eastAsia"/>
                <w:color w:val="auto"/>
                <w:sz w:val="24"/>
                <w:highlight w:val="none"/>
                <w:lang w:eastAsia="zh-CN"/>
              </w:rPr>
              <w:t>（勾选）</w:t>
            </w:r>
          </w:p>
        </w:tc>
        <w:tc>
          <w:tcPr>
            <w:tcW w:w="1125" w:type="dxa"/>
            <w:shd w:val="clear" w:color="auto" w:fill="auto"/>
            <w:vAlign w:val="center"/>
          </w:tcPr>
          <w:p>
            <w:pPr>
              <w:pStyle w:val="255"/>
              <w:jc w:val="center"/>
              <w:rPr>
                <w:color w:val="auto"/>
                <w:sz w:val="24"/>
                <w:highlight w:val="none"/>
              </w:rPr>
            </w:pPr>
            <w:r>
              <w:rPr>
                <w:color w:val="auto"/>
                <w:sz w:val="24"/>
                <w:highlight w:val="none"/>
              </w:rPr>
              <w:t>资质等级</w:t>
            </w:r>
          </w:p>
        </w:tc>
        <w:tc>
          <w:tcPr>
            <w:tcW w:w="1558" w:type="dxa"/>
            <w:shd w:val="clear" w:color="auto" w:fill="auto"/>
            <w:vAlign w:val="center"/>
          </w:tcPr>
          <w:p>
            <w:pPr>
              <w:pStyle w:val="255"/>
              <w:jc w:val="center"/>
              <w:rPr>
                <w:color w:val="auto"/>
                <w:sz w:val="24"/>
                <w:highlight w:val="none"/>
              </w:rPr>
            </w:pPr>
            <w:r>
              <w:rPr>
                <w:color w:val="auto"/>
                <w:sz w:val="24"/>
                <w:highlight w:val="none"/>
              </w:rPr>
              <w:t>拟分包</w:t>
            </w:r>
          </w:p>
          <w:p>
            <w:pPr>
              <w:pStyle w:val="255"/>
              <w:jc w:val="center"/>
              <w:rPr>
                <w:color w:val="auto"/>
                <w:sz w:val="24"/>
                <w:highlight w:val="none"/>
              </w:rPr>
            </w:pPr>
            <w:r>
              <w:rPr>
                <w:color w:val="auto"/>
                <w:sz w:val="24"/>
                <w:highlight w:val="none"/>
              </w:rPr>
              <w:t>合同内容</w:t>
            </w:r>
          </w:p>
        </w:tc>
        <w:tc>
          <w:tcPr>
            <w:tcW w:w="1498" w:type="dxa"/>
            <w:shd w:val="clear" w:color="auto" w:fill="auto"/>
            <w:vAlign w:val="center"/>
          </w:tcPr>
          <w:p>
            <w:pPr>
              <w:pStyle w:val="255"/>
              <w:jc w:val="center"/>
              <w:rPr>
                <w:color w:val="auto"/>
                <w:sz w:val="24"/>
                <w:highlight w:val="none"/>
                <w:lang w:eastAsia="zh-CN"/>
              </w:rPr>
            </w:pPr>
            <w:r>
              <w:rPr>
                <w:color w:val="auto"/>
                <w:sz w:val="24"/>
                <w:highlight w:val="none"/>
                <w:lang w:eastAsia="zh-CN"/>
              </w:rPr>
              <w:t>拟分包</w:t>
            </w:r>
          </w:p>
          <w:p>
            <w:pPr>
              <w:pStyle w:val="255"/>
              <w:jc w:val="center"/>
              <w:rPr>
                <w:color w:val="auto"/>
                <w:sz w:val="24"/>
                <w:highlight w:val="none"/>
                <w:lang w:eastAsia="zh-CN"/>
              </w:rPr>
            </w:pPr>
            <w:r>
              <w:rPr>
                <w:color w:val="auto"/>
                <w:sz w:val="24"/>
                <w:highlight w:val="none"/>
                <w:lang w:eastAsia="zh-CN"/>
              </w:rPr>
              <w:t>合同金额</w:t>
            </w:r>
          </w:p>
          <w:p>
            <w:pPr>
              <w:pStyle w:val="255"/>
              <w:jc w:val="center"/>
              <w:rPr>
                <w:color w:val="auto"/>
                <w:sz w:val="24"/>
                <w:highlight w:val="none"/>
                <w:lang w:eastAsia="zh-CN"/>
              </w:rPr>
            </w:pPr>
            <w:r>
              <w:rPr>
                <w:color w:val="auto"/>
                <w:sz w:val="24"/>
                <w:highlight w:val="none"/>
                <w:lang w:eastAsia="zh-CN"/>
              </w:rPr>
              <w:t>（人民币元）</w:t>
            </w:r>
          </w:p>
        </w:tc>
        <w:tc>
          <w:tcPr>
            <w:tcW w:w="1564" w:type="dxa"/>
            <w:shd w:val="clear" w:color="auto" w:fill="auto"/>
            <w:vAlign w:val="center"/>
          </w:tcPr>
          <w:p>
            <w:pPr>
              <w:pStyle w:val="255"/>
              <w:jc w:val="center"/>
              <w:rPr>
                <w:b/>
                <w:color w:val="auto"/>
                <w:sz w:val="24"/>
                <w:highlight w:val="none"/>
                <w:lang w:eastAsia="zh-CN"/>
              </w:rPr>
            </w:pPr>
            <w:r>
              <w:rPr>
                <w:b/>
                <w:color w:val="auto"/>
                <w:sz w:val="24"/>
                <w:highlight w:val="none"/>
                <w:lang w:eastAsia="zh-CN"/>
              </w:rPr>
              <w:t>占</w:t>
            </w:r>
            <w:r>
              <w:rPr>
                <w:rFonts w:hint="eastAsia"/>
                <w:b/>
                <w:color w:val="auto"/>
                <w:sz w:val="24"/>
                <w:highlight w:val="none"/>
                <w:lang w:eastAsia="zh-CN"/>
              </w:rPr>
              <w:t>响应报价</w:t>
            </w:r>
          </w:p>
          <w:p>
            <w:pPr>
              <w:pStyle w:val="255"/>
              <w:jc w:val="center"/>
              <w:rPr>
                <w:color w:val="auto"/>
                <w:sz w:val="24"/>
                <w:highlight w:val="none"/>
                <w:lang w:eastAsia="zh-CN"/>
              </w:rPr>
            </w:pPr>
            <w:r>
              <w:rPr>
                <w:b/>
                <w:color w:val="auto"/>
                <w:sz w:val="24"/>
                <w:highlight w:val="none"/>
                <w:lang w:eastAsia="zh-CN"/>
              </w:rPr>
              <w:t>的比例</w:t>
            </w:r>
            <w:r>
              <w:rPr>
                <w:rFonts w:hint="eastAsia"/>
                <w:b/>
                <w:color w:val="auto"/>
                <w:sz w:val="24"/>
                <w:highlight w:val="none"/>
                <w:lang w:eastAsia="zh-CN"/>
              </w:rPr>
              <w:t>（</w:t>
            </w:r>
            <w:r>
              <w:rPr>
                <w:rFonts w:ascii="Times New Roman" w:eastAsia="Times New Roman"/>
                <w:b/>
                <w:color w:val="auto"/>
                <w:sz w:val="24"/>
                <w:highlight w:val="none"/>
                <w:lang w:eastAsia="zh-CN"/>
              </w:rPr>
              <w:t>%</w:t>
            </w:r>
            <w:r>
              <w:rPr>
                <w:rFonts w:hint="eastAsia"/>
                <w:b/>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rPr>
            </w:pPr>
            <w:r>
              <w:rPr>
                <w:rFonts w:ascii="Times New Roman"/>
                <w:color w:val="auto"/>
                <w:sz w:val="24"/>
                <w:highlight w:val="none"/>
              </w:rPr>
              <w:t>1</w:t>
            </w:r>
          </w:p>
        </w:tc>
        <w:tc>
          <w:tcPr>
            <w:tcW w:w="1287" w:type="dxa"/>
            <w:shd w:val="clear" w:color="auto" w:fill="auto"/>
            <w:vAlign w:val="center"/>
          </w:tcPr>
          <w:p>
            <w:pPr>
              <w:pStyle w:val="255"/>
              <w:jc w:val="center"/>
              <w:rPr>
                <w:rFonts w:ascii="Times New Roman" w:hAnsi="Times New Roman" w:cs="Times New Roman"/>
                <w:color w:val="auto"/>
                <w:sz w:val="30"/>
                <w:highlight w:val="none"/>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其他类型</w:t>
            </w:r>
          </w:p>
        </w:tc>
        <w:tc>
          <w:tcPr>
            <w:tcW w:w="1125" w:type="dxa"/>
            <w:shd w:val="clear" w:color="auto" w:fill="auto"/>
            <w:vAlign w:val="center"/>
          </w:tcPr>
          <w:p>
            <w:pPr>
              <w:pStyle w:val="255"/>
              <w:jc w:val="center"/>
              <w:rPr>
                <w:rFonts w:ascii="Times New Roman"/>
                <w:color w:val="auto"/>
                <w:sz w:val="30"/>
                <w:highlight w:val="none"/>
                <w:lang w:eastAsia="zh-CN"/>
              </w:rPr>
            </w:pPr>
          </w:p>
        </w:tc>
        <w:tc>
          <w:tcPr>
            <w:tcW w:w="1558" w:type="dxa"/>
            <w:shd w:val="clear" w:color="auto" w:fill="auto"/>
            <w:vAlign w:val="center"/>
          </w:tcPr>
          <w:p>
            <w:pPr>
              <w:pStyle w:val="255"/>
              <w:jc w:val="center"/>
              <w:rPr>
                <w:rFonts w:ascii="Times New Roman"/>
                <w:color w:val="auto"/>
                <w:sz w:val="30"/>
                <w:highlight w:val="none"/>
                <w:lang w:eastAsia="zh-CN"/>
              </w:rPr>
            </w:pPr>
          </w:p>
        </w:tc>
        <w:tc>
          <w:tcPr>
            <w:tcW w:w="1498" w:type="dxa"/>
            <w:shd w:val="clear" w:color="auto" w:fill="auto"/>
            <w:vAlign w:val="center"/>
          </w:tcPr>
          <w:p>
            <w:pPr>
              <w:pStyle w:val="255"/>
              <w:jc w:val="center"/>
              <w:rPr>
                <w:rFonts w:ascii="Times New Roman"/>
                <w:color w:val="auto"/>
                <w:sz w:val="30"/>
                <w:highlight w:val="none"/>
                <w:lang w:eastAsia="zh-CN"/>
              </w:rPr>
            </w:pPr>
          </w:p>
        </w:tc>
        <w:tc>
          <w:tcPr>
            <w:tcW w:w="1564" w:type="dxa"/>
            <w:shd w:val="clear" w:color="auto" w:fill="auto"/>
            <w:vAlign w:val="center"/>
          </w:tcPr>
          <w:p>
            <w:pPr>
              <w:pStyle w:val="255"/>
              <w:jc w:val="center"/>
              <w:rPr>
                <w:rFonts w:ascii="Times New Roman"/>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lang w:eastAsia="zh-CN"/>
              </w:rPr>
            </w:pPr>
            <w:r>
              <w:rPr>
                <w:rFonts w:hint="eastAsia" w:ascii="Times New Roman"/>
                <w:color w:val="auto"/>
                <w:sz w:val="24"/>
                <w:highlight w:val="none"/>
                <w:lang w:eastAsia="zh-CN"/>
              </w:rPr>
              <w:t>2</w:t>
            </w:r>
          </w:p>
        </w:tc>
        <w:tc>
          <w:tcPr>
            <w:tcW w:w="1287" w:type="dxa"/>
            <w:shd w:val="clear" w:color="auto" w:fill="auto"/>
            <w:vAlign w:val="center"/>
          </w:tcPr>
          <w:p>
            <w:pPr>
              <w:pStyle w:val="255"/>
              <w:jc w:val="center"/>
              <w:rPr>
                <w:rFonts w:ascii="Times New Roman"/>
                <w:color w:val="auto"/>
                <w:sz w:val="30"/>
                <w:highlight w:val="none"/>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□小微企业</w:t>
            </w:r>
          </w:p>
          <w:p>
            <w:pPr>
              <w:pStyle w:val="255"/>
              <w:tabs>
                <w:tab w:val="left" w:pos="235"/>
              </w:tabs>
              <w:ind w:left="1" w:leftChars="-43" w:hanging="91" w:hangingChars="38"/>
              <w:jc w:val="center"/>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其他类型</w:t>
            </w:r>
          </w:p>
        </w:tc>
        <w:tc>
          <w:tcPr>
            <w:tcW w:w="1125" w:type="dxa"/>
            <w:shd w:val="clear" w:color="auto" w:fill="auto"/>
            <w:vAlign w:val="center"/>
          </w:tcPr>
          <w:p>
            <w:pPr>
              <w:pStyle w:val="255"/>
              <w:jc w:val="center"/>
              <w:rPr>
                <w:rFonts w:ascii="Times New Roman"/>
                <w:color w:val="auto"/>
                <w:sz w:val="30"/>
                <w:highlight w:val="none"/>
                <w:lang w:eastAsia="zh-CN"/>
              </w:rPr>
            </w:pPr>
          </w:p>
        </w:tc>
        <w:tc>
          <w:tcPr>
            <w:tcW w:w="1558" w:type="dxa"/>
            <w:shd w:val="clear" w:color="auto" w:fill="auto"/>
            <w:vAlign w:val="center"/>
          </w:tcPr>
          <w:p>
            <w:pPr>
              <w:pStyle w:val="255"/>
              <w:jc w:val="center"/>
              <w:rPr>
                <w:rFonts w:ascii="Times New Roman"/>
                <w:color w:val="auto"/>
                <w:sz w:val="30"/>
                <w:highlight w:val="none"/>
                <w:lang w:eastAsia="zh-CN"/>
              </w:rPr>
            </w:pPr>
          </w:p>
        </w:tc>
        <w:tc>
          <w:tcPr>
            <w:tcW w:w="1498" w:type="dxa"/>
            <w:shd w:val="clear" w:color="auto" w:fill="auto"/>
            <w:vAlign w:val="center"/>
          </w:tcPr>
          <w:p>
            <w:pPr>
              <w:pStyle w:val="255"/>
              <w:jc w:val="center"/>
              <w:rPr>
                <w:rFonts w:ascii="Times New Roman"/>
                <w:color w:val="auto"/>
                <w:sz w:val="30"/>
                <w:highlight w:val="none"/>
                <w:lang w:eastAsia="zh-CN"/>
              </w:rPr>
            </w:pPr>
          </w:p>
        </w:tc>
        <w:tc>
          <w:tcPr>
            <w:tcW w:w="1564" w:type="dxa"/>
            <w:shd w:val="clear" w:color="auto" w:fill="auto"/>
            <w:vAlign w:val="center"/>
          </w:tcPr>
          <w:p>
            <w:pPr>
              <w:pStyle w:val="255"/>
              <w:jc w:val="center"/>
              <w:rPr>
                <w:rFonts w:ascii="Times New Roman"/>
                <w:color w:val="auto"/>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color w:val="auto"/>
                <w:sz w:val="24"/>
                <w:highlight w:val="none"/>
                <w:lang w:eastAsia="zh-CN"/>
              </w:rPr>
            </w:pPr>
            <w:r>
              <w:rPr>
                <w:rFonts w:ascii="Times New Roman"/>
                <w:color w:val="auto"/>
                <w:sz w:val="24"/>
                <w:highlight w:val="none"/>
                <w:lang w:eastAsia="zh-CN"/>
              </w:rPr>
              <w:t>…</w:t>
            </w:r>
          </w:p>
        </w:tc>
        <w:tc>
          <w:tcPr>
            <w:tcW w:w="1287" w:type="dxa"/>
            <w:shd w:val="clear" w:color="auto" w:fill="auto"/>
            <w:vAlign w:val="center"/>
          </w:tcPr>
          <w:p>
            <w:pPr>
              <w:pStyle w:val="255"/>
              <w:jc w:val="center"/>
              <w:rPr>
                <w:rFonts w:ascii="Times New Roman"/>
                <w:color w:val="auto"/>
                <w:sz w:val="30"/>
                <w:highlight w:val="none"/>
              </w:rPr>
            </w:pPr>
          </w:p>
        </w:tc>
        <w:tc>
          <w:tcPr>
            <w:tcW w:w="1513" w:type="dxa"/>
            <w:shd w:val="clear" w:color="auto" w:fill="auto"/>
            <w:vAlign w:val="center"/>
          </w:tcPr>
          <w:p>
            <w:pPr>
              <w:pStyle w:val="255"/>
              <w:tabs>
                <w:tab w:val="left" w:pos="235"/>
              </w:tabs>
              <w:jc w:val="center"/>
              <w:rPr>
                <w:color w:val="auto"/>
                <w:sz w:val="24"/>
                <w:highlight w:val="none"/>
              </w:rPr>
            </w:pPr>
          </w:p>
        </w:tc>
        <w:tc>
          <w:tcPr>
            <w:tcW w:w="1125" w:type="dxa"/>
            <w:shd w:val="clear" w:color="auto" w:fill="auto"/>
            <w:vAlign w:val="center"/>
          </w:tcPr>
          <w:p>
            <w:pPr>
              <w:pStyle w:val="255"/>
              <w:jc w:val="center"/>
              <w:rPr>
                <w:rFonts w:ascii="Times New Roman"/>
                <w:color w:val="auto"/>
                <w:sz w:val="30"/>
                <w:highlight w:val="none"/>
              </w:rPr>
            </w:pPr>
          </w:p>
        </w:tc>
        <w:tc>
          <w:tcPr>
            <w:tcW w:w="1558" w:type="dxa"/>
            <w:shd w:val="clear" w:color="auto" w:fill="auto"/>
            <w:vAlign w:val="center"/>
          </w:tcPr>
          <w:p>
            <w:pPr>
              <w:pStyle w:val="255"/>
              <w:jc w:val="center"/>
              <w:rPr>
                <w:rFonts w:ascii="Times New Roman"/>
                <w:color w:val="auto"/>
                <w:sz w:val="30"/>
                <w:highlight w:val="none"/>
              </w:rPr>
            </w:pPr>
          </w:p>
        </w:tc>
        <w:tc>
          <w:tcPr>
            <w:tcW w:w="1498" w:type="dxa"/>
            <w:shd w:val="clear" w:color="auto" w:fill="auto"/>
            <w:vAlign w:val="center"/>
          </w:tcPr>
          <w:p>
            <w:pPr>
              <w:pStyle w:val="255"/>
              <w:jc w:val="center"/>
              <w:rPr>
                <w:rFonts w:ascii="Times New Roman"/>
                <w:color w:val="auto"/>
                <w:sz w:val="30"/>
                <w:highlight w:val="none"/>
              </w:rPr>
            </w:pPr>
          </w:p>
        </w:tc>
        <w:tc>
          <w:tcPr>
            <w:tcW w:w="1564" w:type="dxa"/>
            <w:shd w:val="clear" w:color="auto" w:fill="auto"/>
            <w:vAlign w:val="center"/>
          </w:tcPr>
          <w:p>
            <w:pPr>
              <w:pStyle w:val="255"/>
              <w:jc w:val="center"/>
              <w:rPr>
                <w:rFonts w:ascii="Times New Roman"/>
                <w:color w:val="auto"/>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color w:val="auto"/>
                <w:sz w:val="24"/>
                <w:highlight w:val="none"/>
                <w:lang w:eastAsia="zh-CN"/>
              </w:rPr>
            </w:pPr>
            <w:r>
              <w:rPr>
                <w:rFonts w:hint="eastAsia"/>
                <w:color w:val="auto"/>
                <w:sz w:val="24"/>
                <w:highlight w:val="none"/>
                <w:lang w:eastAsia="zh-CN"/>
              </w:rPr>
              <w:t>合计：</w:t>
            </w:r>
          </w:p>
        </w:tc>
        <w:tc>
          <w:tcPr>
            <w:tcW w:w="1498" w:type="dxa"/>
            <w:shd w:val="clear" w:color="auto" w:fill="auto"/>
            <w:vAlign w:val="center"/>
          </w:tcPr>
          <w:p>
            <w:pPr>
              <w:pStyle w:val="255"/>
              <w:jc w:val="center"/>
              <w:rPr>
                <w:rFonts w:ascii="Times New Roman"/>
                <w:color w:val="auto"/>
                <w:sz w:val="30"/>
                <w:highlight w:val="none"/>
              </w:rPr>
            </w:pPr>
          </w:p>
        </w:tc>
        <w:tc>
          <w:tcPr>
            <w:tcW w:w="1564" w:type="dxa"/>
            <w:shd w:val="clear" w:color="auto" w:fill="auto"/>
            <w:vAlign w:val="center"/>
          </w:tcPr>
          <w:p>
            <w:pPr>
              <w:pStyle w:val="255"/>
              <w:jc w:val="center"/>
              <w:rPr>
                <w:rFonts w:ascii="Times New Roman"/>
                <w:color w:val="auto"/>
                <w:sz w:val="30"/>
                <w:highlight w:val="none"/>
              </w:rPr>
            </w:pPr>
          </w:p>
        </w:tc>
      </w:tr>
    </w:tbl>
    <w:p>
      <w:pPr>
        <w:adjustRightInd w:val="0"/>
        <w:snapToGrid w:val="0"/>
        <w:spacing w:line="360" w:lineRule="auto"/>
        <w:ind w:firstLine="480" w:firstLineChars="200"/>
        <w:jc w:val="left"/>
        <w:rPr>
          <w:color w:val="auto"/>
          <w:sz w:val="24"/>
          <w:highlight w:val="none"/>
        </w:rPr>
      </w:pPr>
    </w:p>
    <w:p>
      <w:pPr>
        <w:adjustRightInd w:val="0"/>
        <w:snapToGrid w:val="0"/>
        <w:spacing w:line="360" w:lineRule="auto"/>
        <w:jc w:val="left"/>
        <w:rPr>
          <w:color w:val="auto"/>
          <w:sz w:val="24"/>
          <w:highlight w:val="none"/>
        </w:rPr>
      </w:pPr>
      <w:r>
        <w:rPr>
          <w:color w:val="auto"/>
          <w:sz w:val="24"/>
          <w:highlight w:val="none"/>
        </w:rPr>
        <w:t xml:space="preserve">注： </w:t>
      </w:r>
    </w:p>
    <w:p>
      <w:pPr>
        <w:adjustRightInd w:val="0"/>
        <w:snapToGrid w:val="0"/>
        <w:spacing w:line="360" w:lineRule="auto"/>
        <w:jc w:val="left"/>
        <w:rPr>
          <w:color w:val="auto"/>
          <w:sz w:val="24"/>
          <w:highlight w:val="none"/>
        </w:rPr>
      </w:pPr>
      <w:r>
        <w:rPr>
          <w:color w:val="auto"/>
          <w:sz w:val="24"/>
          <w:highlight w:val="none"/>
        </w:rPr>
        <w:t>1.本表仅在</w:t>
      </w:r>
      <w:r>
        <w:rPr>
          <w:rFonts w:hint="eastAsia"/>
          <w:color w:val="auto"/>
          <w:sz w:val="24"/>
          <w:highlight w:val="none"/>
        </w:rPr>
        <w:t>供应商</w:t>
      </w:r>
      <w:r>
        <w:rPr>
          <w:color w:val="auto"/>
          <w:sz w:val="24"/>
          <w:highlight w:val="none"/>
        </w:rPr>
        <w:t>非因“为落实政府采购政策”而分包时填写；</w:t>
      </w:r>
      <w:r>
        <w:rPr>
          <w:rFonts w:hint="eastAsia"/>
          <w:color w:val="auto"/>
          <w:sz w:val="24"/>
          <w:highlight w:val="none"/>
        </w:rPr>
        <w:t>供应商</w:t>
      </w:r>
      <w:r>
        <w:rPr>
          <w:color w:val="auto"/>
          <w:sz w:val="24"/>
          <w:highlight w:val="none"/>
        </w:rPr>
        <w:t>“为落实政府采购政策”而向中小企业分包时请按照《</w:t>
      </w:r>
      <w:r>
        <w:rPr>
          <w:color w:val="auto"/>
          <w:sz w:val="24"/>
          <w:szCs w:val="20"/>
          <w:highlight w:val="none"/>
        </w:rPr>
        <w:t>拟分包情况说明及分包意向协议</w:t>
      </w:r>
      <w:r>
        <w:rPr>
          <w:color w:val="auto"/>
          <w:sz w:val="24"/>
          <w:highlight w:val="none"/>
        </w:rPr>
        <w:t>》（类型一）要求填写。</w:t>
      </w:r>
    </w:p>
    <w:p>
      <w:pPr>
        <w:adjustRightInd w:val="0"/>
        <w:snapToGrid w:val="0"/>
        <w:spacing w:line="360" w:lineRule="auto"/>
        <w:jc w:val="left"/>
        <w:rPr>
          <w:color w:val="auto"/>
          <w:sz w:val="24"/>
          <w:highlight w:val="none"/>
        </w:rPr>
      </w:pPr>
      <w:r>
        <w:rPr>
          <w:color w:val="auto"/>
          <w:sz w:val="24"/>
          <w:highlight w:val="none"/>
        </w:rPr>
        <w:t>2.如本</w:t>
      </w:r>
      <w:r>
        <w:rPr>
          <w:rFonts w:hint="eastAsia"/>
          <w:color w:val="auto"/>
          <w:sz w:val="24"/>
          <w:highlight w:val="none"/>
        </w:rPr>
        <w:t>比选文件</w:t>
      </w:r>
      <w:r>
        <w:rPr>
          <w:color w:val="auto"/>
          <w:sz w:val="24"/>
          <w:highlight w:val="none"/>
        </w:rPr>
        <w:t>《</w:t>
      </w:r>
      <w:r>
        <w:rPr>
          <w:rFonts w:hint="eastAsia"/>
          <w:color w:val="auto"/>
          <w:sz w:val="24"/>
          <w:highlight w:val="none"/>
        </w:rPr>
        <w:t>供应商</w:t>
      </w:r>
      <w:r>
        <w:rPr>
          <w:color w:val="auto"/>
          <w:sz w:val="24"/>
          <w:highlight w:val="none"/>
        </w:rPr>
        <w:t>须知资料表》载明本项目分包承担主体应具备的相应资质条件，则</w:t>
      </w:r>
      <w:r>
        <w:rPr>
          <w:rFonts w:hint="eastAsia"/>
          <w:color w:val="auto"/>
          <w:sz w:val="24"/>
          <w:highlight w:val="none"/>
        </w:rPr>
        <w:t>供应商</w:t>
      </w:r>
      <w:r>
        <w:rPr>
          <w:color w:val="auto"/>
          <w:sz w:val="24"/>
          <w:highlight w:val="none"/>
        </w:rPr>
        <w:t>须在本表中列明分包承担主体的资质等级，并后附资质证书</w:t>
      </w:r>
      <w:r>
        <w:rPr>
          <w:rFonts w:hint="eastAsia"/>
          <w:color w:val="auto"/>
          <w:sz w:val="24"/>
          <w:highlight w:val="none"/>
        </w:rPr>
        <w:t>电子件，</w:t>
      </w:r>
      <w:r>
        <w:rPr>
          <w:color w:val="auto"/>
          <w:sz w:val="24"/>
          <w:highlight w:val="none"/>
        </w:rPr>
        <w:t>否则</w:t>
      </w:r>
      <w:r>
        <w:rPr>
          <w:rFonts w:hint="eastAsia"/>
          <w:b/>
          <w:color w:val="auto"/>
          <w:sz w:val="24"/>
          <w:highlight w:val="none"/>
        </w:rPr>
        <w:t>响应</w:t>
      </w:r>
      <w:r>
        <w:rPr>
          <w:b/>
          <w:color w:val="auto"/>
          <w:sz w:val="24"/>
          <w:highlight w:val="none"/>
        </w:rPr>
        <w:t>无效</w:t>
      </w:r>
      <w:r>
        <w:rPr>
          <w:color w:val="auto"/>
          <w:sz w:val="24"/>
          <w:highlight w:val="none"/>
        </w:rPr>
        <w:t>。</w:t>
      </w:r>
    </w:p>
    <w:p>
      <w:pPr>
        <w:adjustRightInd w:val="0"/>
        <w:snapToGrid w:val="0"/>
        <w:spacing w:line="360" w:lineRule="auto"/>
        <w:jc w:val="left"/>
        <w:rPr>
          <w:color w:val="auto"/>
          <w:sz w:val="24"/>
          <w:highlight w:val="none"/>
        </w:rPr>
      </w:pPr>
    </w:p>
    <w:p>
      <w:pPr>
        <w:adjustRightInd w:val="0"/>
        <w:snapToGrid w:val="0"/>
        <w:spacing w:line="360" w:lineRule="auto"/>
        <w:jc w:val="left"/>
        <w:rPr>
          <w:color w:val="auto"/>
          <w:sz w:val="24"/>
          <w:highlight w:val="none"/>
        </w:rPr>
      </w:pPr>
    </w:p>
    <w:p>
      <w:pPr>
        <w:adjustRightInd w:val="0"/>
        <w:snapToGrid w:val="0"/>
        <w:spacing w:line="360" w:lineRule="auto"/>
        <w:ind w:firstLine="480" w:firstLineChars="200"/>
        <w:jc w:val="right"/>
        <w:rPr>
          <w:color w:val="auto"/>
          <w:sz w:val="24"/>
          <w:highlight w:val="none"/>
        </w:rPr>
      </w:pPr>
      <w:r>
        <w:rPr>
          <w:rFonts w:hint="eastAsia"/>
          <w:color w:val="auto"/>
          <w:sz w:val="24"/>
          <w:highlight w:val="none"/>
        </w:rPr>
        <w:t>供应商</w:t>
      </w:r>
      <w:r>
        <w:rPr>
          <w:color w:val="auto"/>
          <w:sz w:val="24"/>
          <w:highlight w:val="none"/>
        </w:rPr>
        <w:t>名称（盖章）：______</w:t>
      </w:r>
    </w:p>
    <w:p>
      <w:pPr>
        <w:adjustRightInd w:val="0"/>
        <w:snapToGrid w:val="0"/>
        <w:spacing w:line="360" w:lineRule="auto"/>
        <w:ind w:firstLine="480" w:firstLineChars="200"/>
        <w:jc w:val="right"/>
        <w:rPr>
          <w:color w:val="auto"/>
          <w:sz w:val="24"/>
          <w:highlight w:val="none"/>
        </w:rPr>
      </w:pPr>
      <w:r>
        <w:rPr>
          <w:color w:val="auto"/>
          <w:sz w:val="24"/>
          <w:highlight w:val="none"/>
        </w:rPr>
        <w:t>日期：_____年______月______日</w:t>
      </w:r>
    </w:p>
    <w:p>
      <w:pPr>
        <w:spacing w:line="360" w:lineRule="auto"/>
        <w:rPr>
          <w:b/>
          <w:color w:val="auto"/>
          <w:sz w:val="24"/>
          <w:highlight w:val="none"/>
        </w:rPr>
      </w:pPr>
    </w:p>
    <w:p>
      <w:pPr>
        <w:spacing w:line="360" w:lineRule="auto"/>
        <w:outlineLvl w:val="2"/>
        <w:rPr>
          <w:rFonts w:ascii="宋体" w:hAnsi="宋体"/>
          <w:color w:val="auto"/>
          <w:sz w:val="24"/>
          <w:szCs w:val="20"/>
          <w:highlight w:val="none"/>
        </w:rPr>
      </w:pPr>
      <w:r>
        <w:rPr>
          <w:color w:val="auto"/>
          <w:sz w:val="24"/>
          <w:szCs w:val="20"/>
          <w:highlight w:val="none"/>
        </w:rPr>
        <w:br w:type="page"/>
      </w:r>
    </w:p>
    <w:p>
      <w:pPr>
        <w:spacing w:line="360" w:lineRule="auto"/>
        <w:outlineLvl w:val="2"/>
        <w:rPr>
          <w:rFonts w:ascii="宋体" w:hAnsi="宋体"/>
          <w:color w:val="auto"/>
          <w:sz w:val="24"/>
          <w:szCs w:val="20"/>
          <w:highlight w:val="none"/>
        </w:rPr>
      </w:pPr>
      <w:r>
        <w:rPr>
          <w:rFonts w:hint="eastAsia" w:ascii="宋体" w:hAnsi="宋体"/>
          <w:color w:val="auto"/>
          <w:sz w:val="24"/>
          <w:szCs w:val="20"/>
          <w:highlight w:val="none"/>
        </w:rPr>
        <w:t>9</w:t>
      </w:r>
      <w:r>
        <w:rPr>
          <w:rFonts w:ascii="宋体" w:hAnsi="宋体"/>
          <w:color w:val="auto"/>
          <w:sz w:val="24"/>
          <w:szCs w:val="20"/>
          <w:highlight w:val="none"/>
        </w:rPr>
        <w:t xml:space="preserve"> </w:t>
      </w:r>
      <w:r>
        <w:rPr>
          <w:rFonts w:hint="eastAsia" w:ascii="宋体" w:hAnsi="宋体"/>
          <w:color w:val="auto"/>
          <w:sz w:val="24"/>
          <w:szCs w:val="20"/>
          <w:highlight w:val="none"/>
        </w:rPr>
        <w:t>业绩一览表</w:t>
      </w:r>
    </w:p>
    <w:p>
      <w:pPr>
        <w:spacing w:line="360" w:lineRule="auto"/>
        <w:jc w:val="center"/>
        <w:rPr>
          <w:b/>
          <w:bCs/>
          <w:color w:val="auto"/>
          <w:sz w:val="36"/>
          <w:szCs w:val="36"/>
          <w:highlight w:val="none"/>
        </w:rPr>
      </w:pPr>
      <w:r>
        <w:rPr>
          <w:rFonts w:hint="eastAsia"/>
          <w:b/>
          <w:bCs/>
          <w:color w:val="auto"/>
          <w:sz w:val="36"/>
          <w:szCs w:val="36"/>
          <w:highlight w:val="none"/>
        </w:rPr>
        <w:t>业绩一览表</w:t>
      </w:r>
    </w:p>
    <w:p>
      <w:pPr>
        <w:tabs>
          <w:tab w:val="left" w:pos="1800"/>
          <w:tab w:val="left" w:pos="5580"/>
        </w:tabs>
        <w:spacing w:line="360" w:lineRule="auto"/>
        <w:ind w:firstLine="360" w:firstLineChars="150"/>
        <w:jc w:val="left"/>
        <w:rPr>
          <w:rFonts w:ascii="宋体" w:hAnsi="宋体"/>
          <w:color w:val="auto"/>
          <w:sz w:val="24"/>
          <w:highlight w:val="none"/>
        </w:rPr>
      </w:pPr>
      <w:r>
        <w:rPr>
          <w:rFonts w:ascii="宋体" w:hAnsi="宋体"/>
          <w:color w:val="auto"/>
          <w:sz w:val="24"/>
          <w:highlight w:val="none"/>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color w:val="auto"/>
                <w:highlight w:val="none"/>
              </w:rPr>
            </w:pPr>
            <w:r>
              <w:rPr>
                <w:rFonts w:hint="eastAsia"/>
                <w:b/>
                <w:color w:val="auto"/>
                <w:highlight w:val="none"/>
              </w:rPr>
              <w:t>序号</w:t>
            </w:r>
          </w:p>
        </w:tc>
        <w:tc>
          <w:tcPr>
            <w:tcW w:w="1411" w:type="dxa"/>
            <w:vAlign w:val="center"/>
          </w:tcPr>
          <w:p>
            <w:pPr>
              <w:spacing w:line="360" w:lineRule="auto"/>
              <w:rPr>
                <w:b/>
                <w:color w:val="auto"/>
                <w:highlight w:val="none"/>
              </w:rPr>
            </w:pPr>
            <w:r>
              <w:rPr>
                <w:rFonts w:hint="eastAsia"/>
                <w:b/>
                <w:color w:val="auto"/>
                <w:highlight w:val="none"/>
              </w:rPr>
              <w:t>项目名称</w:t>
            </w:r>
          </w:p>
        </w:tc>
        <w:tc>
          <w:tcPr>
            <w:tcW w:w="1260" w:type="dxa"/>
            <w:vAlign w:val="center"/>
          </w:tcPr>
          <w:p>
            <w:pPr>
              <w:spacing w:line="360" w:lineRule="auto"/>
              <w:rPr>
                <w:b/>
                <w:color w:val="auto"/>
                <w:highlight w:val="none"/>
              </w:rPr>
            </w:pPr>
            <w:r>
              <w:rPr>
                <w:rFonts w:hint="eastAsia"/>
                <w:b/>
                <w:color w:val="auto"/>
                <w:highlight w:val="none"/>
              </w:rPr>
              <w:t>用户名称</w:t>
            </w:r>
          </w:p>
        </w:tc>
        <w:tc>
          <w:tcPr>
            <w:tcW w:w="1260" w:type="dxa"/>
            <w:vAlign w:val="center"/>
          </w:tcPr>
          <w:p>
            <w:pPr>
              <w:spacing w:line="360" w:lineRule="auto"/>
              <w:rPr>
                <w:b/>
                <w:color w:val="auto"/>
                <w:highlight w:val="none"/>
              </w:rPr>
            </w:pPr>
            <w:r>
              <w:rPr>
                <w:rFonts w:hint="eastAsia"/>
                <w:b/>
                <w:color w:val="auto"/>
                <w:highlight w:val="none"/>
              </w:rPr>
              <w:t>合同金额</w:t>
            </w:r>
          </w:p>
        </w:tc>
        <w:tc>
          <w:tcPr>
            <w:tcW w:w="1440" w:type="dxa"/>
            <w:vAlign w:val="center"/>
          </w:tcPr>
          <w:p>
            <w:pPr>
              <w:spacing w:line="360" w:lineRule="auto"/>
              <w:rPr>
                <w:b/>
                <w:color w:val="auto"/>
                <w:highlight w:val="none"/>
              </w:rPr>
            </w:pPr>
            <w:r>
              <w:rPr>
                <w:rFonts w:hint="eastAsia"/>
                <w:b/>
                <w:color w:val="auto"/>
                <w:highlight w:val="none"/>
              </w:rPr>
              <w:t>用户联系人及联系方式</w:t>
            </w:r>
          </w:p>
        </w:tc>
        <w:tc>
          <w:tcPr>
            <w:tcW w:w="1778" w:type="dxa"/>
            <w:vAlign w:val="center"/>
          </w:tcPr>
          <w:p>
            <w:pPr>
              <w:spacing w:line="360" w:lineRule="auto"/>
              <w:rPr>
                <w:b/>
                <w:color w:val="auto"/>
                <w:highlight w:val="none"/>
              </w:rPr>
            </w:pPr>
            <w:r>
              <w:rPr>
                <w:rFonts w:hint="eastAsia"/>
                <w:b/>
                <w:color w:val="auto"/>
                <w:highlight w:val="none"/>
              </w:rPr>
              <w:t>合同签订日期</w:t>
            </w:r>
          </w:p>
        </w:tc>
        <w:tc>
          <w:tcPr>
            <w:tcW w:w="1038" w:type="dxa"/>
            <w:vAlign w:val="center"/>
          </w:tcPr>
          <w:p>
            <w:pPr>
              <w:spacing w:line="360" w:lineRule="auto"/>
              <w:rPr>
                <w:b/>
                <w:color w:val="auto"/>
                <w:highlight w:val="none"/>
              </w:rPr>
            </w:pPr>
            <w:r>
              <w:rPr>
                <w:rFonts w:hint="eastAsia"/>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rPr>
                <w:color w:val="auto"/>
                <w:highlight w:val="none"/>
              </w:rPr>
            </w:pPr>
          </w:p>
        </w:tc>
        <w:tc>
          <w:tcPr>
            <w:tcW w:w="1411"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260" w:type="dxa"/>
            <w:vAlign w:val="center"/>
          </w:tcPr>
          <w:p>
            <w:pPr>
              <w:spacing w:line="360" w:lineRule="auto"/>
              <w:rPr>
                <w:color w:val="auto"/>
                <w:highlight w:val="none"/>
              </w:rPr>
            </w:pPr>
          </w:p>
        </w:tc>
        <w:tc>
          <w:tcPr>
            <w:tcW w:w="1440" w:type="dxa"/>
            <w:vAlign w:val="center"/>
          </w:tcPr>
          <w:p>
            <w:pPr>
              <w:spacing w:line="360" w:lineRule="auto"/>
              <w:rPr>
                <w:color w:val="auto"/>
                <w:highlight w:val="none"/>
              </w:rPr>
            </w:pPr>
          </w:p>
        </w:tc>
        <w:tc>
          <w:tcPr>
            <w:tcW w:w="1778" w:type="dxa"/>
            <w:vAlign w:val="center"/>
          </w:tcPr>
          <w:p>
            <w:pPr>
              <w:spacing w:line="360" w:lineRule="auto"/>
              <w:rPr>
                <w:color w:val="auto"/>
                <w:highlight w:val="none"/>
              </w:rPr>
            </w:pPr>
          </w:p>
        </w:tc>
        <w:tc>
          <w:tcPr>
            <w:tcW w:w="1038" w:type="dxa"/>
            <w:vAlign w:val="center"/>
          </w:tcPr>
          <w:p>
            <w:pPr>
              <w:spacing w:line="360" w:lineRule="auto"/>
              <w:rPr>
                <w:color w:val="auto"/>
                <w:highlight w:val="none"/>
              </w:rPr>
            </w:pPr>
          </w:p>
        </w:tc>
      </w:tr>
    </w:tbl>
    <w:p>
      <w:pPr>
        <w:pStyle w:val="23"/>
        <w:tabs>
          <w:tab w:val="left" w:pos="5580"/>
        </w:tabs>
        <w:spacing w:before="120" w:line="360" w:lineRule="auto"/>
        <w:rPr>
          <w:rFonts w:hint="default" w:hAnsi="宋体"/>
          <w:bCs/>
          <w:color w:val="auto"/>
          <w:sz w:val="24"/>
          <w:highlight w:val="none"/>
          <w:u w:val="single"/>
        </w:rPr>
      </w:pPr>
      <w:r>
        <w:rPr>
          <w:rFonts w:hAnsi="宋体"/>
          <w:bCs/>
          <w:color w:val="auto"/>
          <w:kern w:val="0"/>
          <w:sz w:val="24"/>
          <w:highlight w:val="none"/>
        </w:rPr>
        <w:t>注：</w:t>
      </w:r>
      <w:r>
        <w:rPr>
          <w:rFonts w:hAnsi="宋体"/>
          <w:bCs/>
          <w:color w:val="auto"/>
          <w:sz w:val="24"/>
          <w:highlight w:val="none"/>
        </w:rPr>
        <w:t>需附合同复印件，评委保留对上述资料原件审核的权力。</w:t>
      </w:r>
    </w:p>
    <w:p>
      <w:pPr>
        <w:autoSpaceDE w:val="0"/>
        <w:autoSpaceDN w:val="0"/>
        <w:adjustRightInd w:val="0"/>
        <w:snapToGrid w:val="0"/>
        <w:spacing w:before="25" w:after="25" w:line="360" w:lineRule="auto"/>
        <w:rPr>
          <w:rFonts w:ascii="宋体" w:hAnsi="宋体"/>
          <w:color w:val="auto"/>
          <w:sz w:val="24"/>
          <w:highlight w:val="none"/>
        </w:rPr>
      </w:pPr>
    </w:p>
    <w:p>
      <w:pPr>
        <w:autoSpaceDE w:val="0"/>
        <w:autoSpaceDN w:val="0"/>
        <w:adjustRightInd w:val="0"/>
        <w:snapToGrid w:val="0"/>
        <w:spacing w:before="25" w:after="25" w:line="360" w:lineRule="auto"/>
        <w:rPr>
          <w:rFonts w:ascii="宋体" w:hAnsi="宋体"/>
          <w:color w:val="auto"/>
          <w:sz w:val="24"/>
          <w:highlight w:val="none"/>
          <w:lang w:val="zh-CN"/>
        </w:rPr>
      </w:pPr>
      <w:r>
        <w:rPr>
          <w:rFonts w:hint="eastAsia" w:ascii="宋体" w:hAnsi="宋体"/>
          <w:color w:val="auto"/>
          <w:sz w:val="24"/>
          <w:highlight w:val="none"/>
        </w:rPr>
        <w:t>供应商</w:t>
      </w:r>
      <w:r>
        <w:rPr>
          <w:rFonts w:ascii="宋体" w:hAnsi="宋体"/>
          <w:color w:val="auto"/>
          <w:sz w:val="24"/>
          <w:highlight w:val="none"/>
        </w:rPr>
        <w:t>名称（加盖公章）</w:t>
      </w:r>
      <w:r>
        <w:rPr>
          <w:rFonts w:ascii="宋体" w:hAnsi="宋体"/>
          <w:color w:val="auto"/>
          <w:sz w:val="24"/>
          <w:highlight w:val="none"/>
          <w:lang w:val="zh-CN"/>
        </w:rPr>
        <w:t>：____________</w:t>
      </w:r>
    </w:p>
    <w:p>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szCs w:val="20"/>
          <w:highlight w:val="none"/>
        </w:rPr>
        <w:t xml:space="preserve">日期：_____年______月______日   </w:t>
      </w:r>
    </w:p>
    <w:p>
      <w:pPr>
        <w:widowControl/>
        <w:jc w:val="left"/>
        <w:rPr>
          <w:rFonts w:ascii="宋体" w:hAnsi="宋体"/>
          <w:color w:val="auto"/>
          <w:sz w:val="24"/>
          <w:szCs w:val="20"/>
          <w:highlight w:val="none"/>
        </w:rPr>
      </w:pPr>
      <w:r>
        <w:rPr>
          <w:rFonts w:ascii="宋体" w:hAnsi="宋体"/>
          <w:color w:val="auto"/>
          <w:sz w:val="24"/>
          <w:szCs w:val="20"/>
          <w:highlight w:val="none"/>
        </w:rPr>
        <w:br w:type="page"/>
      </w:r>
    </w:p>
    <w:p>
      <w:pPr>
        <w:spacing w:line="360" w:lineRule="auto"/>
        <w:outlineLvl w:val="2"/>
        <w:rPr>
          <w:rFonts w:ascii="宋体" w:hAnsi="宋体"/>
          <w:color w:val="auto"/>
          <w:sz w:val="24"/>
          <w:szCs w:val="20"/>
          <w:highlight w:val="none"/>
        </w:rPr>
      </w:pPr>
      <w:r>
        <w:rPr>
          <w:rFonts w:ascii="宋体" w:hAnsi="宋体"/>
          <w:color w:val="auto"/>
          <w:sz w:val="24"/>
          <w:szCs w:val="20"/>
          <w:highlight w:val="none"/>
        </w:rPr>
        <w:t>1</w:t>
      </w:r>
      <w:r>
        <w:rPr>
          <w:rFonts w:hint="eastAsia" w:ascii="宋体" w:hAnsi="宋体"/>
          <w:color w:val="auto"/>
          <w:sz w:val="24"/>
          <w:szCs w:val="20"/>
          <w:highlight w:val="none"/>
        </w:rPr>
        <w:t>0</w:t>
      </w:r>
      <w:r>
        <w:rPr>
          <w:rFonts w:ascii="宋体" w:hAnsi="宋体"/>
          <w:color w:val="auto"/>
          <w:sz w:val="24"/>
          <w:szCs w:val="20"/>
          <w:highlight w:val="none"/>
        </w:rPr>
        <w:t xml:space="preserve">  </w:t>
      </w:r>
      <w:r>
        <w:rPr>
          <w:rFonts w:hint="eastAsia" w:ascii="宋体" w:hAnsi="宋体"/>
          <w:color w:val="auto"/>
          <w:sz w:val="24"/>
          <w:szCs w:val="20"/>
          <w:highlight w:val="none"/>
        </w:rPr>
        <w:t>比选文件</w:t>
      </w:r>
      <w:r>
        <w:rPr>
          <w:rFonts w:ascii="宋体" w:hAnsi="宋体"/>
          <w:color w:val="auto"/>
          <w:sz w:val="24"/>
          <w:szCs w:val="20"/>
          <w:highlight w:val="none"/>
        </w:rPr>
        <w:t>要求提供或</w:t>
      </w:r>
      <w:r>
        <w:rPr>
          <w:rFonts w:hint="eastAsia" w:ascii="宋体" w:hAnsi="宋体"/>
          <w:color w:val="auto"/>
          <w:sz w:val="24"/>
          <w:szCs w:val="20"/>
          <w:highlight w:val="none"/>
        </w:rPr>
        <w:t>供应商</w:t>
      </w:r>
      <w:r>
        <w:rPr>
          <w:rFonts w:ascii="宋体" w:hAnsi="宋体"/>
          <w:color w:val="auto"/>
          <w:sz w:val="24"/>
          <w:szCs w:val="20"/>
          <w:highlight w:val="none"/>
        </w:rPr>
        <w:t>认为应附的其他材料</w:t>
      </w:r>
    </w:p>
    <w:p>
      <w:pPr>
        <w:tabs>
          <w:tab w:val="left" w:pos="360"/>
        </w:tabs>
        <w:snapToGrid w:val="0"/>
        <w:spacing w:line="360" w:lineRule="auto"/>
        <w:outlineLvl w:val="1"/>
        <w:rPr>
          <w:color w:val="auto"/>
          <w:sz w:val="24"/>
          <w:highlight w:val="none"/>
        </w:rPr>
      </w:pPr>
      <w:r>
        <w:rPr>
          <w:rFonts w:hint="eastAsia"/>
          <w:color w:val="auto"/>
          <w:sz w:val="24"/>
          <w:highlight w:val="none"/>
        </w:rPr>
        <w:t>10.1</w:t>
      </w:r>
      <w:r>
        <w:rPr>
          <w:color w:val="auto"/>
          <w:sz w:val="24"/>
          <w:highlight w:val="none"/>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单位名称</w:t>
            </w:r>
          </w:p>
        </w:tc>
        <w:tc>
          <w:tcPr>
            <w:tcW w:w="6071" w:type="dxa"/>
            <w:gridSpan w:val="3"/>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lang w:val="zh-CN"/>
              </w:rPr>
            </w:pPr>
            <w:r>
              <w:rPr>
                <w:color w:val="auto"/>
                <w:szCs w:val="21"/>
                <w:highlight w:val="none"/>
                <w:lang w:val="zh-CN"/>
              </w:rPr>
              <w:t>法定代表人</w:t>
            </w:r>
          </w:p>
        </w:tc>
        <w:tc>
          <w:tcPr>
            <w:tcW w:w="2019" w:type="dxa"/>
            <w:vAlign w:val="center"/>
          </w:tcPr>
          <w:p>
            <w:pPr>
              <w:spacing w:line="360" w:lineRule="auto"/>
              <w:ind w:right="-197" w:rightChars="-94"/>
              <w:jc w:val="center"/>
              <w:rPr>
                <w:color w:val="auto"/>
                <w:szCs w:val="21"/>
                <w:highlight w:val="none"/>
              </w:rPr>
            </w:pPr>
          </w:p>
        </w:tc>
        <w:tc>
          <w:tcPr>
            <w:tcW w:w="2032" w:type="dxa"/>
            <w:vAlign w:val="center"/>
          </w:tcPr>
          <w:p>
            <w:pPr>
              <w:spacing w:line="360" w:lineRule="auto"/>
              <w:ind w:right="-197" w:rightChars="-94"/>
              <w:jc w:val="center"/>
              <w:rPr>
                <w:color w:val="auto"/>
                <w:szCs w:val="21"/>
                <w:highlight w:val="none"/>
                <w:lang w:val="zh-CN"/>
              </w:rPr>
            </w:pPr>
            <w:r>
              <w:rPr>
                <w:color w:val="auto"/>
                <w:szCs w:val="21"/>
                <w:highlight w:val="none"/>
                <w:lang w:val="zh-CN"/>
              </w:rPr>
              <w:t>注册资金</w:t>
            </w:r>
          </w:p>
        </w:tc>
        <w:tc>
          <w:tcPr>
            <w:tcW w:w="2020" w:type="dxa"/>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单位性质</w:t>
            </w:r>
          </w:p>
        </w:tc>
        <w:tc>
          <w:tcPr>
            <w:tcW w:w="2019" w:type="dxa"/>
            <w:vAlign w:val="center"/>
          </w:tcPr>
          <w:p>
            <w:pPr>
              <w:spacing w:line="360" w:lineRule="auto"/>
              <w:ind w:right="-197" w:rightChars="-94"/>
              <w:jc w:val="center"/>
              <w:rPr>
                <w:color w:val="auto"/>
                <w:szCs w:val="21"/>
                <w:highlight w:val="none"/>
              </w:rPr>
            </w:pPr>
          </w:p>
        </w:tc>
        <w:tc>
          <w:tcPr>
            <w:tcW w:w="2032" w:type="dxa"/>
            <w:vAlign w:val="center"/>
          </w:tcPr>
          <w:p>
            <w:pPr>
              <w:spacing w:line="360" w:lineRule="auto"/>
              <w:ind w:right="-197" w:rightChars="-94"/>
              <w:jc w:val="center"/>
              <w:rPr>
                <w:color w:val="auto"/>
                <w:szCs w:val="21"/>
                <w:highlight w:val="none"/>
              </w:rPr>
            </w:pPr>
            <w:r>
              <w:rPr>
                <w:color w:val="auto"/>
                <w:szCs w:val="21"/>
                <w:highlight w:val="none"/>
                <w:lang w:val="zh-CN"/>
              </w:rPr>
              <w:t>成立时间</w:t>
            </w:r>
          </w:p>
        </w:tc>
        <w:tc>
          <w:tcPr>
            <w:tcW w:w="2020" w:type="dxa"/>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单位地址</w:t>
            </w:r>
          </w:p>
        </w:tc>
        <w:tc>
          <w:tcPr>
            <w:tcW w:w="6071" w:type="dxa"/>
            <w:gridSpan w:val="3"/>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经营范围</w:t>
            </w:r>
          </w:p>
        </w:tc>
        <w:tc>
          <w:tcPr>
            <w:tcW w:w="6071" w:type="dxa"/>
            <w:gridSpan w:val="3"/>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开户银行</w:t>
            </w:r>
          </w:p>
        </w:tc>
        <w:tc>
          <w:tcPr>
            <w:tcW w:w="2019" w:type="dxa"/>
            <w:vAlign w:val="center"/>
          </w:tcPr>
          <w:p>
            <w:pPr>
              <w:spacing w:line="360" w:lineRule="auto"/>
              <w:ind w:right="-197" w:rightChars="-94"/>
              <w:jc w:val="center"/>
              <w:rPr>
                <w:color w:val="auto"/>
                <w:szCs w:val="21"/>
                <w:highlight w:val="none"/>
              </w:rPr>
            </w:pPr>
          </w:p>
        </w:tc>
        <w:tc>
          <w:tcPr>
            <w:tcW w:w="2032" w:type="dxa"/>
            <w:vAlign w:val="center"/>
          </w:tcPr>
          <w:p>
            <w:pPr>
              <w:spacing w:line="360" w:lineRule="auto"/>
              <w:ind w:right="-197" w:rightChars="-94"/>
              <w:jc w:val="center"/>
              <w:rPr>
                <w:color w:val="auto"/>
                <w:szCs w:val="21"/>
                <w:highlight w:val="none"/>
              </w:rPr>
            </w:pPr>
            <w:r>
              <w:rPr>
                <w:color w:val="auto"/>
                <w:szCs w:val="21"/>
                <w:highlight w:val="none"/>
              </w:rPr>
              <w:t>银行账户</w:t>
            </w:r>
          </w:p>
        </w:tc>
        <w:tc>
          <w:tcPr>
            <w:tcW w:w="2020" w:type="dxa"/>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联系人</w:t>
            </w:r>
          </w:p>
        </w:tc>
        <w:tc>
          <w:tcPr>
            <w:tcW w:w="2019" w:type="dxa"/>
            <w:vAlign w:val="center"/>
          </w:tcPr>
          <w:p>
            <w:pPr>
              <w:spacing w:line="360" w:lineRule="auto"/>
              <w:ind w:right="-197" w:rightChars="-94"/>
              <w:jc w:val="center"/>
              <w:rPr>
                <w:color w:val="auto"/>
                <w:szCs w:val="21"/>
                <w:highlight w:val="none"/>
              </w:rPr>
            </w:pPr>
          </w:p>
        </w:tc>
        <w:tc>
          <w:tcPr>
            <w:tcW w:w="2032" w:type="dxa"/>
            <w:vAlign w:val="center"/>
          </w:tcPr>
          <w:p>
            <w:pPr>
              <w:spacing w:line="360" w:lineRule="auto"/>
              <w:ind w:right="-197" w:rightChars="-94"/>
              <w:jc w:val="center"/>
              <w:rPr>
                <w:color w:val="auto"/>
                <w:szCs w:val="21"/>
                <w:highlight w:val="none"/>
              </w:rPr>
            </w:pPr>
            <w:r>
              <w:rPr>
                <w:color w:val="auto"/>
                <w:szCs w:val="21"/>
                <w:highlight w:val="none"/>
                <w:lang w:val="zh-CN"/>
              </w:rPr>
              <w:t>联系电话</w:t>
            </w:r>
          </w:p>
        </w:tc>
        <w:tc>
          <w:tcPr>
            <w:tcW w:w="2020" w:type="dxa"/>
            <w:vAlign w:val="center"/>
          </w:tcPr>
          <w:p>
            <w:pPr>
              <w:spacing w:line="360" w:lineRule="auto"/>
              <w:ind w:right="-197" w:rightChars="-94"/>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color w:val="auto"/>
                <w:szCs w:val="21"/>
                <w:highlight w:val="none"/>
              </w:rPr>
            </w:pPr>
            <w:r>
              <w:rPr>
                <w:color w:val="auto"/>
                <w:szCs w:val="21"/>
                <w:highlight w:val="none"/>
                <w:lang w:val="zh-CN"/>
              </w:rPr>
              <w:t>基本情况</w:t>
            </w:r>
          </w:p>
        </w:tc>
        <w:tc>
          <w:tcPr>
            <w:tcW w:w="6071" w:type="dxa"/>
            <w:gridSpan w:val="3"/>
            <w:vAlign w:val="center"/>
          </w:tcPr>
          <w:p>
            <w:pPr>
              <w:spacing w:line="360" w:lineRule="auto"/>
              <w:ind w:right="-197" w:rightChars="-94"/>
              <w:jc w:val="center"/>
              <w:rPr>
                <w:color w:val="auto"/>
                <w:szCs w:val="21"/>
                <w:highlight w:val="none"/>
              </w:rPr>
            </w:pPr>
          </w:p>
        </w:tc>
      </w:tr>
    </w:tbl>
    <w:p>
      <w:pPr>
        <w:spacing w:line="360" w:lineRule="auto"/>
        <w:ind w:right="-57" w:rightChars="-27"/>
        <w:jc w:val="left"/>
        <w:rPr>
          <w:color w:val="auto"/>
          <w:szCs w:val="21"/>
          <w:highlight w:val="none"/>
          <w:lang w:val="zh-CN"/>
        </w:rPr>
      </w:pPr>
    </w:p>
    <w:p>
      <w:pPr>
        <w:widowControl/>
        <w:jc w:val="left"/>
        <w:rPr>
          <w:color w:val="auto"/>
          <w:szCs w:val="21"/>
          <w:highlight w:val="none"/>
        </w:rPr>
      </w:pPr>
      <w:r>
        <w:rPr>
          <w:color w:val="auto"/>
          <w:szCs w:val="21"/>
          <w:highlight w:val="none"/>
        </w:rPr>
        <w:br w:type="page"/>
      </w:r>
    </w:p>
    <w:p>
      <w:pPr>
        <w:pStyle w:val="7"/>
        <w:spacing w:line="480" w:lineRule="exact"/>
        <w:ind w:left="899" w:hanging="899"/>
        <w:jc w:val="both"/>
        <w:rPr>
          <w:b w:val="0"/>
          <w:bCs/>
          <w:color w:val="auto"/>
          <w:highlight w:val="none"/>
          <w:u w:val="none"/>
        </w:rPr>
      </w:pPr>
      <w:bookmarkStart w:id="759" w:name="_Toc482104386"/>
      <w:r>
        <w:rPr>
          <w:rFonts w:hint="eastAsia" w:ascii="Times New Roman"/>
          <w:b w:val="0"/>
          <w:bCs/>
          <w:color w:val="auto"/>
          <w:highlight w:val="none"/>
          <w:u w:val="none"/>
        </w:rPr>
        <w:t xml:space="preserve">10.2 </w:t>
      </w:r>
      <w:bookmarkStart w:id="760" w:name="_Toc358538376"/>
      <w:bookmarkStart w:id="761" w:name="_Toc493975502"/>
      <w:r>
        <w:rPr>
          <w:b w:val="0"/>
          <w:bCs/>
          <w:color w:val="auto"/>
          <w:highlight w:val="none"/>
          <w:u w:val="none"/>
        </w:rPr>
        <w:t>拟派项目</w:t>
      </w:r>
      <w:r>
        <w:rPr>
          <w:rFonts w:hint="eastAsia"/>
          <w:b w:val="0"/>
          <w:bCs/>
          <w:color w:val="auto"/>
          <w:highlight w:val="none"/>
          <w:u w:val="none"/>
        </w:rPr>
        <w:t>经理</w:t>
      </w:r>
      <w:r>
        <w:rPr>
          <w:b w:val="0"/>
          <w:bCs/>
          <w:color w:val="auto"/>
          <w:highlight w:val="none"/>
          <w:u w:val="none"/>
        </w:rPr>
        <w:t>资格声明</w:t>
      </w:r>
      <w:bookmarkEnd w:id="760"/>
      <w:bookmarkEnd w:id="761"/>
    </w:p>
    <w:p>
      <w:pPr>
        <w:spacing w:line="360" w:lineRule="auto"/>
        <w:rPr>
          <w:rFonts w:ascii="宋体" w:hAnsi="宋体"/>
          <w:color w:val="auto"/>
          <w:sz w:val="24"/>
          <w:highlight w:val="none"/>
        </w:rPr>
      </w:pPr>
      <w:r>
        <w:rPr>
          <w:rFonts w:hint="eastAsia" w:ascii="宋体" w:hAnsi="宋体"/>
          <w:color w:val="auto"/>
          <w:sz w:val="24"/>
          <w:highlight w:val="none"/>
        </w:rPr>
        <w:t>项目名称：</w:t>
      </w:r>
    </w:p>
    <w:p>
      <w:pPr>
        <w:spacing w:line="360" w:lineRule="auto"/>
        <w:rPr>
          <w:rFonts w:ascii="宋体" w:hAnsi="宋体"/>
          <w:color w:val="auto"/>
          <w:sz w:val="24"/>
          <w:highlight w:val="none"/>
        </w:rPr>
      </w:pPr>
      <w:r>
        <w:rPr>
          <w:rFonts w:hint="eastAsia" w:ascii="宋体" w:hAnsi="宋体"/>
          <w:color w:val="auto"/>
          <w:sz w:val="24"/>
          <w:highlight w:val="none"/>
        </w:rPr>
        <w:t>项目编号：</w:t>
      </w:r>
    </w:p>
    <w:p>
      <w:pPr>
        <w:spacing w:line="360" w:lineRule="auto"/>
        <w:rPr>
          <w:rFonts w:ascii="宋体" w:hAnsi="宋体"/>
          <w:color w:val="auto"/>
          <w:sz w:val="24"/>
          <w:highlight w:val="none"/>
        </w:rPr>
      </w:pPr>
      <w:r>
        <w:rPr>
          <w:rFonts w:hint="eastAsia" w:ascii="宋体" w:hAnsi="宋体"/>
          <w:color w:val="auto"/>
          <w:sz w:val="24"/>
          <w:highlight w:val="none"/>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姓名</w:t>
            </w:r>
          </w:p>
        </w:tc>
        <w:tc>
          <w:tcPr>
            <w:tcW w:w="3042" w:type="dxa"/>
            <w:vAlign w:val="center"/>
          </w:tcPr>
          <w:p>
            <w:pPr>
              <w:spacing w:line="360" w:lineRule="auto"/>
              <w:rPr>
                <w:rFonts w:ascii="宋体" w:hAnsi="宋体"/>
                <w:color w:val="auto"/>
                <w:sz w:val="24"/>
                <w:highlight w:val="none"/>
              </w:rPr>
            </w:pPr>
          </w:p>
        </w:tc>
        <w:tc>
          <w:tcPr>
            <w:tcW w:w="3079"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性别</w:t>
            </w:r>
          </w:p>
        </w:tc>
        <w:tc>
          <w:tcPr>
            <w:tcW w:w="3042" w:type="dxa"/>
            <w:vAlign w:val="center"/>
          </w:tcPr>
          <w:p>
            <w:pPr>
              <w:spacing w:line="360" w:lineRule="auto"/>
              <w:rPr>
                <w:rFonts w:ascii="宋体" w:hAnsi="宋体"/>
                <w:color w:val="auto"/>
                <w:sz w:val="24"/>
                <w:highlight w:val="none"/>
              </w:rPr>
            </w:pPr>
          </w:p>
        </w:tc>
        <w:tc>
          <w:tcPr>
            <w:tcW w:w="3079" w:type="dxa"/>
            <w:vMerge w:val="restart"/>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年龄</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专业</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学历</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工龄</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职务</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从事本岗位工作时间</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联系电话</w:t>
            </w:r>
          </w:p>
        </w:tc>
        <w:tc>
          <w:tcPr>
            <w:tcW w:w="3042" w:type="dxa"/>
            <w:vAlign w:val="center"/>
          </w:tcPr>
          <w:p>
            <w:pPr>
              <w:spacing w:line="360" w:lineRule="auto"/>
              <w:rPr>
                <w:rFonts w:ascii="宋体" w:hAnsi="宋体"/>
                <w:color w:val="auto"/>
                <w:sz w:val="24"/>
                <w:highlight w:val="none"/>
              </w:rPr>
            </w:pPr>
          </w:p>
        </w:tc>
        <w:tc>
          <w:tcPr>
            <w:tcW w:w="3079" w:type="dxa"/>
            <w:vMerge w:val="continue"/>
            <w:vAlign w:val="center"/>
          </w:tcPr>
          <w:p>
            <w:pPr>
              <w:spacing w:line="360" w:lineRule="auto"/>
              <w:rPr>
                <w:rFonts w:ascii="宋体" w:hAnsi="宋体"/>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注：须附学历证书，身份证，资格证书，社保缴纳证明材料、业绩等证明文件的复印件。</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供应商公章：</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日期：</w:t>
      </w:r>
    </w:p>
    <w:p>
      <w:pPr>
        <w:tabs>
          <w:tab w:val="left" w:pos="360"/>
        </w:tabs>
        <w:snapToGrid w:val="0"/>
        <w:spacing w:line="360" w:lineRule="auto"/>
        <w:outlineLvl w:val="1"/>
        <w:rPr>
          <w:color w:val="auto"/>
          <w:sz w:val="24"/>
          <w:highlight w:val="none"/>
        </w:rPr>
      </w:pPr>
    </w:p>
    <w:p>
      <w:pPr>
        <w:rPr>
          <w:color w:val="auto"/>
          <w:sz w:val="24"/>
          <w:highlight w:val="none"/>
        </w:rPr>
      </w:pPr>
      <w:r>
        <w:rPr>
          <w:rFonts w:hint="eastAsia"/>
          <w:color w:val="auto"/>
          <w:sz w:val="24"/>
          <w:highlight w:val="none"/>
        </w:rPr>
        <w:br w:type="page"/>
      </w:r>
    </w:p>
    <w:p>
      <w:pPr>
        <w:tabs>
          <w:tab w:val="left" w:pos="360"/>
        </w:tabs>
        <w:snapToGrid w:val="0"/>
        <w:spacing w:line="360" w:lineRule="auto"/>
        <w:outlineLvl w:val="1"/>
        <w:rPr>
          <w:color w:val="auto"/>
          <w:sz w:val="24"/>
          <w:highlight w:val="none"/>
        </w:rPr>
      </w:pPr>
      <w:r>
        <w:rPr>
          <w:rFonts w:hint="eastAsia"/>
          <w:color w:val="auto"/>
          <w:sz w:val="24"/>
          <w:highlight w:val="none"/>
        </w:rPr>
        <w:t xml:space="preserve">10.3 </w:t>
      </w:r>
      <w:r>
        <w:rPr>
          <w:color w:val="auto"/>
          <w:sz w:val="24"/>
          <w:highlight w:val="none"/>
        </w:rPr>
        <w:t>项目</w:t>
      </w:r>
      <w:r>
        <w:rPr>
          <w:rFonts w:hint="eastAsia"/>
          <w:color w:val="auto"/>
          <w:sz w:val="24"/>
          <w:highlight w:val="none"/>
        </w:rPr>
        <w:t>团队</w:t>
      </w:r>
      <w:r>
        <w:rPr>
          <w:color w:val="auto"/>
          <w:sz w:val="24"/>
          <w:highlight w:val="none"/>
        </w:rPr>
        <w:t>人员一览表</w:t>
      </w:r>
      <w:bookmarkEnd w:id="759"/>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序号</w:t>
            </w:r>
          </w:p>
        </w:tc>
        <w:tc>
          <w:tcPr>
            <w:tcW w:w="992"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姓名</w:t>
            </w:r>
          </w:p>
        </w:tc>
        <w:tc>
          <w:tcPr>
            <w:tcW w:w="1134"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年龄</w:t>
            </w:r>
          </w:p>
        </w:tc>
        <w:tc>
          <w:tcPr>
            <w:tcW w:w="1276"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学历</w:t>
            </w:r>
          </w:p>
        </w:tc>
        <w:tc>
          <w:tcPr>
            <w:tcW w:w="1417"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本项目职责分工</w:t>
            </w:r>
          </w:p>
        </w:tc>
        <w:tc>
          <w:tcPr>
            <w:tcW w:w="1843"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参加工作时间及年限</w:t>
            </w:r>
          </w:p>
        </w:tc>
        <w:tc>
          <w:tcPr>
            <w:tcW w:w="1843" w:type="dxa"/>
            <w:vAlign w:val="center"/>
          </w:tcPr>
          <w:p>
            <w:pPr>
              <w:adjustRightInd w:val="0"/>
              <w:snapToGrid w:val="0"/>
              <w:spacing w:after="120" w:afterLines="50" w:line="360" w:lineRule="auto"/>
              <w:jc w:val="center"/>
              <w:rPr>
                <w:bCs/>
                <w:color w:val="auto"/>
                <w:szCs w:val="21"/>
                <w:highlight w:val="none"/>
              </w:rPr>
            </w:pPr>
            <w:r>
              <w:rPr>
                <w:bCs/>
                <w:color w:val="auto"/>
                <w:szCs w:val="21"/>
                <w:highlight w:val="none"/>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color w:val="auto"/>
                <w:sz w:val="24"/>
                <w:szCs w:val="22"/>
                <w:highlight w:val="none"/>
              </w:rPr>
            </w:pPr>
          </w:p>
        </w:tc>
        <w:tc>
          <w:tcPr>
            <w:tcW w:w="992" w:type="dxa"/>
          </w:tcPr>
          <w:p>
            <w:pPr>
              <w:adjustRightInd w:val="0"/>
              <w:snapToGrid w:val="0"/>
              <w:spacing w:after="120" w:afterLines="50" w:line="360" w:lineRule="auto"/>
              <w:jc w:val="center"/>
              <w:rPr>
                <w:color w:val="auto"/>
                <w:sz w:val="24"/>
                <w:szCs w:val="22"/>
                <w:highlight w:val="none"/>
              </w:rPr>
            </w:pPr>
          </w:p>
        </w:tc>
        <w:tc>
          <w:tcPr>
            <w:tcW w:w="1134" w:type="dxa"/>
          </w:tcPr>
          <w:p>
            <w:pPr>
              <w:adjustRightInd w:val="0"/>
              <w:snapToGrid w:val="0"/>
              <w:spacing w:after="120" w:afterLines="50" w:line="360" w:lineRule="auto"/>
              <w:jc w:val="center"/>
              <w:rPr>
                <w:color w:val="auto"/>
                <w:sz w:val="24"/>
                <w:szCs w:val="22"/>
                <w:highlight w:val="none"/>
              </w:rPr>
            </w:pPr>
          </w:p>
        </w:tc>
        <w:tc>
          <w:tcPr>
            <w:tcW w:w="1276" w:type="dxa"/>
          </w:tcPr>
          <w:p>
            <w:pPr>
              <w:adjustRightInd w:val="0"/>
              <w:snapToGrid w:val="0"/>
              <w:spacing w:after="120" w:afterLines="50" w:line="360" w:lineRule="auto"/>
              <w:jc w:val="center"/>
              <w:rPr>
                <w:color w:val="auto"/>
                <w:sz w:val="24"/>
                <w:szCs w:val="22"/>
                <w:highlight w:val="none"/>
              </w:rPr>
            </w:pPr>
          </w:p>
        </w:tc>
        <w:tc>
          <w:tcPr>
            <w:tcW w:w="1417"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c>
          <w:tcPr>
            <w:tcW w:w="1843" w:type="dxa"/>
          </w:tcPr>
          <w:p>
            <w:pPr>
              <w:adjustRightInd w:val="0"/>
              <w:snapToGrid w:val="0"/>
              <w:spacing w:after="120" w:afterLines="50" w:line="360" w:lineRule="auto"/>
              <w:jc w:val="center"/>
              <w:rPr>
                <w:color w:val="auto"/>
                <w:sz w:val="24"/>
                <w:szCs w:val="22"/>
                <w:highlight w:val="none"/>
              </w:rPr>
            </w:pPr>
          </w:p>
        </w:tc>
      </w:tr>
    </w:tbl>
    <w:p>
      <w:pPr>
        <w:spacing w:line="360" w:lineRule="auto"/>
        <w:rPr>
          <w:color w:val="auto"/>
          <w:sz w:val="24"/>
          <w:highlight w:val="none"/>
        </w:rPr>
      </w:pPr>
    </w:p>
    <w:p>
      <w:pPr>
        <w:spacing w:line="360" w:lineRule="auto"/>
        <w:rPr>
          <w:color w:val="auto"/>
          <w:szCs w:val="21"/>
          <w:highlight w:val="none"/>
        </w:rPr>
      </w:pPr>
      <w:r>
        <w:rPr>
          <w:color w:val="auto"/>
          <w:szCs w:val="21"/>
          <w:highlight w:val="none"/>
        </w:rPr>
        <w:t>备注：附项目团队人员的身份证、学历证</w:t>
      </w:r>
      <w:r>
        <w:rPr>
          <w:rFonts w:hint="eastAsia"/>
          <w:color w:val="auto"/>
          <w:szCs w:val="21"/>
          <w:highlight w:val="none"/>
        </w:rPr>
        <w:t>（若有）</w:t>
      </w:r>
      <w:r>
        <w:rPr>
          <w:color w:val="auto"/>
          <w:szCs w:val="21"/>
          <w:highlight w:val="none"/>
        </w:rPr>
        <w:t>、学位证</w:t>
      </w:r>
      <w:r>
        <w:rPr>
          <w:rFonts w:hint="eastAsia"/>
          <w:color w:val="auto"/>
          <w:szCs w:val="21"/>
          <w:highlight w:val="none"/>
        </w:rPr>
        <w:t>（若有）</w:t>
      </w:r>
      <w:r>
        <w:rPr>
          <w:color w:val="auto"/>
          <w:szCs w:val="21"/>
          <w:highlight w:val="none"/>
        </w:rPr>
        <w:t>、职称证</w:t>
      </w:r>
      <w:r>
        <w:rPr>
          <w:rFonts w:hint="eastAsia"/>
          <w:color w:val="auto"/>
          <w:szCs w:val="21"/>
          <w:highlight w:val="none"/>
        </w:rPr>
        <w:t>（若有）</w:t>
      </w:r>
      <w:r>
        <w:rPr>
          <w:color w:val="auto"/>
          <w:szCs w:val="21"/>
          <w:highlight w:val="none"/>
        </w:rPr>
        <w:t>、</w:t>
      </w:r>
      <w:r>
        <w:rPr>
          <w:rFonts w:hint="eastAsia"/>
          <w:color w:val="auto"/>
          <w:szCs w:val="21"/>
          <w:highlight w:val="none"/>
        </w:rPr>
        <w:t>职业资格证书（若有）、</w:t>
      </w:r>
      <w:r>
        <w:rPr>
          <w:color w:val="auto"/>
          <w:szCs w:val="21"/>
          <w:highlight w:val="none"/>
        </w:rPr>
        <w:t>相关资料复印件并加盖供应商公章。</w:t>
      </w:r>
    </w:p>
    <w:p>
      <w:pPr>
        <w:spacing w:line="360" w:lineRule="auto"/>
        <w:rPr>
          <w:color w:val="auto"/>
          <w:szCs w:val="21"/>
          <w:highlight w:val="none"/>
        </w:rPr>
      </w:pPr>
    </w:p>
    <w:p>
      <w:pPr>
        <w:widowControl/>
        <w:jc w:val="left"/>
        <w:rPr>
          <w:color w:val="auto"/>
          <w:szCs w:val="21"/>
          <w:highlight w:val="none"/>
        </w:rPr>
      </w:pPr>
      <w:r>
        <w:rPr>
          <w:color w:val="auto"/>
          <w:szCs w:val="21"/>
          <w:highlight w:val="none"/>
        </w:rPr>
        <w:br w:type="page"/>
      </w:r>
    </w:p>
    <w:p>
      <w:pPr>
        <w:tabs>
          <w:tab w:val="left" w:pos="360"/>
        </w:tabs>
        <w:snapToGrid w:val="0"/>
        <w:spacing w:line="360" w:lineRule="auto"/>
        <w:outlineLvl w:val="1"/>
        <w:rPr>
          <w:color w:val="auto"/>
          <w:sz w:val="24"/>
          <w:highlight w:val="none"/>
        </w:rPr>
      </w:pPr>
      <w:r>
        <w:rPr>
          <w:rFonts w:hint="eastAsia"/>
          <w:color w:val="auto"/>
          <w:sz w:val="24"/>
          <w:highlight w:val="none"/>
        </w:rPr>
        <w:t>10.4 服务方案及承诺</w:t>
      </w:r>
    </w:p>
    <w:p>
      <w:pPr>
        <w:spacing w:line="360" w:lineRule="auto"/>
        <w:rPr>
          <w:color w:val="auto"/>
          <w:szCs w:val="21"/>
          <w:highlight w:val="none"/>
        </w:rPr>
      </w:pPr>
    </w:p>
    <w:p>
      <w:pPr>
        <w:pStyle w:val="23"/>
        <w:spacing w:line="360" w:lineRule="auto"/>
        <w:jc w:val="left"/>
        <w:rPr>
          <w:rFonts w:hint="default" w:hAnsi="宋体"/>
          <w:bCs/>
          <w:color w:val="auto"/>
          <w:sz w:val="24"/>
          <w:szCs w:val="24"/>
          <w:highlight w:val="none"/>
          <w:lang w:eastAsia="zh-Hans"/>
        </w:rPr>
      </w:pPr>
      <w:r>
        <w:rPr>
          <w:rFonts w:hAnsi="宋体"/>
          <w:bCs/>
          <w:color w:val="auto"/>
          <w:sz w:val="24"/>
          <w:szCs w:val="24"/>
          <w:highlight w:val="none"/>
        </w:rPr>
        <w:t>格式自拟，根据第三章评分标准和第四章采购需求自行编写</w:t>
      </w:r>
    </w:p>
    <w:p>
      <w:pPr>
        <w:widowControl/>
        <w:spacing w:line="360" w:lineRule="auto"/>
        <w:jc w:val="left"/>
        <w:rPr>
          <w:rFonts w:ascii="宋体" w:hAnsi="宋体"/>
          <w:b/>
          <w:color w:val="auto"/>
          <w:sz w:val="36"/>
          <w:szCs w:val="36"/>
          <w:highlight w:val="none"/>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2442328"/>
    <w:multiLevelType w:val="multilevel"/>
    <w:tmpl w:val="024423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50F47AA"/>
    <w:multiLevelType w:val="multilevel"/>
    <w:tmpl w:val="050F47AA"/>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5274EBB"/>
    <w:multiLevelType w:val="multilevel"/>
    <w:tmpl w:val="05274EBB"/>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666343E"/>
    <w:multiLevelType w:val="multilevel"/>
    <w:tmpl w:val="0666343E"/>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13">
    <w:nsid w:val="08294ACE"/>
    <w:multiLevelType w:val="multilevel"/>
    <w:tmpl w:val="08294AC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9C2A4E"/>
    <w:multiLevelType w:val="multilevel"/>
    <w:tmpl w:val="0A9C2A4E"/>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472579"/>
    <w:multiLevelType w:val="multilevel"/>
    <w:tmpl w:val="10472579"/>
    <w:lvl w:ilvl="0" w:tentative="0">
      <w:start w:val="1"/>
      <w:numFmt w:val="decimal"/>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4C867EE"/>
    <w:multiLevelType w:val="multilevel"/>
    <w:tmpl w:val="14C867EE"/>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272E31"/>
    <w:multiLevelType w:val="multilevel"/>
    <w:tmpl w:val="1C272E31"/>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1FCD4497"/>
    <w:multiLevelType w:val="multilevel"/>
    <w:tmpl w:val="1FCD4497"/>
    <w:lvl w:ilvl="0" w:tentative="0">
      <w:start w:val="1"/>
      <w:numFmt w:val="chineseCountingThousand"/>
      <w:lvlText w:val="%1、"/>
      <w:lvlJc w:val="left"/>
      <w:pPr>
        <w:ind w:left="420" w:hanging="420"/>
      </w:pPr>
      <w:rPr>
        <w:rFonts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00177AB"/>
    <w:multiLevelType w:val="multilevel"/>
    <w:tmpl w:val="200177AB"/>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0620FE4"/>
    <w:multiLevelType w:val="multilevel"/>
    <w:tmpl w:val="20620FE4"/>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0A925CE"/>
    <w:multiLevelType w:val="multilevel"/>
    <w:tmpl w:val="20A925CE"/>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21097E11"/>
    <w:multiLevelType w:val="multilevel"/>
    <w:tmpl w:val="21097E11"/>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BE596F"/>
    <w:multiLevelType w:val="multilevel"/>
    <w:tmpl w:val="27BE596F"/>
    <w:lvl w:ilvl="0" w:tentative="0">
      <w:start w:val="1"/>
      <w:numFmt w:val="decimal"/>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6">
    <w:nsid w:val="27CE07D2"/>
    <w:multiLevelType w:val="singleLevel"/>
    <w:tmpl w:val="27CE07D2"/>
    <w:lvl w:ilvl="0" w:tentative="0">
      <w:start w:val="1"/>
      <w:numFmt w:val="decimal"/>
      <w:lvlText w:val="%1."/>
      <w:lvlJc w:val="left"/>
      <w:pPr>
        <w:tabs>
          <w:tab w:val="left" w:pos="312"/>
        </w:tabs>
      </w:pPr>
    </w:lvl>
  </w:abstractNum>
  <w:abstractNum w:abstractNumId="27">
    <w:nsid w:val="2D096560"/>
    <w:multiLevelType w:val="multilevel"/>
    <w:tmpl w:val="2D096560"/>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9">
    <w:nsid w:val="3048767B"/>
    <w:multiLevelType w:val="multilevel"/>
    <w:tmpl w:val="3048767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83D3E9F"/>
    <w:multiLevelType w:val="multilevel"/>
    <w:tmpl w:val="383D3E9F"/>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1">
    <w:nsid w:val="39F350C4"/>
    <w:multiLevelType w:val="multilevel"/>
    <w:tmpl w:val="39F350C4"/>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3AE4088D"/>
    <w:multiLevelType w:val="multilevel"/>
    <w:tmpl w:val="3AE4088D"/>
    <w:lvl w:ilvl="0" w:tentative="0">
      <w:start w:val="1"/>
      <w:numFmt w:val="decimal"/>
      <w:lvlText w:val="（%1）"/>
      <w:lvlJc w:val="left"/>
      <w:pPr>
        <w:ind w:left="1124" w:hanging="420"/>
      </w:pPr>
      <w:rPr>
        <w:rFonts w:hint="eastAsia"/>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33">
    <w:nsid w:val="3EF577B6"/>
    <w:multiLevelType w:val="multilevel"/>
    <w:tmpl w:val="3EF577B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026A09"/>
    <w:multiLevelType w:val="multilevel"/>
    <w:tmpl w:val="3F026A09"/>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1297CF2"/>
    <w:multiLevelType w:val="multilevel"/>
    <w:tmpl w:val="41297CF2"/>
    <w:lvl w:ilvl="0" w:tentative="0">
      <w:start w:val="1"/>
      <w:numFmt w:val="decimal"/>
      <w:lvlText w:val="%1."/>
      <w:lvlJc w:val="righ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6">
    <w:nsid w:val="43CB1415"/>
    <w:multiLevelType w:val="multilevel"/>
    <w:tmpl w:val="43CB1415"/>
    <w:lvl w:ilvl="0" w:tentative="0">
      <w:start w:val="1"/>
      <w:numFmt w:val="decimal"/>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7">
    <w:nsid w:val="44D857F2"/>
    <w:multiLevelType w:val="multilevel"/>
    <w:tmpl w:val="44D857F2"/>
    <w:lvl w:ilvl="0" w:tentative="0">
      <w:start w:val="1"/>
      <w:numFmt w:val="japaneseCounting"/>
      <w:lvlText w:val="（%1）"/>
      <w:lvlJc w:val="left"/>
      <w:pPr>
        <w:ind w:left="840" w:hanging="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9">
    <w:nsid w:val="4EA0B777"/>
    <w:multiLevelType w:val="multilevel"/>
    <w:tmpl w:val="4EA0B777"/>
    <w:lvl w:ilvl="0" w:tentative="0">
      <w:start w:val="1"/>
      <w:numFmt w:val="japaneseCounting"/>
      <w:lvlText w:val="（%1）"/>
      <w:lvlJc w:val="left"/>
      <w:pPr>
        <w:ind w:left="840" w:hanging="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52041D7E"/>
    <w:multiLevelType w:val="multilevel"/>
    <w:tmpl w:val="52041D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4806F2C"/>
    <w:multiLevelType w:val="multilevel"/>
    <w:tmpl w:val="54806F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6460409"/>
    <w:multiLevelType w:val="multilevel"/>
    <w:tmpl w:val="56460409"/>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1A013B9"/>
    <w:multiLevelType w:val="multilevel"/>
    <w:tmpl w:val="61A013B9"/>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4084F68"/>
    <w:multiLevelType w:val="multilevel"/>
    <w:tmpl w:val="64084F68"/>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45">
    <w:nsid w:val="64270101"/>
    <w:multiLevelType w:val="multilevel"/>
    <w:tmpl w:val="6427010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66CE3B61"/>
    <w:multiLevelType w:val="multilevel"/>
    <w:tmpl w:val="66CE3B61"/>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D10472C"/>
    <w:multiLevelType w:val="multilevel"/>
    <w:tmpl w:val="6D10472C"/>
    <w:lvl w:ilvl="0" w:tentative="0">
      <w:start w:val="1"/>
      <w:numFmt w:val="decimal"/>
      <w:lvlText w:val="（%1）"/>
      <w:lvlJc w:val="righ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8">
    <w:nsid w:val="743F61A4"/>
    <w:multiLevelType w:val="multilevel"/>
    <w:tmpl w:val="743F61A4"/>
    <w:lvl w:ilvl="0" w:tentative="0">
      <w:start w:val="1"/>
      <w:numFmt w:val="decimal"/>
      <w:lvlText w:val="%1．"/>
      <w:lvlJc w:val="center"/>
      <w:pPr>
        <w:ind w:left="980" w:hanging="420"/>
      </w:pPr>
      <w:rPr>
        <w:rFonts w:hint="default" w:ascii="宋体" w:hAnsi="宋体" w:eastAsia="宋体"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9">
    <w:nsid w:val="768A6D5F"/>
    <w:multiLevelType w:val="multilevel"/>
    <w:tmpl w:val="768A6D5F"/>
    <w:lvl w:ilvl="0" w:tentative="0">
      <w:start w:val="1"/>
      <w:numFmt w:val="decimal"/>
      <w:lvlText w:val="（%1）"/>
      <w:lvlJc w:val="right"/>
      <w:pPr>
        <w:ind w:left="1400" w:hanging="420"/>
      </w:pPr>
      <w:rPr>
        <w:rFonts w:hint="default"/>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50">
    <w:nsid w:val="7CBD238E"/>
    <w:multiLevelType w:val="multilevel"/>
    <w:tmpl w:val="7CBD238E"/>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DCD6967"/>
    <w:multiLevelType w:val="multilevel"/>
    <w:tmpl w:val="7DCD6967"/>
    <w:lvl w:ilvl="0" w:tentative="0">
      <w:start w:val="1"/>
      <w:numFmt w:val="japaneseCounting"/>
      <w:lvlText w:val="（%1）"/>
      <w:lvlJc w:val="left"/>
      <w:pPr>
        <w:ind w:left="840" w:hanging="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5"/>
  </w:num>
  <w:num w:numId="8">
    <w:abstractNumId w:val="6"/>
  </w:num>
  <w:num w:numId="9">
    <w:abstractNumId w:val="0"/>
  </w:num>
  <w:num w:numId="10">
    <w:abstractNumId w:val="17"/>
  </w:num>
  <w:num w:numId="11">
    <w:abstractNumId w:val="33"/>
  </w:num>
  <w:num w:numId="12">
    <w:abstractNumId w:val="34"/>
  </w:num>
  <w:num w:numId="13">
    <w:abstractNumId w:val="20"/>
  </w:num>
  <w:num w:numId="14">
    <w:abstractNumId w:val="18"/>
  </w:num>
  <w:num w:numId="15">
    <w:abstractNumId w:val="51"/>
  </w:num>
  <w:num w:numId="16">
    <w:abstractNumId w:val="35"/>
  </w:num>
  <w:num w:numId="17">
    <w:abstractNumId w:val="16"/>
  </w:num>
  <w:num w:numId="18">
    <w:abstractNumId w:val="44"/>
  </w:num>
  <w:num w:numId="19">
    <w:abstractNumId w:val="10"/>
  </w:num>
  <w:num w:numId="20">
    <w:abstractNumId w:val="29"/>
  </w:num>
  <w:num w:numId="21">
    <w:abstractNumId w:val="13"/>
  </w:num>
  <w:num w:numId="22">
    <w:abstractNumId w:val="30"/>
  </w:num>
  <w:num w:numId="23">
    <w:abstractNumId w:val="12"/>
  </w:num>
  <w:num w:numId="24">
    <w:abstractNumId w:val="32"/>
  </w:num>
  <w:num w:numId="25">
    <w:abstractNumId w:val="24"/>
  </w:num>
  <w:num w:numId="26">
    <w:abstractNumId w:val="45"/>
  </w:num>
  <w:num w:numId="27">
    <w:abstractNumId w:val="14"/>
  </w:num>
  <w:num w:numId="28">
    <w:abstractNumId w:val="36"/>
  </w:num>
  <w:num w:numId="29">
    <w:abstractNumId w:val="9"/>
  </w:num>
  <w:num w:numId="30">
    <w:abstractNumId w:val="40"/>
  </w:num>
  <w:num w:numId="31">
    <w:abstractNumId w:val="27"/>
  </w:num>
  <w:num w:numId="32">
    <w:abstractNumId w:val="42"/>
  </w:num>
  <w:num w:numId="33">
    <w:abstractNumId w:val="41"/>
  </w:num>
  <w:num w:numId="34">
    <w:abstractNumId w:val="25"/>
  </w:num>
  <w:num w:numId="35">
    <w:abstractNumId w:val="26"/>
  </w:num>
  <w:num w:numId="36">
    <w:abstractNumId w:val="39"/>
  </w:num>
  <w:num w:numId="37">
    <w:abstractNumId w:val="37"/>
  </w:num>
  <w:num w:numId="38">
    <w:abstractNumId w:val="46"/>
  </w:num>
  <w:num w:numId="39">
    <w:abstractNumId w:val="11"/>
  </w:num>
  <w:num w:numId="40">
    <w:abstractNumId w:val="22"/>
  </w:num>
  <w:num w:numId="41">
    <w:abstractNumId w:val="43"/>
  </w:num>
  <w:num w:numId="42">
    <w:abstractNumId w:val="50"/>
  </w:num>
  <w:num w:numId="43">
    <w:abstractNumId w:val="21"/>
  </w:num>
  <w:num w:numId="44">
    <w:abstractNumId w:val="19"/>
  </w:num>
  <w:num w:numId="45">
    <w:abstractNumId w:val="23"/>
  </w:num>
  <w:num w:numId="46">
    <w:abstractNumId w:val="47"/>
  </w:num>
  <w:num w:numId="47">
    <w:abstractNumId w:val="48"/>
  </w:num>
  <w:num w:numId="48">
    <w:abstractNumId w:val="49"/>
  </w:num>
  <w:num w:numId="49">
    <w:abstractNumId w:val="31"/>
  </w:num>
  <w:num w:numId="50">
    <w:abstractNumId w:val="28"/>
  </w:num>
  <w:num w:numId="51">
    <w:abstractNumId w:val="38"/>
  </w:num>
  <w:num w:numId="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C00"/>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BDF"/>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DA"/>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85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3E61E2"/>
    <w:rsid w:val="015C1F1D"/>
    <w:rsid w:val="01E50CD4"/>
    <w:rsid w:val="021961D5"/>
    <w:rsid w:val="02DB3BAC"/>
    <w:rsid w:val="039B4674"/>
    <w:rsid w:val="03CF1D81"/>
    <w:rsid w:val="03D54514"/>
    <w:rsid w:val="04E76A39"/>
    <w:rsid w:val="05046312"/>
    <w:rsid w:val="050B015A"/>
    <w:rsid w:val="06B15458"/>
    <w:rsid w:val="06B36054"/>
    <w:rsid w:val="08E95A46"/>
    <w:rsid w:val="08F64DC1"/>
    <w:rsid w:val="0ACB4F8A"/>
    <w:rsid w:val="0B660C1A"/>
    <w:rsid w:val="0C111AB4"/>
    <w:rsid w:val="0C260F5E"/>
    <w:rsid w:val="0C744089"/>
    <w:rsid w:val="0D7511DD"/>
    <w:rsid w:val="0E3F1AC4"/>
    <w:rsid w:val="0EA43C9D"/>
    <w:rsid w:val="108D4A90"/>
    <w:rsid w:val="1218482D"/>
    <w:rsid w:val="12C25655"/>
    <w:rsid w:val="147B3A1F"/>
    <w:rsid w:val="16E757FC"/>
    <w:rsid w:val="17F93E0B"/>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8910836"/>
    <w:rsid w:val="28F32B26"/>
    <w:rsid w:val="29957F18"/>
    <w:rsid w:val="2B564267"/>
    <w:rsid w:val="2E39347F"/>
    <w:rsid w:val="2F983E1B"/>
    <w:rsid w:val="2FAF3CE7"/>
    <w:rsid w:val="2FCA7487"/>
    <w:rsid w:val="310E1A4B"/>
    <w:rsid w:val="315A6669"/>
    <w:rsid w:val="32127A3F"/>
    <w:rsid w:val="32923F98"/>
    <w:rsid w:val="32CD6EEC"/>
    <w:rsid w:val="32EB653A"/>
    <w:rsid w:val="3403387D"/>
    <w:rsid w:val="34951159"/>
    <w:rsid w:val="34E546E9"/>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7852EF5"/>
    <w:rsid w:val="480E2158"/>
    <w:rsid w:val="48FB5623"/>
    <w:rsid w:val="4A15577F"/>
    <w:rsid w:val="4B5A4840"/>
    <w:rsid w:val="4B65373A"/>
    <w:rsid w:val="4B977429"/>
    <w:rsid w:val="4BCC1E8D"/>
    <w:rsid w:val="4C4D4AF8"/>
    <w:rsid w:val="4C910630"/>
    <w:rsid w:val="4CE23492"/>
    <w:rsid w:val="4D00163A"/>
    <w:rsid w:val="4D231458"/>
    <w:rsid w:val="4DEB53B0"/>
    <w:rsid w:val="4E33358C"/>
    <w:rsid w:val="4F0F5BE3"/>
    <w:rsid w:val="4F2A164C"/>
    <w:rsid w:val="4F4C553B"/>
    <w:rsid w:val="4FBB05BD"/>
    <w:rsid w:val="503827BA"/>
    <w:rsid w:val="51502341"/>
    <w:rsid w:val="51FB0407"/>
    <w:rsid w:val="521C11F4"/>
    <w:rsid w:val="52422029"/>
    <w:rsid w:val="52CC40DE"/>
    <w:rsid w:val="540E3D08"/>
    <w:rsid w:val="55040901"/>
    <w:rsid w:val="55E80D0A"/>
    <w:rsid w:val="5643722D"/>
    <w:rsid w:val="565F7902"/>
    <w:rsid w:val="56DF05DE"/>
    <w:rsid w:val="56F70118"/>
    <w:rsid w:val="57FC6189"/>
    <w:rsid w:val="58BC103B"/>
    <w:rsid w:val="59116B65"/>
    <w:rsid w:val="595B6AA6"/>
    <w:rsid w:val="5B69102B"/>
    <w:rsid w:val="5E193A9C"/>
    <w:rsid w:val="5E2B5FA2"/>
    <w:rsid w:val="5E4E2182"/>
    <w:rsid w:val="5EC7698C"/>
    <w:rsid w:val="5F073306"/>
    <w:rsid w:val="5F5F73B9"/>
    <w:rsid w:val="642C622B"/>
    <w:rsid w:val="65321667"/>
    <w:rsid w:val="65D67696"/>
    <w:rsid w:val="66FC119E"/>
    <w:rsid w:val="6838144E"/>
    <w:rsid w:val="6853399D"/>
    <w:rsid w:val="68AA7398"/>
    <w:rsid w:val="694903B8"/>
    <w:rsid w:val="6A325A85"/>
    <w:rsid w:val="6B96035C"/>
    <w:rsid w:val="6E7D2524"/>
    <w:rsid w:val="6F97D24A"/>
    <w:rsid w:val="7062381E"/>
    <w:rsid w:val="707B2F14"/>
    <w:rsid w:val="70E24C4C"/>
    <w:rsid w:val="716C1CE5"/>
    <w:rsid w:val="71E909FE"/>
    <w:rsid w:val="728959E5"/>
    <w:rsid w:val="72D11816"/>
    <w:rsid w:val="742C597A"/>
    <w:rsid w:val="74BF53EA"/>
    <w:rsid w:val="74EE0377"/>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tabs>
        <w:tab w:val="left" w:pos="567"/>
      </w:tabs>
      <w:spacing w:before="120" w:line="22" w:lineRule="atLeast"/>
    </w:pPr>
    <w:rPr>
      <w:rFonts w:ascii="宋体" w:hAnsi="宋体"/>
      <w:sz w:val="24"/>
    </w:rPr>
  </w:style>
  <w:style w:type="paragraph" w:styleId="3">
    <w:name w:val="Body Text First Indent"/>
    <w:basedOn w:val="2"/>
    <w:next w:val="1"/>
    <w:qFormat/>
    <w:uiPriority w:val="0"/>
    <w:pPr>
      <w:spacing w:line="360" w:lineRule="auto"/>
      <w:ind w:firstLine="420"/>
    </w:pPr>
    <w:rPr>
      <w:szCs w:val="20"/>
    </w:rPr>
  </w:style>
  <w:style w:type="paragraph" w:styleId="6">
    <w:name w:val="Normal Indent"/>
    <w:basedOn w:val="1"/>
    <w:link w:val="53"/>
    <w:qFormat/>
    <w:uiPriority w:val="99"/>
    <w:pPr>
      <w:autoSpaceDE w:val="0"/>
      <w:autoSpaceDN w:val="0"/>
      <w:adjustRightInd w:val="0"/>
      <w:ind w:firstLine="420"/>
      <w:jc w:val="left"/>
    </w:pPr>
    <w:rPr>
      <w:rFonts w:ascii="宋体"/>
      <w:sz w:val="24"/>
    </w:rPr>
  </w:style>
  <w:style w:type="paragraph" w:customStyle="1" w:styleId="8">
    <w:name w:val="正文缩进1"/>
    <w:basedOn w:val="1"/>
    <w:qFormat/>
    <w:uiPriority w:val="0"/>
    <w:pPr>
      <w:autoSpaceDE w:val="0"/>
      <w:autoSpaceDN w:val="0"/>
      <w:adjustRightInd w:val="0"/>
      <w:ind w:firstLine="420"/>
      <w:jc w:val="left"/>
    </w:pPr>
    <w:rPr>
      <w:rFonts w:ascii="宋体"/>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2"/>
    <w:qFormat/>
    <w:uiPriority w:val="0"/>
    <w:pPr>
      <w:shd w:val="clear" w:color="auto" w:fill="000080"/>
    </w:pPr>
  </w:style>
  <w:style w:type="paragraph" w:styleId="17">
    <w:name w:val="annotation text"/>
    <w:basedOn w:val="1"/>
    <w:link w:val="63"/>
    <w:qFormat/>
    <w:uiPriority w:val="99"/>
    <w:pPr>
      <w:jc w:val="left"/>
    </w:pPr>
  </w:style>
  <w:style w:type="paragraph" w:styleId="18">
    <w:name w:val="Body Text 3"/>
    <w:basedOn w:val="1"/>
    <w:link w:val="64"/>
    <w:qFormat/>
    <w:uiPriority w:val="0"/>
    <w:pPr>
      <w:spacing w:after="120"/>
    </w:pPr>
    <w:rPr>
      <w:sz w:val="16"/>
      <w:szCs w:val="16"/>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qFormat/>
    <w:uiPriority w:val="0"/>
    <w:rPr>
      <w:rFonts w:hint="eastAsia" w:ascii="宋体" w:hAnsi="Courier New"/>
      <w:szCs w:val="20"/>
    </w:rPr>
  </w:style>
  <w:style w:type="paragraph" w:styleId="24">
    <w:name w:val="Date"/>
    <w:basedOn w:val="1"/>
    <w:next w:val="1"/>
    <w:link w:val="71"/>
    <w:qFormat/>
    <w:uiPriority w:val="0"/>
    <w:pPr>
      <w:ind w:left="100" w:leftChars="2500"/>
    </w:pPr>
    <w:rPr>
      <w:rFonts w:ascii="仿宋_GB2312" w:hAnsi="宋体" w:eastAsia="仿宋_GB2312"/>
      <w:color w:val="000000"/>
      <w:sz w:val="24"/>
    </w:rPr>
  </w:style>
  <w:style w:type="paragraph" w:styleId="25">
    <w:name w:val="Body Text Indent 2"/>
    <w:basedOn w:val="1"/>
    <w:link w:val="72"/>
    <w:qFormat/>
    <w:uiPriority w:val="99"/>
    <w:pPr>
      <w:ind w:firstLine="480" w:firstLineChars="200"/>
    </w:pPr>
    <w:rPr>
      <w:rFonts w:ascii="仿宋_GB2312" w:eastAsia="仿宋_GB2312"/>
      <w:sz w:val="24"/>
    </w:rPr>
  </w:style>
  <w:style w:type="paragraph" w:styleId="26">
    <w:name w:val="Balloon Text"/>
    <w:basedOn w:val="1"/>
    <w:link w:val="73"/>
    <w:qFormat/>
    <w:uiPriority w:val="0"/>
    <w:rPr>
      <w:sz w:val="18"/>
      <w:szCs w:val="18"/>
    </w:rPr>
  </w:style>
  <w:style w:type="paragraph" w:styleId="27">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3"/>
    <w:qFormat/>
    <w:uiPriority w:val="0"/>
    <w:pPr>
      <w:jc w:val="center"/>
      <w:outlineLvl w:val="0"/>
    </w:pPr>
    <w:rPr>
      <w:b/>
      <w:sz w:val="32"/>
      <w:szCs w:val="20"/>
    </w:rPr>
  </w:style>
  <w:style w:type="paragraph" w:styleId="38">
    <w:name w:val="annotation subject"/>
    <w:basedOn w:val="17"/>
    <w:next w:val="17"/>
    <w:link w:val="84"/>
    <w:qFormat/>
    <w:uiPriority w:val="0"/>
    <w:rPr>
      <w:b/>
      <w:bCs/>
    </w:rPr>
  </w:style>
  <w:style w:type="paragraph" w:styleId="39">
    <w:name w:val="Body Text First Indent 2"/>
    <w:basedOn w:val="19"/>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Char"/>
    <w:link w:val="4"/>
    <w:qFormat/>
    <w:uiPriority w:val="0"/>
    <w:rPr>
      <w:rFonts w:ascii="宋体"/>
      <w:b/>
      <w:kern w:val="44"/>
      <w:sz w:val="32"/>
    </w:rPr>
  </w:style>
  <w:style w:type="character" w:customStyle="1" w:styleId="52">
    <w:name w:val="标题 2 Char1"/>
    <w:link w:val="5"/>
    <w:qFormat/>
    <w:uiPriority w:val="0"/>
    <w:rPr>
      <w:rFonts w:ascii="Arial" w:hAnsi="Arial" w:eastAsia="黑体"/>
      <w:b/>
      <w:sz w:val="30"/>
      <w:lang w:val="en-US" w:eastAsia="zh-CN" w:bidi="ar-SA"/>
    </w:rPr>
  </w:style>
  <w:style w:type="character" w:customStyle="1" w:styleId="53">
    <w:name w:val="正文缩进 Char1"/>
    <w:link w:val="6"/>
    <w:qFormat/>
    <w:uiPriority w:val="0"/>
    <w:rPr>
      <w:rFonts w:ascii="宋体" w:eastAsia="宋体"/>
      <w:kern w:val="2"/>
      <w:sz w:val="24"/>
      <w:szCs w:val="24"/>
      <w:lang w:val="en-US" w:eastAsia="zh-CN" w:bidi="ar-SA"/>
    </w:rPr>
  </w:style>
  <w:style w:type="character" w:customStyle="1" w:styleId="54">
    <w:name w:val="标题 3 Char1"/>
    <w:link w:val="7"/>
    <w:qFormat/>
    <w:uiPriority w:val="0"/>
    <w:rPr>
      <w:rFonts w:ascii="宋体" w:eastAsia="宋体"/>
      <w:b/>
      <w:sz w:val="24"/>
      <w:u w:val="single"/>
      <w:lang w:val="en-US" w:eastAsia="zh-CN" w:bidi="ar-SA"/>
    </w:rPr>
  </w:style>
  <w:style w:type="character" w:customStyle="1" w:styleId="55">
    <w:name w:val="标题 4 Char"/>
    <w:link w:val="9"/>
    <w:qFormat/>
    <w:uiPriority w:val="0"/>
    <w:rPr>
      <w:rFonts w:ascii="Arial" w:hAnsi="Arial" w:eastAsia="黑体"/>
      <w:b/>
      <w:sz w:val="28"/>
    </w:rPr>
  </w:style>
  <w:style w:type="character" w:customStyle="1" w:styleId="56">
    <w:name w:val="标题 5 Char"/>
    <w:link w:val="10"/>
    <w:qFormat/>
    <w:uiPriority w:val="0"/>
    <w:rPr>
      <w:b/>
      <w:sz w:val="28"/>
    </w:rPr>
  </w:style>
  <w:style w:type="character" w:customStyle="1" w:styleId="57">
    <w:name w:val="标题 6 Char"/>
    <w:link w:val="11"/>
    <w:qFormat/>
    <w:uiPriority w:val="0"/>
    <w:rPr>
      <w:rFonts w:ascii="Arial" w:hAnsi="Arial" w:eastAsia="黑体"/>
      <w:b/>
      <w:sz w:val="24"/>
    </w:rPr>
  </w:style>
  <w:style w:type="character" w:customStyle="1" w:styleId="58">
    <w:name w:val="标题 7 Char"/>
    <w:link w:val="12"/>
    <w:qFormat/>
    <w:uiPriority w:val="0"/>
    <w:rPr>
      <w:b/>
      <w:sz w:val="24"/>
    </w:rPr>
  </w:style>
  <w:style w:type="character" w:customStyle="1" w:styleId="59">
    <w:name w:val="标题 8 Char"/>
    <w:link w:val="13"/>
    <w:qFormat/>
    <w:uiPriority w:val="0"/>
    <w:rPr>
      <w:rFonts w:ascii="Arial" w:hAnsi="Arial" w:eastAsia="黑体"/>
      <w:sz w:val="24"/>
    </w:rPr>
  </w:style>
  <w:style w:type="character" w:customStyle="1" w:styleId="60">
    <w:name w:val="标题 9 Char"/>
    <w:link w:val="14"/>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Char"/>
    <w:link w:val="16"/>
    <w:qFormat/>
    <w:uiPriority w:val="0"/>
    <w:rPr>
      <w:kern w:val="2"/>
      <w:sz w:val="21"/>
      <w:szCs w:val="24"/>
      <w:shd w:val="clear" w:color="auto" w:fill="000080"/>
    </w:rPr>
  </w:style>
  <w:style w:type="character" w:customStyle="1" w:styleId="63">
    <w:name w:val="批注文字 Char1"/>
    <w:link w:val="17"/>
    <w:qFormat/>
    <w:uiPriority w:val="99"/>
    <w:rPr>
      <w:kern w:val="2"/>
      <w:sz w:val="21"/>
      <w:szCs w:val="24"/>
    </w:rPr>
  </w:style>
  <w:style w:type="character" w:customStyle="1" w:styleId="64">
    <w:name w:val="正文文本 3 Char"/>
    <w:link w:val="18"/>
    <w:qFormat/>
    <w:uiPriority w:val="0"/>
    <w:rPr>
      <w:kern w:val="2"/>
      <w:sz w:val="16"/>
      <w:szCs w:val="16"/>
    </w:rPr>
  </w:style>
  <w:style w:type="character" w:customStyle="1" w:styleId="65">
    <w:name w:val="正文文本 Char1"/>
    <w:link w:val="2"/>
    <w:qFormat/>
    <w:uiPriority w:val="0"/>
    <w:rPr>
      <w:rFonts w:ascii="宋体" w:hAnsi="宋体"/>
      <w:kern w:val="2"/>
      <w:sz w:val="24"/>
      <w:szCs w:val="24"/>
    </w:rPr>
  </w:style>
  <w:style w:type="character" w:customStyle="1" w:styleId="66">
    <w:name w:val="正文文本缩进 Char2"/>
    <w:link w:val="19"/>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Char2"/>
    <w:link w:val="23"/>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Char"/>
    <w:link w:val="24"/>
    <w:qFormat/>
    <w:uiPriority w:val="0"/>
    <w:rPr>
      <w:rFonts w:ascii="仿宋_GB2312" w:hAnsi="宋体" w:eastAsia="仿宋_GB2312"/>
      <w:color w:val="000000"/>
      <w:kern w:val="2"/>
      <w:sz w:val="24"/>
      <w:szCs w:val="24"/>
    </w:rPr>
  </w:style>
  <w:style w:type="character" w:customStyle="1" w:styleId="72">
    <w:name w:val="正文文本缩进 2 Char1"/>
    <w:link w:val="25"/>
    <w:qFormat/>
    <w:uiPriority w:val="0"/>
    <w:rPr>
      <w:rFonts w:ascii="仿宋_GB2312" w:eastAsia="仿宋_GB2312"/>
      <w:kern w:val="2"/>
      <w:sz w:val="24"/>
      <w:szCs w:val="24"/>
    </w:rPr>
  </w:style>
  <w:style w:type="character" w:customStyle="1" w:styleId="73">
    <w:name w:val="批注框文本 Char"/>
    <w:link w:val="26"/>
    <w:qFormat/>
    <w:uiPriority w:val="0"/>
    <w:rPr>
      <w:kern w:val="2"/>
      <w:sz w:val="18"/>
      <w:szCs w:val="18"/>
    </w:rPr>
  </w:style>
  <w:style w:type="character" w:customStyle="1" w:styleId="74">
    <w:name w:val="页脚 Char1"/>
    <w:link w:val="27"/>
    <w:qFormat/>
    <w:uiPriority w:val="99"/>
    <w:rPr>
      <w:rFonts w:ascii="宋体" w:eastAsia="宋体"/>
      <w:sz w:val="18"/>
      <w:lang w:val="en-US" w:eastAsia="zh-CN" w:bidi="ar-SA"/>
    </w:rPr>
  </w:style>
  <w:style w:type="character" w:customStyle="1" w:styleId="75">
    <w:name w:val="页眉 Char1"/>
    <w:link w:val="28"/>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Char"/>
    <w:link w:val="30"/>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Char"/>
    <w:link w:val="34"/>
    <w:qFormat/>
    <w:uiPriority w:val="0"/>
    <w:rPr>
      <w:rFonts w:ascii="宋体" w:hAnsi="宋体" w:cs="宋体"/>
      <w:sz w:val="24"/>
      <w:szCs w:val="24"/>
    </w:rPr>
  </w:style>
  <w:style w:type="character" w:customStyle="1" w:styleId="83">
    <w:name w:val="标题 Char1"/>
    <w:link w:val="37"/>
    <w:qFormat/>
    <w:uiPriority w:val="0"/>
    <w:rPr>
      <w:b/>
      <w:kern w:val="2"/>
      <w:sz w:val="32"/>
    </w:rPr>
  </w:style>
  <w:style w:type="character" w:customStyle="1" w:styleId="84">
    <w:name w:val="批注主题 Char"/>
    <w:link w:val="38"/>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出段落 Char1"/>
    <w:link w:val="103"/>
    <w:qFormat/>
    <w:uiPriority w:val="34"/>
    <w:rPr>
      <w:rFonts w:ascii="Calibri" w:hAnsi="Calibri" w:eastAsia="宋体"/>
      <w:kern w:val="2"/>
      <w:sz w:val="21"/>
      <w:szCs w:val="22"/>
      <w:lang w:val="en-US" w:eastAsia="zh-CN" w:bidi="ar-SA"/>
    </w:rPr>
  </w:style>
  <w:style w:type="paragraph" w:styleId="103">
    <w:name w:val="List Paragraph"/>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4"/>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E94B0-E15C-430A-BFAE-428F525DA5B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42017</Words>
  <Characters>44145</Characters>
  <Lines>341</Lines>
  <Paragraphs>96</Paragraphs>
  <TotalTime>9</TotalTime>
  <ScaleCrop>false</ScaleCrop>
  <LinksUpToDate>false</LinksUpToDate>
  <CharactersWithSpaces>45009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2022-09-09T09:41:27Z</dcterms:modified>
  <dc:title>02年杜范本稿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