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1392255181公共教室设备设施升级改造</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BMCC-ZC22-0609</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99301418"/>
      <w:bookmarkStart w:id="1" w:name="_Toc32426"/>
      <w:bookmarkStart w:id="2" w:name="_Toc17531"/>
      <w:bookmarkStart w:id="3" w:name="_Toc27935"/>
      <w:bookmarkStart w:id="4" w:name="_Toc100564784"/>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34</w:t>
      </w:r>
      <w:r>
        <w:fldChar w:fldCharType="end"/>
      </w:r>
      <w:r>
        <w:fldChar w:fldCharType="end"/>
      </w:r>
    </w:p>
    <w:p>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 xml:space="preserve">章  </w:t>
      </w:r>
      <w:r>
        <w:rPr>
          <w:rFonts w:hint="eastAsia" w:ascii="宋体" w:hAnsi="宋体"/>
          <w:szCs w:val="36"/>
        </w:rPr>
        <w:t>拟签订的合同草案</w:t>
      </w:r>
      <w:r>
        <w:tab/>
      </w:r>
      <w:r>
        <w:fldChar w:fldCharType="begin"/>
      </w:r>
      <w:r>
        <w:instrText xml:space="preserve"> PAGEREF _Toc10792 \h </w:instrText>
      </w:r>
      <w:r>
        <w:fldChar w:fldCharType="separate"/>
      </w:r>
      <w:r>
        <w:t>37</w:t>
      </w:r>
      <w:r>
        <w:fldChar w:fldCharType="end"/>
      </w:r>
      <w:r>
        <w:fldChar w:fldCharType="end"/>
      </w:r>
    </w:p>
    <w:p>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40</w:t>
      </w:r>
      <w:r>
        <w:fldChar w:fldCharType="end"/>
      </w:r>
      <w:r>
        <w:fldChar w:fldCharType="end"/>
      </w:r>
    </w:p>
    <w:p>
      <w:pPr>
        <w:pStyle w:val="75"/>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35393790"/>
      <w:bookmarkStart w:id="8" w:name="_Toc35393621"/>
      <w:bookmarkStart w:id="9" w:name="_Toc28359079"/>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号：BMCC-ZC22-0609</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1392255181公共教室设备设施升级改造</w:t>
      </w:r>
      <w:r>
        <w:rPr>
          <w:rFonts w:ascii="宋体" w:hAnsi="宋体"/>
          <w:sz w:val="24"/>
        </w:rPr>
        <w:t xml:space="preserve"> </w:t>
      </w:r>
      <w:bookmarkEnd w:id="11"/>
    </w:p>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123.78</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123.78</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3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bCs/>
                <w:szCs w:val="21"/>
              </w:rPr>
              <w:t>公共教室设备设施</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123.78</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1批</w:t>
            </w:r>
          </w:p>
        </w:tc>
        <w:tc>
          <w:tcPr>
            <w:tcW w:w="2314" w:type="pct"/>
            <w:vAlign w:val="center"/>
          </w:tcPr>
          <w:p>
            <w:pPr>
              <w:rPr>
                <w:kern w:val="0"/>
                <w:szCs w:val="21"/>
              </w:rPr>
            </w:pPr>
            <w:r>
              <w:rPr>
                <w:rFonts w:hint="eastAsia"/>
                <w:kern w:val="0"/>
                <w:szCs w:val="21"/>
              </w:rPr>
              <w:t>3LCD投影技术</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合同签订后1个月内完成供货</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28359003"/>
      <w:bookmarkStart w:id="13" w:name="_Toc35393791"/>
      <w:bookmarkStart w:id="14" w:name="_Toc28359080"/>
      <w:bookmarkStart w:id="15" w:name="_Toc35393622"/>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81"/>
      <w:bookmarkStart w:id="17" w:name="_Toc28359004"/>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供应商须为“北京市政府采购电子卖场（京华云采）”</w:t>
      </w:r>
      <w:r>
        <w:rPr>
          <w:rFonts w:hint="eastAsia" w:ascii="宋体" w:hAnsi="宋体" w:eastAsia="宋体" w:cs="Times New Roman"/>
          <w:sz w:val="24"/>
          <w:szCs w:val="20"/>
          <w:lang w:val="en-US" w:eastAsia="zh-CN"/>
        </w:rPr>
        <w:t>中</w:t>
      </w:r>
      <w:r>
        <w:rPr>
          <w:rFonts w:hint="eastAsia"/>
          <w:sz w:val="24"/>
          <w:u w:val="single"/>
          <w:lang w:val="en-US" w:eastAsia="zh-CN"/>
        </w:rPr>
        <w:t>本次采购内容</w:t>
      </w:r>
      <w:r>
        <w:rPr>
          <w:rFonts w:hint="eastAsia"/>
          <w:sz w:val="24"/>
          <w:u w:val="single"/>
        </w:rPr>
        <w:t xml:space="preserve">的协议供应商。  </w:t>
      </w:r>
      <w:bookmarkEnd w:id="16"/>
      <w:bookmarkEnd w:id="17"/>
    </w:p>
    <w:p>
      <w:pPr>
        <w:pStyle w:val="5"/>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11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11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14</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线上邮箱报名</w:t>
      </w:r>
    </w:p>
    <w:p>
      <w:pPr>
        <w:adjustRightInd w:val="0"/>
        <w:snapToGrid w:val="0"/>
        <w:spacing w:line="360" w:lineRule="auto"/>
        <w:ind w:firstLine="480" w:firstLineChars="200"/>
        <w:rPr>
          <w:rFonts w:ascii="宋体" w:hAnsi="宋体"/>
          <w:sz w:val="24"/>
        </w:rPr>
      </w:pPr>
      <w:r>
        <w:rPr>
          <w:rFonts w:ascii="宋体" w:hAnsi="宋体"/>
          <w:sz w:val="24"/>
          <w:lang w:bidi="ar"/>
        </w:rPr>
        <w:t>3.方式：</w:t>
      </w:r>
      <w:r>
        <w:rPr>
          <w:rFonts w:hint="eastAsia" w:ascii="宋体" w:hAnsi="宋体"/>
          <w:sz w:val="24"/>
          <w:lang w:bidi="ar"/>
        </w:rPr>
        <w:t>本项目不接受现场购买，只接受电汇或网银购买标书。</w:t>
      </w:r>
      <w:r>
        <w:rPr>
          <w:rFonts w:hint="eastAsia" w:ascii="宋体" w:hAnsi="宋体"/>
          <w:sz w:val="24"/>
        </w:rPr>
        <w:t>请供应商汇款时务必注明“项目编号+用途”（比如：ZC22-0609保证金或者ZC22-0609标书款），以便财务查账及汇总。电汇或网银购买标书，请将电汇底单（网银转账页面）扫描件及以下表格发邮件至bjmdzx@vip.163.com，邮件主题请务必注明“（项目编号）购买标书信息”。请相关供应商严格按照以上流程购买并登记，否则无权参与本次比选。</w:t>
      </w:r>
    </w:p>
    <w:tbl>
      <w:tblPr>
        <w:tblStyle w:val="39"/>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ascii="宋体" w:hAnsi="宋体" w:cs="宋体"/>
                <w:kern w:val="0"/>
                <w:sz w:val="24"/>
              </w:rPr>
              <w:t>BMCC-</w:t>
            </w:r>
            <w:r>
              <w:rPr>
                <w:rFonts w:hint="eastAsia" w:ascii="宋体" w:hAnsi="宋体"/>
                <w:sz w:val="24"/>
              </w:rPr>
              <w:t>ZC22-0609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spacing w:line="360" w:lineRule="auto"/>
        <w:ind w:left="495" w:firstLine="72" w:firstLineChars="30"/>
        <w:rPr>
          <w:rFonts w:ascii="宋体" w:hAnsi="宋体"/>
          <w:sz w:val="24"/>
        </w:rPr>
      </w:pPr>
      <w:r>
        <w:rPr>
          <w:rFonts w:hint="eastAsia" w:ascii="宋体" w:hAnsi="宋体"/>
          <w:sz w:val="24"/>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11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18</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14</w:t>
      </w:r>
      <w:r>
        <w:rPr>
          <w:rFonts w:ascii="宋体" w:hAnsi="宋体"/>
          <w:sz w:val="24"/>
          <w:lang w:bidi="ar"/>
        </w:rPr>
        <w:t>点</w:t>
      </w:r>
      <w:r>
        <w:rPr>
          <w:rFonts w:hint="eastAsia" w:ascii="宋体" w:hAnsi="宋体"/>
          <w:sz w:val="24"/>
          <w:u w:val="single"/>
          <w:lang w:bidi="ar"/>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二</w:t>
      </w:r>
      <w:r>
        <w:rPr>
          <w:rFonts w:hint="eastAsia"/>
          <w:sz w:val="24"/>
          <w:u w:val="single"/>
        </w:rPr>
        <w:t xml:space="preserve"> 会议室（提示：楼层较高，请供应商预留递交文件时间提前到场）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35393794"/>
      <w:bookmarkStart w:id="26" w:name="_Toc28359084"/>
      <w:bookmarkStart w:id="27" w:name="_Toc28359007"/>
      <w:bookmarkStart w:id="28" w:name="_Toc35393625"/>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795"/>
      <w:bookmarkStart w:id="30" w:name="_Toc35393626"/>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3"/>
      </w:pPr>
    </w:p>
    <w:p>
      <w:pPr>
        <w:pStyle w:val="5"/>
        <w:spacing w:before="0" w:line="360" w:lineRule="auto"/>
        <w:jc w:val="left"/>
        <w:rPr>
          <w:rFonts w:ascii="宋体" w:hAnsi="宋体" w:eastAsia="宋体"/>
          <w:sz w:val="24"/>
          <w:szCs w:val="24"/>
        </w:rPr>
      </w:pPr>
      <w:bookmarkStart w:id="31" w:name="_Toc35393627"/>
      <w:bookmarkStart w:id="32" w:name="_Toc28359085"/>
      <w:bookmarkStart w:id="33" w:name="_Toc28359008"/>
      <w:bookmarkStart w:id="34" w:name="_Toc35393796"/>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王经理、吕绍山010－82370045，13391922409</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010－82370045，13391922409</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265228423"/>
      <w:bookmarkStart w:id="40" w:name="_Toc305158928"/>
      <w:bookmarkStart w:id="41" w:name="_Toc5899"/>
      <w:bookmarkStart w:id="42" w:name="_Toc127151777"/>
      <w:bookmarkStart w:id="43" w:name="_Toc512937850"/>
      <w:bookmarkStart w:id="44" w:name="_Toc150774783"/>
      <w:bookmarkStart w:id="45" w:name="_Toc17889"/>
      <w:bookmarkStart w:id="46" w:name="_Toc127161488"/>
      <w:bookmarkStart w:id="47" w:name="_Toc226965856"/>
      <w:bookmarkStart w:id="48" w:name="_Toc353873938"/>
      <w:bookmarkStart w:id="49" w:name="_Toc195842950"/>
      <w:bookmarkStart w:id="50" w:name="_Toc264969275"/>
      <w:bookmarkStart w:id="51" w:name="_Toc353825548"/>
      <w:bookmarkStart w:id="52" w:name="_Toc305158854"/>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1190146"/>
      <w:bookmarkStart w:id="54" w:name="_Toc226965709"/>
      <w:bookmarkStart w:id="55" w:name="_Toc151193617"/>
      <w:bookmarkStart w:id="56" w:name="_Toc164608788"/>
      <w:bookmarkStart w:id="57" w:name="_Toc195842884"/>
      <w:bookmarkStart w:id="58" w:name="_Toc226965792"/>
      <w:bookmarkStart w:id="59" w:name="_Toc127151519"/>
      <w:bookmarkStart w:id="60" w:name="_Toc151193689"/>
      <w:bookmarkStart w:id="61" w:name="_Toc164608633"/>
      <w:bookmarkStart w:id="62" w:name="_Toc151193761"/>
      <w:bookmarkStart w:id="63" w:name="_Toc226337215"/>
      <w:bookmarkStart w:id="64" w:name="_Toc150480757"/>
      <w:bookmarkStart w:id="65" w:name="_Toc151193833"/>
      <w:bookmarkStart w:id="66" w:name="_Toc164351613"/>
      <w:bookmarkStart w:id="67" w:name="_Toc164229360"/>
      <w:bookmarkStart w:id="68" w:name="_Toc149720812"/>
      <w:bookmarkStart w:id="69" w:name="_Toc151193907"/>
      <w:bookmarkStart w:id="70" w:name="_Toc127161433"/>
      <w:bookmarkStart w:id="71" w:name="_Toc226309763"/>
      <w:bookmarkStart w:id="72" w:name="_Toc142311021"/>
      <w:bookmarkStart w:id="73" w:name="_Toc150509270"/>
      <w:bookmarkStart w:id="74" w:name="_Toc150774724"/>
      <w:bookmarkStart w:id="75" w:name="_Toc127151720"/>
      <w:bookmarkStart w:id="76" w:name="_Toc150774619"/>
      <w:bookmarkStart w:id="77" w:name="_Toc520356144"/>
      <w:bookmarkStart w:id="78" w:name="_Toc164229214"/>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restart"/>
                  <w:tcBorders>
                    <w:top w:val="single" w:color="auto" w:sz="4" w:space="0"/>
                    <w:left w:val="single" w:color="auto" w:sz="4" w:space="0"/>
                    <w:right w:val="single" w:color="auto" w:sz="4" w:space="0"/>
                  </w:tcBorders>
                  <w:vAlign w:val="center"/>
                </w:tcPr>
                <w:p>
                  <w:pPr>
                    <w:jc w:val="center"/>
                    <w:rPr>
                      <w:bCs/>
                      <w:szCs w:val="21"/>
                    </w:rPr>
                  </w:pPr>
                  <w:r>
                    <w:rPr>
                      <w:bCs/>
                      <w:szCs w:val="21"/>
                    </w:rPr>
                    <w:t>01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rPr>
                    <w:t>投影机1</w:t>
                  </w:r>
                </w:p>
              </w:tc>
              <w:tc>
                <w:tcPr>
                  <w:tcW w:w="3251" w:type="pct"/>
                  <w:vMerge w:val="restart"/>
                  <w:tcBorders>
                    <w:top w:val="single" w:color="auto" w:sz="4" w:space="0"/>
                    <w:left w:val="single" w:color="auto" w:sz="4" w:space="0"/>
                    <w:right w:val="single" w:color="auto" w:sz="4" w:space="0"/>
                  </w:tcBorders>
                  <w:vAlign w:val="center"/>
                </w:tcPr>
                <w:p>
                  <w:pPr>
                    <w:jc w:val="center"/>
                    <w:rPr>
                      <w:kern w:val="0"/>
                      <w:sz w:val="24"/>
                    </w:rPr>
                  </w:pPr>
                  <w:r>
                    <w:rPr>
                      <w:rFonts w:hint="eastAsia"/>
                      <w:kern w:val="0"/>
                      <w:sz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tcBorders>
                    <w:left w:val="single" w:color="auto" w:sz="4" w:space="0"/>
                    <w:right w:val="single" w:color="auto" w:sz="4" w:space="0"/>
                  </w:tcBorders>
                  <w:vAlign w:val="center"/>
                </w:tcPr>
                <w:p>
                  <w:pPr>
                    <w:jc w:val="cente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rPr>
                    <w:t>投影机2</w:t>
                  </w:r>
                </w:p>
              </w:tc>
              <w:tc>
                <w:tcPr>
                  <w:tcW w:w="3251" w:type="pct"/>
                  <w:vMerge w:val="continue"/>
                  <w:tcBorders>
                    <w:left w:val="single" w:color="auto" w:sz="4" w:space="0"/>
                    <w:right w:val="single" w:color="auto" w:sz="4" w:space="0"/>
                  </w:tcBorders>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tcBorders>
                    <w:left w:val="single" w:color="auto" w:sz="4" w:space="0"/>
                    <w:right w:val="single" w:color="auto" w:sz="4" w:space="0"/>
                  </w:tcBorders>
                  <w:vAlign w:val="center"/>
                </w:tcPr>
                <w:p>
                  <w:pPr>
                    <w:jc w:val="center"/>
                    <w:rPr>
                      <w:kern w:val="0"/>
                      <w:sz w:val="24"/>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rPr>
                    <w:t>计算机</w:t>
                  </w:r>
                </w:p>
              </w:tc>
              <w:tc>
                <w:tcPr>
                  <w:tcW w:w="3251" w:type="pct"/>
                  <w:vMerge w:val="continue"/>
                  <w:tcBorders>
                    <w:left w:val="single" w:color="auto" w:sz="4" w:space="0"/>
                    <w:right w:val="single" w:color="auto" w:sz="4" w:space="0"/>
                  </w:tcBorders>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tcBorders>
                    <w:left w:val="single" w:color="auto" w:sz="4" w:space="0"/>
                    <w:right w:val="single" w:color="auto" w:sz="4" w:space="0"/>
                  </w:tcBorders>
                  <w:vAlign w:val="center"/>
                </w:tcPr>
                <w:p>
                  <w:pPr>
                    <w:jc w:val="center"/>
                    <w:rPr>
                      <w:kern w:val="0"/>
                      <w:sz w:val="24"/>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rPr>
                    <w:t>固态硬盘</w:t>
                  </w:r>
                </w:p>
              </w:tc>
              <w:tc>
                <w:tcPr>
                  <w:tcW w:w="3251" w:type="pct"/>
                  <w:vMerge w:val="continue"/>
                  <w:tcBorders>
                    <w:left w:val="single" w:color="auto" w:sz="4" w:space="0"/>
                    <w:right w:val="single" w:color="auto" w:sz="4" w:space="0"/>
                  </w:tcBorders>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tcBorders>
                    <w:left w:val="single" w:color="auto" w:sz="4" w:space="0"/>
                    <w:bottom w:val="single" w:color="auto" w:sz="4" w:space="0"/>
                    <w:right w:val="single" w:color="auto" w:sz="4" w:space="0"/>
                  </w:tcBorders>
                  <w:vAlign w:val="center"/>
                </w:tcPr>
                <w:p>
                  <w:pPr>
                    <w:jc w:val="center"/>
                    <w:rPr>
                      <w:kern w:val="0"/>
                      <w:sz w:val="24"/>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rPr>
                    <w:t>触控一体机</w:t>
                  </w:r>
                </w:p>
              </w:tc>
              <w:tc>
                <w:tcPr>
                  <w:tcW w:w="3251" w:type="pct"/>
                  <w:vMerge w:val="continue"/>
                  <w:tcBorders>
                    <w:left w:val="single" w:color="auto" w:sz="4" w:space="0"/>
                    <w:bottom w:val="single" w:color="auto" w:sz="4" w:space="0"/>
                    <w:right w:val="single" w:color="auto" w:sz="4" w:space="0"/>
                  </w:tcBorders>
                  <w:vAlign w:val="center"/>
                </w:tcPr>
                <w:p>
                  <w:pPr>
                    <w:jc w:val="center"/>
                    <w:rPr>
                      <w:kern w:val="0"/>
                      <w:sz w:val="24"/>
                    </w:rPr>
                  </w:pP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人民币18000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注：汇款或转账时请务必附言“项目编号+用途”，例如：ZC22-0609保证金。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u w:val="single"/>
              </w:rPr>
              <w:t>“技术指标”及“售后服务”合计</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 xml:space="preserve">82370045/13391922409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264969207"/>
      <w:bookmarkStart w:id="80" w:name="_Toc150774722"/>
      <w:bookmarkStart w:id="81" w:name="_Toc195842882"/>
      <w:bookmarkStart w:id="82" w:name="_Toc142311019"/>
      <w:bookmarkStart w:id="83" w:name="_Toc226337213"/>
      <w:bookmarkStart w:id="84" w:name="_Toc353873662"/>
      <w:bookmarkStart w:id="85" w:name="_Toc150480755"/>
      <w:bookmarkStart w:id="86" w:name="_Toc265228355"/>
      <w:bookmarkStart w:id="87" w:name="_Toc353825542"/>
      <w:bookmarkStart w:id="88" w:name="_Toc305158859"/>
      <w:bookmarkStart w:id="89" w:name="_Toc305158785"/>
      <w:bookmarkStart w:id="90" w:name="_Toc226965790"/>
      <w:bookmarkStart w:id="91" w:name="_Toc353873932"/>
      <w:bookmarkStart w:id="92" w:name="_Toc127151517"/>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151193832"/>
      <w:bookmarkStart w:id="94" w:name="_Toc150774723"/>
      <w:bookmarkStart w:id="95" w:name="_Toc151193616"/>
      <w:bookmarkStart w:id="96" w:name="_Toc305158860"/>
      <w:bookmarkStart w:id="97" w:name="_Toc142311020"/>
      <w:bookmarkStart w:id="98" w:name="_Toc520356143"/>
      <w:bookmarkStart w:id="99" w:name="_Toc150480756"/>
      <w:bookmarkStart w:id="100" w:name="_Toc226965791"/>
      <w:bookmarkStart w:id="101" w:name="_Toc226965708"/>
      <w:bookmarkStart w:id="102" w:name="_Toc151193688"/>
      <w:bookmarkStart w:id="103" w:name="_Toc150774618"/>
      <w:bookmarkStart w:id="104" w:name="_Toc305158786"/>
      <w:bookmarkStart w:id="105" w:name="_Toc151193906"/>
      <w:bookmarkStart w:id="106" w:name="_Toc150509269"/>
      <w:bookmarkStart w:id="107" w:name="_Toc226309762"/>
      <w:bookmarkStart w:id="108" w:name="_Toc151193760"/>
      <w:bookmarkStart w:id="109" w:name="_Toc226337214"/>
      <w:bookmarkStart w:id="110" w:name="_Toc195842883"/>
      <w:bookmarkStart w:id="111" w:name="_Toc151190145"/>
      <w:bookmarkStart w:id="112" w:name="_Toc127151518"/>
      <w:bookmarkStart w:id="113" w:name="_Toc264969208"/>
      <w:bookmarkStart w:id="114" w:name="_Toc265228356"/>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861"/>
      <w:bookmarkStart w:id="116" w:name="_Toc265228357"/>
      <w:bookmarkStart w:id="117" w:name="_Toc305158787"/>
      <w:bookmarkStart w:id="118" w:name="_Toc264969209"/>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27151721"/>
      <w:bookmarkStart w:id="120" w:name="_Toc151193762"/>
      <w:bookmarkStart w:id="121" w:name="_Toc305158862"/>
      <w:bookmarkStart w:id="122" w:name="_Toc305158788"/>
      <w:bookmarkStart w:id="123" w:name="_Toc195842885"/>
      <w:bookmarkStart w:id="124" w:name="_Toc142311022"/>
      <w:bookmarkStart w:id="125" w:name="_Toc226965793"/>
      <w:bookmarkStart w:id="126" w:name="_Toc164351614"/>
      <w:bookmarkStart w:id="127" w:name="_Toc151193834"/>
      <w:bookmarkStart w:id="128" w:name="_Toc226337216"/>
      <w:bookmarkStart w:id="129" w:name="_Toc164229215"/>
      <w:bookmarkStart w:id="130" w:name="_Toc150774620"/>
      <w:bookmarkStart w:id="131" w:name="_Toc164608789"/>
      <w:bookmarkStart w:id="132" w:name="_Toc151193908"/>
      <w:bookmarkStart w:id="133" w:name="_Toc150480758"/>
      <w:bookmarkStart w:id="134" w:name="_Toc151193618"/>
      <w:bookmarkStart w:id="135" w:name="_Toc164608634"/>
      <w:bookmarkStart w:id="136" w:name="_Toc151190147"/>
      <w:bookmarkStart w:id="137" w:name="_Toc150509271"/>
      <w:bookmarkStart w:id="138" w:name="_Toc226309764"/>
      <w:bookmarkStart w:id="139" w:name="_Toc264969210"/>
      <w:bookmarkStart w:id="140" w:name="_Toc226965710"/>
      <w:bookmarkStart w:id="141" w:name="_Toc164229361"/>
      <w:bookmarkStart w:id="142" w:name="_Toc127151520"/>
      <w:bookmarkStart w:id="143" w:name="_Toc265228358"/>
      <w:bookmarkStart w:id="144" w:name="_Toc150774725"/>
      <w:bookmarkStart w:id="145" w:name="_Toc151193690"/>
      <w:bookmarkStart w:id="146" w:name="_Toc149720813"/>
      <w:bookmarkStart w:id="147" w:name="_Toc127161434"/>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520356146"/>
      <w:bookmarkStart w:id="149" w:name="_Toc151193764"/>
      <w:bookmarkStart w:id="150" w:name="_Toc226965712"/>
      <w:bookmarkStart w:id="151" w:name="_Toc151193836"/>
      <w:bookmarkStart w:id="152" w:name="_Toc150774622"/>
      <w:bookmarkStart w:id="153" w:name="_Toc226337218"/>
      <w:bookmarkStart w:id="154" w:name="_Toc127151522"/>
      <w:bookmarkStart w:id="155" w:name="_Toc151193620"/>
      <w:bookmarkStart w:id="156" w:name="_Toc151193910"/>
      <w:bookmarkStart w:id="157" w:name="_Toc265228360"/>
      <w:bookmarkStart w:id="158" w:name="_Toc150480760"/>
      <w:bookmarkStart w:id="159" w:name="_Toc264969212"/>
      <w:bookmarkStart w:id="160" w:name="_Toc305158790"/>
      <w:bookmarkStart w:id="161" w:name="_Toc151193692"/>
      <w:bookmarkStart w:id="162" w:name="_Toc150509273"/>
      <w:bookmarkStart w:id="163" w:name="_Toc150774727"/>
      <w:bookmarkStart w:id="164" w:name="_Toc195842887"/>
      <w:bookmarkStart w:id="165" w:name="_Toc305158864"/>
      <w:bookmarkStart w:id="166" w:name="_Toc226309766"/>
      <w:bookmarkStart w:id="167" w:name="_Toc151190149"/>
      <w:bookmarkStart w:id="168" w:name="_Toc226965795"/>
      <w:bookmarkStart w:id="169" w:name="_Toc142311024"/>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127151724"/>
      <w:bookmarkStart w:id="172" w:name="_Toc151193837"/>
      <w:bookmarkStart w:id="173" w:name="_Toc150480761"/>
      <w:bookmarkStart w:id="174" w:name="_Toc164229364"/>
      <w:bookmarkStart w:id="175" w:name="_Toc264969213"/>
      <w:bookmarkStart w:id="176" w:name="_Toc226965796"/>
      <w:bookmarkStart w:id="177" w:name="_Toc150774728"/>
      <w:bookmarkStart w:id="178" w:name="_Toc265228361"/>
      <w:bookmarkStart w:id="179" w:name="_Toc195842888"/>
      <w:bookmarkStart w:id="180" w:name="_Toc226337219"/>
      <w:bookmarkStart w:id="181" w:name="_Toc151190150"/>
      <w:bookmarkStart w:id="182" w:name="_Toc305158865"/>
      <w:bookmarkStart w:id="183" w:name="_Toc151193911"/>
      <w:bookmarkStart w:id="184" w:name="_Toc150774623"/>
      <w:bookmarkStart w:id="185" w:name="_Toc164608637"/>
      <w:bookmarkStart w:id="186" w:name="_Toc226965713"/>
      <w:bookmarkStart w:id="187" w:name="_Toc226309767"/>
      <w:bookmarkStart w:id="188" w:name="_Toc151193765"/>
      <w:bookmarkStart w:id="189" w:name="_Toc520356147"/>
      <w:bookmarkStart w:id="190" w:name="_Toc127161437"/>
      <w:bookmarkStart w:id="191" w:name="_Toc142311025"/>
      <w:bookmarkStart w:id="192" w:name="_Toc151193621"/>
      <w:bookmarkStart w:id="193" w:name="_Toc127151523"/>
      <w:bookmarkStart w:id="194" w:name="_Toc149720816"/>
      <w:bookmarkStart w:id="195" w:name="_Toc305158791"/>
      <w:bookmarkStart w:id="196" w:name="_Toc164229218"/>
      <w:bookmarkStart w:id="197" w:name="_Toc150509274"/>
      <w:bookmarkStart w:id="198" w:name="_Toc151193693"/>
      <w:bookmarkStart w:id="199" w:name="_Toc164608792"/>
      <w:bookmarkStart w:id="200" w:name="_Toc164351617"/>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拟签订的合同草案</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1193624"/>
      <w:bookmarkStart w:id="203" w:name="_Toc151193840"/>
      <w:bookmarkStart w:id="204" w:name="_Toc150774626"/>
      <w:bookmarkStart w:id="205" w:name="_Toc151193696"/>
      <w:bookmarkStart w:id="206" w:name="_Toc264969216"/>
      <w:bookmarkStart w:id="207" w:name="_Toc127151526"/>
      <w:bookmarkStart w:id="208" w:name="_Toc226965716"/>
      <w:bookmarkStart w:id="209" w:name="_Toc305158794"/>
      <w:bookmarkStart w:id="210" w:name="_Toc226337222"/>
      <w:bookmarkStart w:id="211" w:name="_Toc151193768"/>
      <w:bookmarkStart w:id="212" w:name="_Toc305158868"/>
      <w:bookmarkStart w:id="213" w:name="_Toc150774731"/>
      <w:bookmarkStart w:id="214" w:name="_Toc150480764"/>
      <w:bookmarkStart w:id="215" w:name="_Toc195842891"/>
      <w:bookmarkStart w:id="216" w:name="_Toc151193914"/>
      <w:bookmarkStart w:id="217" w:name="_Toc142311028"/>
      <w:bookmarkStart w:id="218" w:name="_Toc150509277"/>
      <w:bookmarkStart w:id="219" w:name="_Toc520356150"/>
      <w:bookmarkStart w:id="220" w:name="_Toc151190153"/>
      <w:bookmarkStart w:id="221" w:name="_Toc265228364"/>
      <w:bookmarkStart w:id="222" w:name="_Toc226309770"/>
      <w:bookmarkStart w:id="223" w:name="_Toc226965799"/>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0774732"/>
      <w:bookmarkStart w:id="225" w:name="_Toc127151527"/>
      <w:bookmarkStart w:id="226" w:name="_Toc195842892"/>
      <w:bookmarkStart w:id="227" w:name="_Toc127161441"/>
      <w:bookmarkStart w:id="228" w:name="_Toc151193697"/>
      <w:bookmarkStart w:id="229" w:name="_Toc520356151"/>
      <w:bookmarkStart w:id="230" w:name="_Toc150480765"/>
      <w:bookmarkStart w:id="231" w:name="_Toc151193769"/>
      <w:bookmarkStart w:id="232" w:name="_Toc127151728"/>
      <w:bookmarkStart w:id="233" w:name="_Toc265228365"/>
      <w:bookmarkStart w:id="234" w:name="_Toc305158869"/>
      <w:bookmarkStart w:id="235" w:name="_Toc164351621"/>
      <w:bookmarkStart w:id="236" w:name="_Toc226337223"/>
      <w:bookmarkStart w:id="237" w:name="_Toc226965800"/>
      <w:bookmarkStart w:id="238" w:name="_Toc305158795"/>
      <w:bookmarkStart w:id="239" w:name="_Toc226965717"/>
      <w:bookmarkStart w:id="240" w:name="_Toc264969217"/>
      <w:bookmarkStart w:id="241" w:name="_Toc150774627"/>
      <w:bookmarkStart w:id="242" w:name="_Toc151193915"/>
      <w:bookmarkStart w:id="243" w:name="_Toc151190154"/>
      <w:bookmarkStart w:id="244" w:name="_Toc516367021"/>
      <w:bookmarkStart w:id="245" w:name="_Toc142311029"/>
      <w:bookmarkStart w:id="246" w:name="_Toc164229368"/>
      <w:bookmarkStart w:id="247" w:name="_Toc150509278"/>
      <w:bookmarkStart w:id="248" w:name="_Toc226309771"/>
      <w:bookmarkStart w:id="249" w:name="_Toc164608641"/>
      <w:bookmarkStart w:id="250" w:name="_Toc164229222"/>
      <w:bookmarkStart w:id="251" w:name="_Toc164608796"/>
      <w:bookmarkStart w:id="252" w:name="_Toc149720820"/>
      <w:bookmarkStart w:id="253" w:name="_Toc151193841"/>
      <w:bookmarkStart w:id="254" w:name="_Toc151193625"/>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50774733"/>
      <w:bookmarkStart w:id="256" w:name="_Toc150480766"/>
      <w:bookmarkStart w:id="257" w:name="_Toc265228366"/>
      <w:bookmarkStart w:id="258" w:name="_Toc226965801"/>
      <w:bookmarkStart w:id="259" w:name="_Toc164608642"/>
      <w:bookmarkStart w:id="260" w:name="_Toc151193842"/>
      <w:bookmarkStart w:id="261" w:name="_Toc226337224"/>
      <w:bookmarkStart w:id="262" w:name="_Toc195842893"/>
      <w:bookmarkStart w:id="263" w:name="_Toc164229369"/>
      <w:bookmarkStart w:id="264" w:name="_Toc151193698"/>
      <w:bookmarkStart w:id="265" w:name="_Toc164229223"/>
      <w:bookmarkStart w:id="266" w:name="_Toc151193770"/>
      <w:bookmarkStart w:id="267" w:name="_Toc150509279"/>
      <w:bookmarkStart w:id="268" w:name="_Toc151190155"/>
      <w:bookmarkStart w:id="269" w:name="_Toc151193916"/>
      <w:bookmarkStart w:id="270" w:name="_Toc150774628"/>
      <w:bookmarkStart w:id="271" w:name="_Toc305158870"/>
      <w:bookmarkStart w:id="272" w:name="_Toc164608797"/>
      <w:bookmarkStart w:id="273" w:name="_Toc226965718"/>
      <w:bookmarkStart w:id="274" w:name="_Toc149720821"/>
      <w:bookmarkStart w:id="275" w:name="_Toc264969218"/>
      <w:bookmarkStart w:id="276" w:name="_Toc127161442"/>
      <w:bookmarkStart w:id="277" w:name="_Toc142311030"/>
      <w:bookmarkStart w:id="278" w:name="_Toc520356152"/>
      <w:bookmarkStart w:id="279" w:name="_Toc151193626"/>
      <w:bookmarkStart w:id="280" w:name="_Toc164351622"/>
      <w:bookmarkStart w:id="281" w:name="_Toc127151729"/>
      <w:bookmarkStart w:id="282" w:name="_Toc226309772"/>
      <w:bookmarkStart w:id="283" w:name="_Toc305158796"/>
      <w:bookmarkStart w:id="284" w:name="_Toc127151528"/>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49720823"/>
      <w:bookmarkStart w:id="287" w:name="_Toc151190157"/>
      <w:bookmarkStart w:id="288" w:name="_Toc151193772"/>
      <w:bookmarkStart w:id="289" w:name="_Toc195842895"/>
      <w:bookmarkStart w:id="290" w:name="_Toc127161444"/>
      <w:bookmarkStart w:id="291" w:name="_Toc127151530"/>
      <w:bookmarkStart w:id="292" w:name="_Toc151193628"/>
      <w:bookmarkStart w:id="293" w:name="_Toc142311032"/>
      <w:bookmarkStart w:id="294" w:name="_Toc150774630"/>
      <w:bookmarkStart w:id="295" w:name="_Toc164229371"/>
      <w:bookmarkStart w:id="296" w:name="_Toc150480768"/>
      <w:bookmarkStart w:id="297" w:name="_Toc151193918"/>
      <w:bookmarkStart w:id="298" w:name="_Toc164608799"/>
      <w:bookmarkStart w:id="299" w:name="_Toc151193700"/>
      <w:bookmarkStart w:id="300" w:name="_Toc151193844"/>
      <w:bookmarkStart w:id="301" w:name="_Toc520356155"/>
      <w:bookmarkStart w:id="302" w:name="_Toc150509281"/>
      <w:bookmarkStart w:id="303" w:name="_Toc164351624"/>
      <w:bookmarkStart w:id="304" w:name="_Toc150774735"/>
      <w:bookmarkStart w:id="305" w:name="_Toc127151731"/>
      <w:bookmarkStart w:id="306" w:name="_Toc164229225"/>
      <w:bookmarkStart w:id="307" w:name="_Toc164608644"/>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27161447"/>
      <w:bookmarkStart w:id="310" w:name="_Toc149720826"/>
      <w:bookmarkStart w:id="311" w:name="_Toc226965806"/>
      <w:bookmarkStart w:id="312" w:name="_Toc195842898"/>
      <w:bookmarkStart w:id="313" w:name="_Toc226337229"/>
      <w:bookmarkStart w:id="314" w:name="_Toc264969223"/>
      <w:bookmarkStart w:id="315" w:name="_Toc151193631"/>
      <w:bookmarkStart w:id="316" w:name="_Toc151193775"/>
      <w:bookmarkStart w:id="317" w:name="_Toc164608802"/>
      <w:bookmarkStart w:id="318" w:name="_Toc151193703"/>
      <w:bookmarkStart w:id="319" w:name="_Toc305158875"/>
      <w:bookmarkStart w:id="320" w:name="_Toc127151533"/>
      <w:bookmarkStart w:id="321" w:name="_Toc164229374"/>
      <w:bookmarkStart w:id="322" w:name="_Toc164608647"/>
      <w:bookmarkStart w:id="323" w:name="_Toc164229228"/>
      <w:bookmarkStart w:id="324" w:name="_Toc150774738"/>
      <w:bookmarkStart w:id="325" w:name="_Toc164351627"/>
      <w:bookmarkStart w:id="326" w:name="_Toc142311035"/>
      <w:bookmarkStart w:id="327" w:name="_Toc305158801"/>
      <w:bookmarkStart w:id="328" w:name="_Toc151193847"/>
      <w:bookmarkStart w:id="329" w:name="_Toc226309777"/>
      <w:bookmarkStart w:id="330" w:name="_Toc150480771"/>
      <w:bookmarkStart w:id="331" w:name="_Toc150509284"/>
      <w:bookmarkStart w:id="332" w:name="_Toc265228371"/>
      <w:bookmarkStart w:id="333" w:name="_Toc151190160"/>
      <w:bookmarkStart w:id="334" w:name="_Toc520356158"/>
      <w:bookmarkStart w:id="335" w:name="_Toc150774633"/>
      <w:bookmarkStart w:id="336" w:name="_Toc127151734"/>
      <w:bookmarkStart w:id="337" w:name="_Toc226965723"/>
      <w:bookmarkStart w:id="338" w:name="_Toc151193921"/>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50509285"/>
      <w:bookmarkStart w:id="340" w:name="_Toc151190161"/>
      <w:bookmarkStart w:id="341" w:name="_Toc305158876"/>
      <w:bookmarkStart w:id="342" w:name="_Toc150774634"/>
      <w:bookmarkStart w:id="343" w:name="_Toc520356159"/>
      <w:bookmarkStart w:id="344" w:name="_Toc150480772"/>
      <w:bookmarkStart w:id="345" w:name="_Toc151193922"/>
      <w:bookmarkStart w:id="346" w:name="_Toc226965724"/>
      <w:bookmarkStart w:id="347" w:name="_Toc151193704"/>
      <w:bookmarkStart w:id="348" w:name="_Toc226965807"/>
      <w:bookmarkStart w:id="349" w:name="_Toc142311036"/>
      <w:bookmarkStart w:id="350" w:name="_Toc151193776"/>
      <w:bookmarkStart w:id="351" w:name="_Toc127151534"/>
      <w:bookmarkStart w:id="352" w:name="_Toc265228372"/>
      <w:bookmarkStart w:id="353" w:name="_Toc195842899"/>
      <w:bookmarkStart w:id="354" w:name="_Toc226309778"/>
      <w:bookmarkStart w:id="355" w:name="_Toc151193632"/>
      <w:bookmarkStart w:id="356" w:name="_Toc151193848"/>
      <w:bookmarkStart w:id="357" w:name="_Toc264969224"/>
      <w:bookmarkStart w:id="358" w:name="_Toc305158802"/>
      <w:bookmarkStart w:id="359" w:name="_Toc226337230"/>
      <w:bookmarkStart w:id="360" w:name="_Toc150774739"/>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64229231"/>
      <w:bookmarkStart w:id="362" w:name="_Toc150509287"/>
      <w:bookmarkStart w:id="363" w:name="_Toc150774636"/>
      <w:bookmarkStart w:id="364" w:name="_Toc226965809"/>
      <w:bookmarkStart w:id="365" w:name="_Toc195842901"/>
      <w:bookmarkStart w:id="366" w:name="_Toc226337232"/>
      <w:bookmarkStart w:id="367" w:name="_Toc164608650"/>
      <w:bookmarkStart w:id="368" w:name="_Toc305158878"/>
      <w:bookmarkStart w:id="369" w:name="_Toc226309780"/>
      <w:bookmarkStart w:id="370" w:name="_Toc151193634"/>
      <w:bookmarkStart w:id="371" w:name="_Toc151193706"/>
      <w:bookmarkStart w:id="372" w:name="_Toc305158804"/>
      <w:bookmarkStart w:id="373" w:name="_Toc149720829"/>
      <w:bookmarkStart w:id="374" w:name="_Toc226965726"/>
      <w:bookmarkStart w:id="375" w:name="_Toc142311038"/>
      <w:bookmarkStart w:id="376" w:name="_Toc151193778"/>
      <w:bookmarkStart w:id="377" w:name="_Toc151193850"/>
      <w:bookmarkStart w:id="378" w:name="_Toc164229377"/>
      <w:bookmarkStart w:id="379" w:name="_Toc150774741"/>
      <w:bookmarkStart w:id="380" w:name="_Toc164608805"/>
      <w:bookmarkStart w:id="381" w:name="_Toc151193924"/>
      <w:bookmarkStart w:id="382" w:name="_Toc127161450"/>
      <w:bookmarkStart w:id="383" w:name="_Toc164351630"/>
      <w:bookmarkStart w:id="384" w:name="_Toc520356161"/>
      <w:bookmarkStart w:id="385" w:name="_Toc127151737"/>
      <w:bookmarkStart w:id="386" w:name="_Toc150480774"/>
      <w:bookmarkStart w:id="387" w:name="_Toc127151536"/>
      <w:bookmarkStart w:id="388" w:name="_Toc265228374"/>
      <w:bookmarkStart w:id="389" w:name="_Toc264969226"/>
      <w:bookmarkStart w:id="390" w:name="_Toc151190163"/>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151190164"/>
      <w:bookmarkStart w:id="392" w:name="_Toc151193707"/>
      <w:bookmarkStart w:id="393" w:name="_Toc127161451"/>
      <w:bookmarkStart w:id="394" w:name="_Toc150509288"/>
      <w:bookmarkStart w:id="395" w:name="_Toc150774637"/>
      <w:bookmarkStart w:id="396" w:name="_Toc305158805"/>
      <w:bookmarkStart w:id="397" w:name="_Toc520356162"/>
      <w:bookmarkStart w:id="398" w:name="_Toc151193851"/>
      <w:bookmarkStart w:id="399" w:name="_Toc264969227"/>
      <w:bookmarkStart w:id="400" w:name="_Toc151193635"/>
      <w:bookmarkStart w:id="401" w:name="_Toc226965810"/>
      <w:bookmarkStart w:id="402" w:name="_Toc164608651"/>
      <w:bookmarkStart w:id="403" w:name="_Toc164229378"/>
      <w:bookmarkStart w:id="404" w:name="_Toc142311039"/>
      <w:bookmarkStart w:id="405" w:name="_Toc226965727"/>
      <w:bookmarkStart w:id="406" w:name="_Toc127151738"/>
      <w:bookmarkStart w:id="407" w:name="_Toc265228375"/>
      <w:bookmarkStart w:id="408" w:name="_Toc226337233"/>
      <w:bookmarkStart w:id="409" w:name="_Toc164351631"/>
      <w:bookmarkStart w:id="410" w:name="_Toc150480775"/>
      <w:bookmarkStart w:id="411" w:name="_Toc149720830"/>
      <w:bookmarkStart w:id="412" w:name="_Toc127151537"/>
      <w:bookmarkStart w:id="413" w:name="_Toc151193779"/>
      <w:bookmarkStart w:id="414" w:name="_Toc195842902"/>
      <w:bookmarkStart w:id="415" w:name="_Toc164608806"/>
      <w:bookmarkStart w:id="416" w:name="_Toc305158879"/>
      <w:bookmarkStart w:id="417" w:name="_Toc164229232"/>
      <w:bookmarkStart w:id="418" w:name="_Toc226309781"/>
      <w:bookmarkStart w:id="419" w:name="_Toc150774742"/>
      <w:bookmarkStart w:id="420" w:name="_Toc151193925"/>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151193852"/>
      <w:bookmarkStart w:id="422" w:name="_Toc305158806"/>
      <w:bookmarkStart w:id="423" w:name="_Toc151193926"/>
      <w:bookmarkStart w:id="424" w:name="_Toc226965811"/>
      <w:bookmarkStart w:id="425" w:name="_Toc142311040"/>
      <w:bookmarkStart w:id="426" w:name="_Toc226337234"/>
      <w:bookmarkStart w:id="427" w:name="_Toc150774638"/>
      <w:bookmarkStart w:id="428" w:name="_Toc226309782"/>
      <w:bookmarkStart w:id="429" w:name="_Toc127151538"/>
      <w:bookmarkStart w:id="430" w:name="_Toc520356163"/>
      <w:bookmarkStart w:id="431" w:name="_Toc264969228"/>
      <w:bookmarkStart w:id="432" w:name="_Toc151190165"/>
      <w:bookmarkStart w:id="433" w:name="_Toc305158880"/>
      <w:bookmarkStart w:id="434" w:name="_Toc150774743"/>
      <w:bookmarkStart w:id="435" w:name="_Toc150480776"/>
      <w:bookmarkStart w:id="436" w:name="_Toc195842903"/>
      <w:bookmarkStart w:id="437" w:name="_Toc150509289"/>
      <w:bookmarkStart w:id="438" w:name="_Toc151193708"/>
      <w:bookmarkStart w:id="439" w:name="_Toc265228376"/>
      <w:bookmarkStart w:id="440" w:name="_Toc151193636"/>
      <w:bookmarkStart w:id="441" w:name="_Toc226965728"/>
      <w:bookmarkStart w:id="442" w:name="_Toc151193780"/>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bookmarkEnd w:id="443"/>
    </w:p>
    <w:p>
      <w:pPr>
        <w:numPr>
          <w:ilvl w:val="0"/>
          <w:numId w:val="8"/>
        </w:numPr>
        <w:tabs>
          <w:tab w:val="left" w:pos="360"/>
        </w:tabs>
        <w:snapToGrid w:val="0"/>
        <w:spacing w:line="360" w:lineRule="auto"/>
        <w:ind w:left="357" w:hanging="357"/>
        <w:outlineLvl w:val="1"/>
        <w:rPr>
          <w:rFonts w:ascii="宋体" w:hAnsi="宋体"/>
          <w:sz w:val="24"/>
        </w:rPr>
      </w:pPr>
      <w:bookmarkStart w:id="444" w:name="_Toc151193854"/>
      <w:bookmarkStart w:id="445" w:name="_Toc127161454"/>
      <w:bookmarkStart w:id="446" w:name="_Toc226965813"/>
      <w:bookmarkStart w:id="447" w:name="_Toc164608654"/>
      <w:bookmarkStart w:id="448" w:name="_Toc127151540"/>
      <w:bookmarkStart w:id="449" w:name="_Toc150480778"/>
      <w:bookmarkStart w:id="450" w:name="_Toc226337236"/>
      <w:bookmarkStart w:id="451" w:name="_Toc142311042"/>
      <w:bookmarkStart w:id="452" w:name="_Toc151193782"/>
      <w:bookmarkStart w:id="453" w:name="_Toc151193638"/>
      <w:bookmarkStart w:id="454" w:name="_Toc164229235"/>
      <w:bookmarkStart w:id="455" w:name="_Toc150774640"/>
      <w:bookmarkStart w:id="456" w:name="_Toc149720833"/>
      <w:bookmarkStart w:id="457" w:name="_Toc151190167"/>
      <w:bookmarkStart w:id="458" w:name="_Toc151193928"/>
      <w:bookmarkStart w:id="459" w:name="_Toc265228378"/>
      <w:bookmarkStart w:id="460" w:name="_Toc226309784"/>
      <w:bookmarkStart w:id="461" w:name="_Toc151193710"/>
      <w:bookmarkStart w:id="462" w:name="_Toc305158808"/>
      <w:bookmarkStart w:id="463" w:name="_Toc195842905"/>
      <w:bookmarkStart w:id="464" w:name="_Toc127151741"/>
      <w:bookmarkStart w:id="465" w:name="_Toc164229381"/>
      <w:bookmarkStart w:id="466" w:name="_Toc164608809"/>
      <w:bookmarkStart w:id="467" w:name="_Toc164351634"/>
      <w:bookmarkStart w:id="468" w:name="_Toc150509291"/>
      <w:bookmarkStart w:id="469" w:name="_Toc150774745"/>
      <w:bookmarkStart w:id="470" w:name="_Toc226965730"/>
      <w:bookmarkStart w:id="471" w:name="_Toc305158882"/>
      <w:bookmarkStart w:id="472" w:name="_Toc264969230"/>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5"/>
        <w:spacing w:before="0" w:line="360" w:lineRule="auto"/>
        <w:rPr>
          <w:rFonts w:ascii="宋体" w:hAnsi="宋体" w:eastAsia="宋体"/>
          <w:sz w:val="28"/>
        </w:rPr>
      </w:pPr>
      <w:bookmarkStart w:id="475" w:name="_Toc195842910"/>
      <w:bookmarkStart w:id="476" w:name="_Toc226337241"/>
      <w:bookmarkStart w:id="477" w:name="_Toc127151545"/>
      <w:bookmarkStart w:id="478" w:name="_Toc151193787"/>
      <w:bookmarkStart w:id="479" w:name="_Toc150774645"/>
      <w:bookmarkStart w:id="480" w:name="_Toc151193933"/>
      <w:bookmarkStart w:id="481" w:name="_Toc151193859"/>
      <w:bookmarkStart w:id="482" w:name="_Toc305158887"/>
      <w:bookmarkStart w:id="483" w:name="_Toc151193643"/>
      <w:bookmarkStart w:id="484" w:name="_Toc226965818"/>
      <w:bookmarkStart w:id="485" w:name="_Toc151190172"/>
      <w:bookmarkStart w:id="486" w:name="_Toc142311047"/>
      <w:bookmarkStart w:id="487" w:name="_Toc264969235"/>
      <w:bookmarkStart w:id="488" w:name="_Toc150480783"/>
      <w:bookmarkStart w:id="489" w:name="_Toc151193715"/>
      <w:bookmarkStart w:id="490" w:name="_Toc150509296"/>
      <w:bookmarkStart w:id="491" w:name="_Toc226965735"/>
      <w:bookmarkStart w:id="492" w:name="_Toc265228383"/>
      <w:bookmarkStart w:id="493" w:name="_Toc305158813"/>
      <w:bookmarkStart w:id="494" w:name="_Toc150774750"/>
      <w:bookmarkStart w:id="495" w:name="_Toc226309789"/>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27151547"/>
      <w:bookmarkStart w:id="497" w:name="_Toc164229242"/>
      <w:bookmarkStart w:id="498" w:name="_Toc142311049"/>
      <w:bookmarkStart w:id="499" w:name="_Toc164351641"/>
      <w:bookmarkStart w:id="500" w:name="_Toc150774647"/>
      <w:bookmarkStart w:id="501" w:name="_Toc127151748"/>
      <w:bookmarkStart w:id="502" w:name="_Toc127161461"/>
      <w:bookmarkStart w:id="503" w:name="_Toc226965820"/>
      <w:bookmarkStart w:id="504" w:name="_Toc151193935"/>
      <w:bookmarkStart w:id="505" w:name="_Toc164229388"/>
      <w:bookmarkStart w:id="506" w:name="_Toc151193861"/>
      <w:bookmarkStart w:id="507" w:name="_Toc151190174"/>
      <w:bookmarkStart w:id="508" w:name="_Toc305158815"/>
      <w:bookmarkStart w:id="509" w:name="_Toc150509298"/>
      <w:bookmarkStart w:id="510" w:name="_Toc226337243"/>
      <w:bookmarkStart w:id="511" w:name="_Toc164608816"/>
      <w:bookmarkStart w:id="512" w:name="_Toc305158889"/>
      <w:bookmarkStart w:id="513" w:name="_Toc151193789"/>
      <w:bookmarkStart w:id="514" w:name="_Toc164608661"/>
      <w:bookmarkStart w:id="515" w:name="_Toc195842912"/>
      <w:bookmarkStart w:id="516" w:name="_Toc151193717"/>
      <w:bookmarkStart w:id="517" w:name="_Toc151193645"/>
      <w:bookmarkStart w:id="518" w:name="_Toc226309791"/>
      <w:bookmarkStart w:id="519" w:name="_Toc226965737"/>
      <w:bookmarkStart w:id="520" w:name="_Toc150774752"/>
      <w:bookmarkStart w:id="521" w:name="_Toc265228385"/>
      <w:bookmarkStart w:id="522" w:name="_Toc149720840"/>
      <w:bookmarkStart w:id="523" w:name="_Toc150480785"/>
      <w:bookmarkStart w:id="524" w:name="_Toc264969237"/>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151190176"/>
      <w:bookmarkStart w:id="528" w:name="_Toc164229244"/>
      <w:bookmarkStart w:id="529" w:name="_Toc226965739"/>
      <w:bookmarkStart w:id="530" w:name="_Toc149720842"/>
      <w:bookmarkStart w:id="531" w:name="_Toc265228387"/>
      <w:bookmarkStart w:id="532" w:name="_Toc226309793"/>
      <w:bookmarkStart w:id="533" w:name="_Toc127151750"/>
      <w:bookmarkStart w:id="534" w:name="_Toc164351643"/>
      <w:bookmarkStart w:id="535" w:name="_Toc151193719"/>
      <w:bookmarkStart w:id="536" w:name="_Toc151193937"/>
      <w:bookmarkStart w:id="537" w:name="_Toc150480787"/>
      <w:bookmarkStart w:id="538" w:name="_Toc164608663"/>
      <w:bookmarkStart w:id="539" w:name="_Toc150509300"/>
      <w:bookmarkStart w:id="540" w:name="_Toc226965822"/>
      <w:bookmarkStart w:id="541" w:name="_Toc151193791"/>
      <w:bookmarkStart w:id="542" w:name="_Toc127161463"/>
      <w:bookmarkStart w:id="543" w:name="_Toc151193863"/>
      <w:bookmarkStart w:id="544" w:name="_Toc142311051"/>
      <w:bookmarkStart w:id="545" w:name="_Toc264969239"/>
      <w:bookmarkStart w:id="546" w:name="_Toc226337245"/>
      <w:bookmarkStart w:id="547" w:name="_Toc127151549"/>
      <w:bookmarkStart w:id="548" w:name="_Toc164608818"/>
      <w:bookmarkStart w:id="549" w:name="_Toc151193647"/>
      <w:bookmarkStart w:id="550" w:name="_Toc150774754"/>
      <w:bookmarkStart w:id="551" w:name="_Toc195842914"/>
      <w:bookmarkStart w:id="552" w:name="_Toc150774649"/>
      <w:bookmarkStart w:id="553" w:name="_Toc164229390"/>
      <w:bookmarkStart w:id="554" w:name="_Ref467306425"/>
      <w:bookmarkStart w:id="555" w:name="_Toc520356176"/>
      <w:bookmarkStart w:id="556" w:name="_Ref467307090"/>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0"/>
          <w:numId w:val="8"/>
        </w:numPr>
        <w:tabs>
          <w:tab w:val="left" w:pos="360"/>
        </w:tabs>
        <w:snapToGrid w:val="0"/>
        <w:spacing w:line="360" w:lineRule="auto"/>
        <w:ind w:left="357" w:hanging="357"/>
        <w:outlineLvl w:val="1"/>
        <w:rPr>
          <w:rFonts w:ascii="宋体" w:hAnsi="宋体"/>
          <w:sz w:val="24"/>
        </w:rPr>
      </w:pPr>
      <w:bookmarkStart w:id="557" w:name="_Toc127161464"/>
      <w:bookmarkStart w:id="558" w:name="_Toc164608664"/>
      <w:bookmarkStart w:id="559" w:name="_Toc195842915"/>
      <w:bookmarkStart w:id="560" w:name="_Toc151193938"/>
      <w:bookmarkStart w:id="561" w:name="_Ref467306978"/>
      <w:bookmarkStart w:id="562" w:name="_Toc164608819"/>
      <w:bookmarkStart w:id="563" w:name="_Toc151193792"/>
      <w:bookmarkStart w:id="564" w:name="_Toc226965740"/>
      <w:bookmarkStart w:id="565" w:name="_Ref467307062"/>
      <w:bookmarkStart w:id="566" w:name="_Toc151193720"/>
      <w:bookmarkStart w:id="567" w:name="_Toc149720843"/>
      <w:bookmarkStart w:id="568" w:name="_Toc151193648"/>
      <w:bookmarkStart w:id="569" w:name="_Toc150509301"/>
      <w:bookmarkStart w:id="570" w:name="_Toc265228388"/>
      <w:bookmarkStart w:id="571" w:name="_Toc164229245"/>
      <w:bookmarkStart w:id="572" w:name="_Toc164229391"/>
      <w:bookmarkStart w:id="573" w:name="_Toc150774755"/>
      <w:bookmarkStart w:id="574" w:name="_Toc264969240"/>
      <w:bookmarkStart w:id="575" w:name="_Ref467307204"/>
      <w:bookmarkStart w:id="576" w:name="_Toc151190177"/>
      <w:bookmarkStart w:id="577" w:name="_Toc164351644"/>
      <w:bookmarkStart w:id="578" w:name="_Toc226309794"/>
      <w:bookmarkStart w:id="579" w:name="_Toc150480788"/>
      <w:bookmarkStart w:id="580" w:name="_Toc226965823"/>
      <w:bookmarkStart w:id="581" w:name="_Toc151193864"/>
      <w:bookmarkStart w:id="582" w:name="_Toc520356175"/>
      <w:bookmarkStart w:id="583" w:name="_Toc305158892"/>
      <w:bookmarkStart w:id="584" w:name="_Toc142311052"/>
      <w:bookmarkStart w:id="585" w:name="_Toc150774650"/>
      <w:bookmarkStart w:id="586" w:name="_Ref467306377"/>
      <w:bookmarkStart w:id="587" w:name="_Toc127151550"/>
      <w:bookmarkStart w:id="588" w:name="_Toc305158818"/>
      <w:bookmarkStart w:id="589" w:name="_Toc226337246"/>
      <w:bookmarkStart w:id="590" w:name="_Toc127151751"/>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bookmarkEnd w:id="554"/>
      <w:bookmarkEnd w:id="555"/>
      <w:bookmarkEnd w:id="556"/>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264969244"/>
      <w:bookmarkStart w:id="592" w:name="_Toc226965827"/>
      <w:bookmarkStart w:id="593" w:name="_Toc226337250"/>
      <w:bookmarkStart w:id="594" w:name="_Toc305158822"/>
      <w:bookmarkStart w:id="595" w:name="_Toc150480792"/>
      <w:bookmarkStart w:id="596" w:name="_Toc353873934"/>
      <w:bookmarkStart w:id="597" w:name="_Toc353873664"/>
      <w:bookmarkStart w:id="598" w:name="_Toc265228392"/>
      <w:bookmarkStart w:id="599" w:name="_Toc150774759"/>
      <w:bookmarkStart w:id="600" w:name="_Toc353825544"/>
      <w:bookmarkStart w:id="601" w:name="_Toc305158896"/>
      <w:bookmarkStart w:id="602" w:name="_Toc127151554"/>
      <w:bookmarkStart w:id="603" w:name="_Toc142311056"/>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19436"/>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bookmarkEnd w:id="606"/>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353873940"/>
            <w:bookmarkStart w:id="610" w:name="_Toc353825550"/>
            <w:bookmarkStart w:id="611" w:name="_Toc226965858"/>
            <w:bookmarkStart w:id="612" w:name="_Toc127161490"/>
            <w:bookmarkStart w:id="613" w:name="_Toc127151779"/>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bookmarkEnd w:id="609"/>
      <w:bookmarkEnd w:id="610"/>
      <w:bookmarkEnd w:id="611"/>
      <w:bookmarkEnd w:id="612"/>
      <w:bookmarkEnd w:id="613"/>
    </w:p>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226965828"/>
      <w:bookmarkStart w:id="619" w:name="_Toc305158897"/>
      <w:bookmarkStart w:id="620" w:name="_Toc353873935"/>
      <w:bookmarkStart w:id="621" w:name="_Toc127151555"/>
      <w:bookmarkStart w:id="622" w:name="_Toc142311057"/>
      <w:bookmarkStart w:id="623" w:name="_Toc305158823"/>
      <w:bookmarkStart w:id="624" w:name="_Toc226337251"/>
      <w:bookmarkStart w:id="625" w:name="_Toc150774760"/>
      <w:bookmarkStart w:id="626" w:name="_Toc195842920"/>
      <w:bookmarkStart w:id="627" w:name="_Toc353825545"/>
      <w:bookmarkStart w:id="628" w:name="_Toc353873665"/>
      <w:bookmarkStart w:id="629" w:name="_Toc265228393"/>
      <w:bookmarkStart w:id="630" w:name="_Toc264969245"/>
      <w:bookmarkStart w:id="631" w:name="_Toc150480793"/>
      <w:r>
        <w:rPr>
          <w:rFonts w:ascii="宋体" w:hAnsi="宋体"/>
          <w:b/>
          <w:sz w:val="24"/>
        </w:rPr>
        <w:t>符合性审查</w:t>
      </w:r>
      <w:r>
        <w:rPr>
          <w:rFonts w:hint="eastAsia" w:ascii="宋体" w:hAnsi="宋体"/>
          <w:b/>
          <w:sz w:val="24"/>
        </w:rPr>
        <w:t>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51193716"/>
      <w:bookmarkStart w:id="633" w:name="_Toc305158814"/>
      <w:bookmarkStart w:id="634" w:name="_Toc226965819"/>
      <w:bookmarkStart w:id="635" w:name="_Toc150774751"/>
      <w:bookmarkStart w:id="636" w:name="_Toc305158888"/>
      <w:bookmarkStart w:id="637" w:name="_Toc164608660"/>
      <w:bookmarkStart w:id="638" w:name="_Toc151190173"/>
      <w:bookmarkStart w:id="639" w:name="_Toc226309790"/>
      <w:bookmarkStart w:id="640" w:name="_Toc164351640"/>
      <w:bookmarkStart w:id="641" w:name="_Toc142311048"/>
      <w:bookmarkStart w:id="642" w:name="_Toc265228384"/>
      <w:bookmarkStart w:id="643" w:name="_Toc150480784"/>
      <w:bookmarkStart w:id="644" w:name="_Ref467307010"/>
      <w:bookmarkStart w:id="645" w:name="_Toc164608815"/>
      <w:bookmarkStart w:id="646" w:name="_Toc150509297"/>
      <w:bookmarkStart w:id="647" w:name="_Toc195842911"/>
      <w:bookmarkStart w:id="648" w:name="_Toc127151747"/>
      <w:bookmarkStart w:id="649" w:name="_Toc164229241"/>
      <w:bookmarkStart w:id="650" w:name="_Toc226965736"/>
      <w:bookmarkStart w:id="651" w:name="_Toc151193788"/>
      <w:bookmarkStart w:id="652" w:name="_Toc520356170"/>
      <w:bookmarkStart w:id="653" w:name="_Toc151193934"/>
      <w:bookmarkStart w:id="654" w:name="_Toc151193644"/>
      <w:bookmarkStart w:id="655" w:name="_Toc149720839"/>
      <w:bookmarkStart w:id="656" w:name="_Toc164229387"/>
      <w:bookmarkStart w:id="657" w:name="_Toc226337242"/>
      <w:bookmarkStart w:id="658" w:name="_Toc127161460"/>
      <w:bookmarkStart w:id="659" w:name="_Toc151193860"/>
      <w:bookmarkStart w:id="660" w:name="_Toc264969236"/>
      <w:bookmarkStart w:id="661" w:name="_Toc127151546"/>
      <w:bookmarkStart w:id="662" w:name="_Toc150774646"/>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以评审因素中“技术指标”及“售后服务”两项合计值得分最高的供应商获得成交人推荐资格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以评审因素中“技术指标”及“售后服务”两项合计值</w:t>
      </w:r>
      <w:r>
        <w:rPr>
          <w:rFonts w:ascii="宋体" w:hAnsi="宋体"/>
          <w:sz w:val="24"/>
        </w:rPr>
        <w:t>由</w:t>
      </w:r>
      <w:r>
        <w:rPr>
          <w:rFonts w:hint="eastAsia" w:ascii="宋体" w:hAnsi="宋体"/>
          <w:sz w:val="24"/>
        </w:rPr>
        <w:t>高</w:t>
      </w:r>
      <w:r>
        <w:rPr>
          <w:rFonts w:ascii="宋体" w:hAnsi="宋体"/>
          <w:sz w:val="24"/>
        </w:rPr>
        <w:t>到</w:t>
      </w:r>
      <w:r>
        <w:rPr>
          <w:rFonts w:hint="eastAsia" w:ascii="宋体" w:hAnsi="宋体"/>
          <w:sz w:val="24"/>
        </w:rPr>
        <w:t>低</w:t>
      </w:r>
      <w:r>
        <w:rPr>
          <w:rFonts w:ascii="宋体" w:hAnsi="宋体"/>
          <w:sz w:val="24"/>
        </w:rPr>
        <w:t>顺序排列。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评标标准</w:t>
      </w:r>
    </w:p>
    <w:tbl>
      <w:tblPr>
        <w:tblStyle w:val="39"/>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935"/>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8" w:type="pct"/>
            <w:vAlign w:val="center"/>
          </w:tcPr>
          <w:p>
            <w:pPr>
              <w:spacing w:line="276" w:lineRule="auto"/>
              <w:jc w:val="center"/>
              <w:rPr>
                <w:rFonts w:ascii="宋体" w:hAnsi="宋体"/>
                <w:b/>
                <w:szCs w:val="21"/>
              </w:rPr>
            </w:pPr>
            <w:r>
              <w:rPr>
                <w:rFonts w:hint="eastAsia" w:ascii="宋体" w:hAnsi="宋体"/>
                <w:b/>
                <w:szCs w:val="21"/>
              </w:rPr>
              <w:t>评审因素</w:t>
            </w:r>
          </w:p>
        </w:tc>
        <w:tc>
          <w:tcPr>
            <w:tcW w:w="519" w:type="pct"/>
            <w:vAlign w:val="center"/>
          </w:tcPr>
          <w:p>
            <w:pPr>
              <w:spacing w:line="276" w:lineRule="auto"/>
              <w:jc w:val="center"/>
              <w:rPr>
                <w:rFonts w:ascii="宋体" w:hAnsi="宋体"/>
                <w:szCs w:val="21"/>
              </w:rPr>
            </w:pPr>
            <w:r>
              <w:rPr>
                <w:rFonts w:hint="eastAsia" w:ascii="宋体" w:hAnsi="宋体"/>
                <w:b/>
                <w:szCs w:val="21"/>
              </w:rPr>
              <w:t>分值</w:t>
            </w:r>
          </w:p>
        </w:tc>
        <w:tc>
          <w:tcPr>
            <w:tcW w:w="3813" w:type="pct"/>
            <w:vAlign w:val="center"/>
          </w:tcPr>
          <w:p>
            <w:pPr>
              <w:spacing w:line="276" w:lineRule="auto"/>
              <w:jc w:val="center"/>
              <w:rPr>
                <w:rFonts w:ascii="宋体" w:hAnsi="宋体"/>
                <w:b/>
                <w:szCs w:val="21"/>
              </w:rPr>
            </w:pPr>
            <w:r>
              <w:rPr>
                <w:rFonts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8" w:type="pct"/>
            <w:vAlign w:val="center"/>
          </w:tcPr>
          <w:p>
            <w:pPr>
              <w:spacing w:line="276" w:lineRule="auto"/>
              <w:jc w:val="center"/>
              <w:rPr>
                <w:rFonts w:ascii="宋体" w:hAnsi="宋体"/>
                <w:szCs w:val="21"/>
              </w:rPr>
            </w:pPr>
            <w:r>
              <w:rPr>
                <w:rFonts w:hint="eastAsia" w:ascii="宋体" w:hAnsi="宋体"/>
                <w:szCs w:val="21"/>
              </w:rPr>
              <w:t>技术指标</w:t>
            </w:r>
          </w:p>
        </w:tc>
        <w:tc>
          <w:tcPr>
            <w:tcW w:w="519" w:type="pct"/>
            <w:vAlign w:val="center"/>
          </w:tcPr>
          <w:p>
            <w:pPr>
              <w:spacing w:line="276" w:lineRule="auto"/>
              <w:jc w:val="center"/>
              <w:rPr>
                <w:rFonts w:ascii="宋体" w:hAnsi="宋体"/>
                <w:szCs w:val="21"/>
              </w:rPr>
            </w:pPr>
            <w:r>
              <w:rPr>
                <w:rFonts w:hint="eastAsia" w:ascii="宋体" w:hAnsi="宋体"/>
                <w:szCs w:val="21"/>
              </w:rPr>
              <w:t>55分</w:t>
            </w:r>
          </w:p>
        </w:tc>
        <w:tc>
          <w:tcPr>
            <w:tcW w:w="3813" w:type="pct"/>
            <w:vAlign w:val="center"/>
          </w:tcPr>
          <w:p>
            <w:pPr>
              <w:widowControl/>
              <w:spacing w:line="276" w:lineRule="auto"/>
              <w:textAlignment w:val="center"/>
              <w:rPr>
                <w:rStyle w:val="301"/>
                <w:rFonts w:hint="default"/>
                <w:kern w:val="0"/>
              </w:rPr>
            </w:pPr>
            <w:r>
              <w:rPr>
                <w:rStyle w:val="301"/>
                <w:rFonts w:hint="default"/>
                <w:kern w:val="0"/>
              </w:rPr>
              <w:t>响应产品的技术指标应逐条完全满足比选文件中的技术要求，完全满足得</w:t>
            </w:r>
            <w:r>
              <w:rPr>
                <w:rStyle w:val="301"/>
                <w:kern w:val="0"/>
              </w:rPr>
              <w:t>55</w:t>
            </w:r>
            <w:r>
              <w:rPr>
                <w:rStyle w:val="301"/>
                <w:rFonts w:hint="default"/>
                <w:kern w:val="0"/>
              </w:rPr>
              <w:t xml:space="preserve">分； </w:t>
            </w:r>
          </w:p>
          <w:p>
            <w:pPr>
              <w:widowControl/>
              <w:spacing w:line="276" w:lineRule="auto"/>
              <w:textAlignment w:val="center"/>
              <w:rPr>
                <w:rStyle w:val="301"/>
                <w:rFonts w:hint="default"/>
                <w:kern w:val="0"/>
              </w:rPr>
            </w:pPr>
            <w:r>
              <w:rPr>
                <w:rStyle w:val="301"/>
                <w:kern w:val="0"/>
              </w:rPr>
              <w:t>#号指标每出现一项负偏离扣5分，无标注</w:t>
            </w:r>
            <w:r>
              <w:rPr>
                <w:rStyle w:val="301"/>
                <w:rFonts w:hint="default"/>
                <w:kern w:val="0"/>
              </w:rPr>
              <w:t>技术指标</w:t>
            </w:r>
            <w:r>
              <w:rPr>
                <w:rStyle w:val="301"/>
                <w:kern w:val="0"/>
              </w:rPr>
              <w:t>每</w:t>
            </w:r>
            <w:r>
              <w:rPr>
                <w:rStyle w:val="301"/>
                <w:rFonts w:hint="default"/>
                <w:kern w:val="0"/>
              </w:rPr>
              <w:t>出现</w:t>
            </w:r>
            <w:r>
              <w:rPr>
                <w:rStyle w:val="301"/>
                <w:kern w:val="0"/>
              </w:rPr>
              <w:t>一项</w:t>
            </w:r>
            <w:r>
              <w:rPr>
                <w:rStyle w:val="301"/>
                <w:rFonts w:hint="default"/>
                <w:kern w:val="0"/>
              </w:rPr>
              <w:t>负偏离扣</w:t>
            </w:r>
            <w:r>
              <w:rPr>
                <w:rStyle w:val="301"/>
                <w:kern w:val="0"/>
              </w:rPr>
              <w:t>2</w:t>
            </w:r>
            <w:r>
              <w:rPr>
                <w:rStyle w:val="301"/>
                <w:rFonts w:hint="default"/>
                <w:kern w:val="0"/>
              </w:rPr>
              <w:t>分，扣完为止。</w:t>
            </w:r>
          </w:p>
          <w:p>
            <w:pPr>
              <w:widowControl/>
              <w:spacing w:line="276" w:lineRule="auto"/>
              <w:textAlignment w:val="center"/>
              <w:rPr>
                <w:rStyle w:val="301"/>
                <w:rFonts w:hint="default"/>
                <w:kern w:val="0"/>
              </w:rPr>
            </w:pPr>
            <w:r>
              <w:rPr>
                <w:rStyle w:val="301"/>
                <w:rFonts w:hint="default"/>
                <w:kern w:val="0"/>
              </w:rPr>
              <w:t>注：缺漏项按照负偏离处理。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68" w:type="pct"/>
            <w:vAlign w:val="center"/>
          </w:tcPr>
          <w:p>
            <w:pPr>
              <w:spacing w:line="276" w:lineRule="auto"/>
              <w:jc w:val="center"/>
              <w:rPr>
                <w:rFonts w:ascii="宋体" w:hAnsi="宋体"/>
                <w:szCs w:val="21"/>
              </w:rPr>
            </w:pPr>
            <w:r>
              <w:rPr>
                <w:rFonts w:hint="eastAsia" w:ascii="宋体" w:hAnsi="宋体"/>
                <w:szCs w:val="21"/>
              </w:rPr>
              <w:t>售后服务</w:t>
            </w:r>
          </w:p>
        </w:tc>
        <w:tc>
          <w:tcPr>
            <w:tcW w:w="519" w:type="pct"/>
            <w:vAlign w:val="center"/>
          </w:tcPr>
          <w:p>
            <w:pPr>
              <w:spacing w:line="276" w:lineRule="auto"/>
              <w:jc w:val="center"/>
              <w:rPr>
                <w:rFonts w:ascii="宋体" w:hAnsi="宋体"/>
                <w:szCs w:val="21"/>
              </w:rPr>
            </w:pPr>
            <w:r>
              <w:rPr>
                <w:rFonts w:hint="eastAsia" w:ascii="宋体" w:hAnsi="宋体"/>
                <w:szCs w:val="21"/>
              </w:rPr>
              <w:t>15分</w:t>
            </w:r>
          </w:p>
        </w:tc>
        <w:tc>
          <w:tcPr>
            <w:tcW w:w="3813" w:type="pct"/>
            <w:vAlign w:val="center"/>
          </w:tcPr>
          <w:p>
            <w:pPr>
              <w:widowControl/>
              <w:numPr>
                <w:ilvl w:val="0"/>
                <w:numId w:val="11"/>
              </w:numPr>
              <w:spacing w:line="276" w:lineRule="auto"/>
              <w:textAlignment w:val="center"/>
            </w:pPr>
            <w:r>
              <w:rPr>
                <w:rFonts w:hint="eastAsia"/>
              </w:rPr>
              <w:t>原厂售后服务承诺函（</w:t>
            </w:r>
            <w:r>
              <w:t>5</w:t>
            </w:r>
            <w:r>
              <w:rPr>
                <w:rFonts w:hint="eastAsia"/>
              </w:rPr>
              <w:t>分）</w:t>
            </w:r>
          </w:p>
          <w:p>
            <w:pPr>
              <w:widowControl/>
              <w:spacing w:line="276" w:lineRule="auto"/>
              <w:textAlignment w:val="center"/>
            </w:pPr>
            <w:r>
              <w:rPr>
                <w:rFonts w:hint="eastAsia"/>
              </w:rPr>
              <w:t>原厂售后服务承诺函中承诺质保期满足比选文件要求，得</w:t>
            </w:r>
            <w:r>
              <w:t>5</w:t>
            </w:r>
            <w:r>
              <w:rPr>
                <w:rFonts w:hint="eastAsia"/>
              </w:rPr>
              <w:t>分。每少</w:t>
            </w:r>
            <w:r>
              <w:t>1</w:t>
            </w:r>
            <w:r>
              <w:rPr>
                <w:rFonts w:hint="eastAsia"/>
              </w:rPr>
              <w:t>年减2.5分，最低至0分。</w:t>
            </w:r>
          </w:p>
          <w:p>
            <w:pPr>
              <w:widowControl/>
              <w:spacing w:line="276" w:lineRule="auto"/>
              <w:textAlignment w:val="center"/>
            </w:pPr>
            <w:r>
              <w:t>二、售后服务方案（10分）</w:t>
            </w:r>
          </w:p>
          <w:p>
            <w:pPr>
              <w:widowControl/>
              <w:spacing w:line="276" w:lineRule="auto"/>
              <w:textAlignment w:val="center"/>
            </w:pPr>
            <w:r>
              <w:t>1、售后服务方案明确合理，完全满足</w:t>
            </w:r>
            <w:r>
              <w:rPr>
                <w:rFonts w:hint="eastAsia"/>
              </w:rPr>
              <w:t>比选</w:t>
            </w:r>
            <w:r>
              <w:t>文件售后服务要求，得10分；</w:t>
            </w:r>
          </w:p>
          <w:p>
            <w:pPr>
              <w:pStyle w:val="2"/>
              <w:ind w:left="0" w:leftChars="0" w:firstLine="0" w:firstLineChars="0"/>
            </w:pPr>
            <w:r>
              <w:rPr>
                <w:rFonts w:hint="eastAsia"/>
              </w:rPr>
              <w:t>2、售后服务方案较明确内容较合理，满足比选文件售后服务要求，得7分；</w:t>
            </w:r>
          </w:p>
          <w:p>
            <w:pPr>
              <w:widowControl/>
              <w:spacing w:line="276" w:lineRule="auto"/>
              <w:textAlignment w:val="center"/>
            </w:pPr>
            <w:r>
              <w:rPr>
                <w:rFonts w:hint="eastAsia"/>
              </w:rPr>
              <w:t>3</w:t>
            </w:r>
            <w:r>
              <w:t>、售后服务方案</w:t>
            </w:r>
            <w:r>
              <w:rPr>
                <w:rFonts w:hint="eastAsia"/>
              </w:rPr>
              <w:t>内容</w:t>
            </w:r>
            <w:r>
              <w:t>一般，基本满足</w:t>
            </w:r>
            <w:r>
              <w:rPr>
                <w:rFonts w:hint="eastAsia"/>
              </w:rPr>
              <w:t>比选</w:t>
            </w:r>
            <w:r>
              <w:t>文件要求，得</w:t>
            </w:r>
            <w:r>
              <w:rPr>
                <w:rFonts w:hint="eastAsia"/>
              </w:rPr>
              <w:t>4</w:t>
            </w:r>
            <w:r>
              <w:t>分；</w:t>
            </w:r>
          </w:p>
          <w:p>
            <w:pPr>
              <w:widowControl/>
              <w:spacing w:line="276" w:lineRule="auto"/>
              <w:textAlignment w:val="center"/>
            </w:pPr>
            <w:r>
              <w:rPr>
                <w:rFonts w:hint="eastAsia"/>
              </w:rPr>
              <w:t>4</w:t>
            </w:r>
            <w:r>
              <w:t>、售后服务方案差，部分满足</w:t>
            </w:r>
            <w:r>
              <w:rPr>
                <w:rFonts w:hint="eastAsia"/>
              </w:rPr>
              <w:t>比选</w:t>
            </w:r>
            <w:r>
              <w:t>文件售后服务要求，得</w:t>
            </w:r>
            <w:r>
              <w:rPr>
                <w:rFonts w:hint="eastAsia"/>
              </w:rPr>
              <w:t>1</w:t>
            </w:r>
            <w:r>
              <w:t>分；</w:t>
            </w:r>
          </w:p>
          <w:p>
            <w:pPr>
              <w:pStyle w:val="2"/>
              <w:ind w:left="0" w:leftChars="0" w:firstLine="0" w:firstLineChars="0"/>
            </w:pPr>
            <w:r>
              <w:rPr>
                <w:rFonts w:hint="eastAsia"/>
              </w:rPr>
              <w:t>5、未提供得0分。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68" w:type="pct"/>
            <w:vAlign w:val="center"/>
          </w:tcPr>
          <w:p>
            <w:pPr>
              <w:spacing w:line="276" w:lineRule="auto"/>
              <w:jc w:val="center"/>
              <w:rPr>
                <w:rFonts w:ascii="宋体" w:hAnsi="宋体"/>
                <w:szCs w:val="21"/>
              </w:rPr>
            </w:pPr>
            <w:r>
              <w:rPr>
                <w:rFonts w:hint="eastAsia" w:ascii="宋体" w:hAnsi="宋体"/>
                <w:szCs w:val="21"/>
              </w:rPr>
              <w:t>供货及实施方案</w:t>
            </w:r>
          </w:p>
        </w:tc>
        <w:tc>
          <w:tcPr>
            <w:tcW w:w="519" w:type="pct"/>
            <w:vAlign w:val="center"/>
          </w:tcPr>
          <w:p>
            <w:pPr>
              <w:spacing w:line="276" w:lineRule="auto"/>
              <w:jc w:val="center"/>
              <w:rPr>
                <w:rFonts w:ascii="宋体" w:hAnsi="宋体"/>
                <w:szCs w:val="21"/>
              </w:rPr>
            </w:pPr>
            <w:r>
              <w:rPr>
                <w:rFonts w:ascii="宋体" w:hAnsi="宋体"/>
                <w:szCs w:val="21"/>
              </w:rPr>
              <w:t>20</w:t>
            </w:r>
            <w:r>
              <w:rPr>
                <w:rFonts w:hint="eastAsia" w:ascii="宋体" w:hAnsi="宋体"/>
                <w:szCs w:val="21"/>
              </w:rPr>
              <w:t>分</w:t>
            </w:r>
          </w:p>
        </w:tc>
        <w:tc>
          <w:tcPr>
            <w:tcW w:w="3813" w:type="pct"/>
            <w:vAlign w:val="center"/>
          </w:tcPr>
          <w:p>
            <w:pPr>
              <w:widowControl/>
              <w:spacing w:line="276" w:lineRule="auto"/>
              <w:textAlignment w:val="center"/>
            </w:pPr>
            <w:r>
              <w:rPr>
                <w:rFonts w:hint="eastAsia"/>
              </w:rPr>
              <w:t>1、全面性：内容全面、标准细化10分；内容较全面、标准较细化7分；内容基本全面、标准未充分细化4分；内容不全得1分；未提供得0分；</w:t>
            </w:r>
          </w:p>
          <w:p>
            <w:pPr>
              <w:widowControl/>
              <w:spacing w:line="276" w:lineRule="auto"/>
              <w:textAlignment w:val="center"/>
              <w:rPr>
                <w:rStyle w:val="301"/>
                <w:rFonts w:hint="default"/>
                <w:kern w:val="0"/>
              </w:rPr>
            </w:pPr>
            <w:r>
              <w:rPr>
                <w:rFonts w:hint="eastAsia"/>
              </w:rPr>
              <w:t>2、针对性：措施针对性强，充分为用户考虑，完全符合项目需要10分；措施针对性较强，较符合项目需要7分；措施针对性一般，基本符合项目需要4分；措施针对性不足，无法保障项目需要1分；无针对性得0分。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68" w:type="pct"/>
            <w:vAlign w:val="center"/>
          </w:tcPr>
          <w:p>
            <w:pPr>
              <w:spacing w:line="276" w:lineRule="auto"/>
              <w:jc w:val="center"/>
              <w:rPr>
                <w:rFonts w:ascii="宋体" w:hAnsi="宋体"/>
                <w:szCs w:val="21"/>
              </w:rPr>
            </w:pPr>
            <w:r>
              <w:rPr>
                <w:rFonts w:hint="eastAsia" w:ascii="宋体" w:hAnsi="宋体"/>
                <w:szCs w:val="21"/>
              </w:rPr>
              <w:t>同类业绩</w:t>
            </w:r>
          </w:p>
        </w:tc>
        <w:tc>
          <w:tcPr>
            <w:tcW w:w="519" w:type="pct"/>
            <w:vAlign w:val="center"/>
          </w:tcPr>
          <w:p>
            <w:pPr>
              <w:spacing w:line="276" w:lineRule="auto"/>
              <w:jc w:val="center"/>
              <w:rPr>
                <w:rFonts w:ascii="宋体" w:hAnsi="宋体"/>
                <w:szCs w:val="21"/>
              </w:rPr>
            </w:pPr>
            <w:r>
              <w:rPr>
                <w:rFonts w:hint="eastAsia" w:ascii="宋体" w:hAnsi="宋体"/>
                <w:szCs w:val="21"/>
              </w:rPr>
              <w:t>10分</w:t>
            </w:r>
          </w:p>
        </w:tc>
        <w:tc>
          <w:tcPr>
            <w:tcW w:w="3813" w:type="pct"/>
            <w:vAlign w:val="center"/>
          </w:tcPr>
          <w:p>
            <w:pPr>
              <w:spacing w:line="276" w:lineRule="auto"/>
              <w:rPr>
                <w:rFonts w:ascii="宋体" w:hAnsi="宋体"/>
                <w:szCs w:val="21"/>
              </w:rPr>
            </w:pPr>
            <w:r>
              <w:rPr>
                <w:rFonts w:hint="eastAsia" w:ascii="宋体" w:hAnsi="宋体"/>
                <w:szCs w:val="21"/>
              </w:rPr>
              <w:t>供应商提供近三年内（201</w:t>
            </w:r>
            <w:r>
              <w:rPr>
                <w:rFonts w:ascii="宋体" w:hAnsi="宋体"/>
                <w:szCs w:val="21"/>
              </w:rPr>
              <w:t>9</w:t>
            </w:r>
            <w:r>
              <w:rPr>
                <w:rFonts w:hint="eastAsia" w:ascii="宋体" w:hAnsi="宋体"/>
                <w:szCs w:val="21"/>
              </w:rPr>
              <w:t>年</w:t>
            </w:r>
            <w:r>
              <w:rPr>
                <w:rFonts w:ascii="宋体" w:hAnsi="宋体"/>
                <w:szCs w:val="21"/>
              </w:rPr>
              <w:t>1</w:t>
            </w:r>
            <w:r>
              <w:rPr>
                <w:rFonts w:hint="eastAsia" w:ascii="宋体" w:hAnsi="宋体"/>
                <w:szCs w:val="21"/>
              </w:rPr>
              <w:t>月至今，以合同签订日期为准）分包同种产品的供货业绩，提供相关合同页复印件，每提供一个合同得2分，最多10分。</w:t>
            </w:r>
          </w:p>
          <w:p>
            <w:pPr>
              <w:spacing w:line="276" w:lineRule="auto"/>
              <w:rPr>
                <w:rFonts w:ascii="宋体" w:hAnsi="宋体"/>
                <w:szCs w:val="21"/>
              </w:rPr>
            </w:pPr>
            <w:r>
              <w:rPr>
                <w:rFonts w:hint="eastAsia" w:ascii="宋体" w:hAnsi="宋体"/>
                <w:szCs w:val="21"/>
              </w:rPr>
              <w:t>注：提供合同关键页（至少包含内容页、金额页及双方签字盖章页）复印件并加盖供应商公章。</w:t>
            </w:r>
          </w:p>
        </w:tc>
      </w:tr>
    </w:tbl>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26102"/>
      <w:bookmarkStart w:id="664" w:name="_Toc7625"/>
      <w:bookmarkStart w:id="759" w:name="_GoBack"/>
      <w:bookmarkEnd w:id="759"/>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5"/>
        <w:rPr>
          <w:rFonts w:ascii="宋体" w:hAnsi="宋体" w:eastAsia="宋体"/>
          <w:sz w:val="28"/>
        </w:rPr>
      </w:pPr>
      <w:r>
        <w:rPr>
          <w:rFonts w:hint="eastAsia" w:ascii="宋体" w:hAnsi="宋体" w:eastAsia="宋体"/>
          <w:sz w:val="28"/>
        </w:rPr>
        <w:t>第一部分：项目一览表</w:t>
      </w:r>
    </w:p>
    <w:tbl>
      <w:tblPr>
        <w:tblStyle w:val="39"/>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985"/>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标的名称</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850"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Merge w:val="restart"/>
            <w:vAlign w:val="center"/>
          </w:tcPr>
          <w:p>
            <w:pPr>
              <w:widowControl/>
              <w:jc w:val="center"/>
              <w:rPr>
                <w:rFonts w:ascii="宋体" w:hAnsi="宋体"/>
                <w:szCs w:val="21"/>
              </w:rPr>
            </w:pPr>
            <w:r>
              <w:rPr>
                <w:rFonts w:hint="eastAsia" w:ascii="宋体" w:hAnsi="宋体"/>
                <w:szCs w:val="21"/>
              </w:rPr>
              <w:t>1392255181公共教室设备设施升级改造</w:t>
            </w:r>
          </w:p>
        </w:tc>
        <w:tc>
          <w:tcPr>
            <w:tcW w:w="709" w:type="dxa"/>
            <w:vMerge w:val="restart"/>
            <w:vAlign w:val="center"/>
          </w:tcPr>
          <w:p>
            <w:pPr>
              <w:jc w:val="center"/>
              <w:rPr>
                <w:rFonts w:ascii="宋体" w:hAnsi="宋体" w:cs="Yu Mincho Light"/>
                <w:kern w:val="0"/>
                <w:szCs w:val="21"/>
              </w:rPr>
            </w:pPr>
            <w:r>
              <w:rPr>
                <w:bCs/>
                <w:szCs w:val="21"/>
              </w:rPr>
              <w:t>01</w:t>
            </w:r>
          </w:p>
        </w:tc>
        <w:tc>
          <w:tcPr>
            <w:tcW w:w="2126" w:type="dxa"/>
            <w:vAlign w:val="center"/>
          </w:tcPr>
          <w:p>
            <w:pPr>
              <w:widowControl/>
              <w:jc w:val="center"/>
              <w:rPr>
                <w:rFonts w:ascii="宋体" w:hAnsi="宋体"/>
                <w:szCs w:val="21"/>
              </w:rPr>
            </w:pPr>
            <w:r>
              <w:rPr>
                <w:rFonts w:hint="eastAsia" w:ascii="宋体" w:hAnsi="宋体"/>
                <w:szCs w:val="21"/>
              </w:rPr>
              <w:t>投影机1</w:t>
            </w:r>
          </w:p>
        </w:tc>
        <w:tc>
          <w:tcPr>
            <w:tcW w:w="1985" w:type="dxa"/>
            <w:vMerge w:val="restart"/>
            <w:vAlign w:val="center"/>
          </w:tcPr>
          <w:p>
            <w:pPr>
              <w:jc w:val="center"/>
              <w:rPr>
                <w:rFonts w:ascii="宋体" w:hAnsi="宋体" w:cs="Yu Mincho Light"/>
                <w:kern w:val="0"/>
                <w:szCs w:val="21"/>
              </w:rPr>
            </w:pPr>
            <w:r>
              <w:rPr>
                <w:rFonts w:hint="eastAsia" w:ascii="宋体" w:hAnsi="宋体" w:cs="Yu Mincho Light"/>
                <w:kern w:val="0"/>
                <w:szCs w:val="21"/>
              </w:rPr>
              <w:t>123.78</w:t>
            </w:r>
          </w:p>
        </w:tc>
        <w:tc>
          <w:tcPr>
            <w:tcW w:w="850" w:type="dxa"/>
            <w:vAlign w:val="center"/>
          </w:tcPr>
          <w:p>
            <w:pPr>
              <w:jc w:val="center"/>
              <w:rPr>
                <w:bCs/>
                <w:szCs w:val="21"/>
              </w:rPr>
            </w:pPr>
            <w:r>
              <w:rPr>
                <w:rFonts w:hint="eastAsia" w:ascii="仿宋" w:hAnsi="仿宋" w:eastAsia="仿宋"/>
              </w:rPr>
              <w:t>6</w:t>
            </w:r>
          </w:p>
        </w:tc>
        <w:tc>
          <w:tcPr>
            <w:tcW w:w="1985" w:type="dxa"/>
            <w:vMerge w:val="restart"/>
            <w:vAlign w:val="center"/>
          </w:tcPr>
          <w:p>
            <w:pPr>
              <w:widowControl/>
              <w:jc w:val="center"/>
              <w:rPr>
                <w:bCs/>
                <w:szCs w:val="21"/>
              </w:rPr>
            </w:pPr>
            <w:r>
              <w:rPr>
                <w:rFonts w:hint="eastAsia"/>
                <w:bCs/>
                <w:szCs w:val="21"/>
              </w:rPr>
              <w:t>合同签</w:t>
            </w:r>
            <w:r>
              <w:rPr>
                <w:rFonts w:hint="eastAsia"/>
                <w:bCs/>
                <w:szCs w:val="21"/>
                <w:highlight w:val="none"/>
              </w:rPr>
              <w:t>订后1个月内完成供货</w:t>
            </w:r>
          </w:p>
          <w:p>
            <w:pPr>
              <w:widowControl/>
              <w:jc w:val="center"/>
              <w:rPr>
                <w:rFonts w:ascii="宋体" w:hAnsi="宋体" w:cs="Yu Mincho Light"/>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Merge w:val="continue"/>
            <w:vAlign w:val="center"/>
          </w:tcPr>
          <w:p>
            <w:pPr>
              <w:jc w:val="center"/>
            </w:pPr>
          </w:p>
        </w:tc>
        <w:tc>
          <w:tcPr>
            <w:tcW w:w="709" w:type="dxa"/>
            <w:vMerge w:val="continue"/>
            <w:vAlign w:val="center"/>
          </w:tcPr>
          <w:p>
            <w:pPr>
              <w:jc w:val="center"/>
            </w:pPr>
          </w:p>
        </w:tc>
        <w:tc>
          <w:tcPr>
            <w:tcW w:w="2126" w:type="dxa"/>
            <w:vAlign w:val="center"/>
          </w:tcPr>
          <w:p>
            <w:pPr>
              <w:widowControl/>
              <w:jc w:val="center"/>
              <w:rPr>
                <w:rFonts w:ascii="宋体" w:hAnsi="宋体"/>
                <w:szCs w:val="21"/>
              </w:rPr>
            </w:pPr>
            <w:r>
              <w:rPr>
                <w:rFonts w:hint="eastAsia" w:ascii="宋体" w:hAnsi="宋体"/>
                <w:szCs w:val="21"/>
              </w:rPr>
              <w:t>投影机2</w:t>
            </w:r>
          </w:p>
        </w:tc>
        <w:tc>
          <w:tcPr>
            <w:tcW w:w="1985"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仿宋" w:hAnsi="仿宋" w:eastAsia="仿宋"/>
              </w:rPr>
              <w:t>50</w:t>
            </w:r>
          </w:p>
        </w:tc>
        <w:tc>
          <w:tcPr>
            <w:tcW w:w="1985"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2126" w:type="dxa"/>
            <w:vAlign w:val="center"/>
          </w:tcPr>
          <w:p>
            <w:pPr>
              <w:widowControl/>
              <w:jc w:val="center"/>
              <w:rPr>
                <w:rFonts w:ascii="宋体" w:hAnsi="宋体"/>
                <w:szCs w:val="21"/>
              </w:rPr>
            </w:pPr>
            <w:r>
              <w:rPr>
                <w:rFonts w:hint="eastAsia" w:ascii="宋体" w:hAnsi="宋体"/>
                <w:szCs w:val="21"/>
              </w:rPr>
              <w:t>计算机</w:t>
            </w:r>
          </w:p>
        </w:tc>
        <w:tc>
          <w:tcPr>
            <w:tcW w:w="1985"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仿宋" w:hAnsi="仿宋" w:eastAsia="仿宋"/>
              </w:rPr>
              <w:t>20</w:t>
            </w:r>
          </w:p>
        </w:tc>
        <w:tc>
          <w:tcPr>
            <w:tcW w:w="1985"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2126" w:type="dxa"/>
            <w:vAlign w:val="center"/>
          </w:tcPr>
          <w:p>
            <w:pPr>
              <w:widowControl/>
              <w:jc w:val="center"/>
              <w:rPr>
                <w:rFonts w:ascii="宋体" w:hAnsi="宋体"/>
                <w:szCs w:val="21"/>
              </w:rPr>
            </w:pPr>
            <w:r>
              <w:rPr>
                <w:rFonts w:hint="eastAsia" w:ascii="宋体" w:hAnsi="宋体"/>
                <w:szCs w:val="21"/>
              </w:rPr>
              <w:t>固态硬盘</w:t>
            </w:r>
          </w:p>
        </w:tc>
        <w:tc>
          <w:tcPr>
            <w:tcW w:w="1985"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仿宋" w:hAnsi="仿宋" w:eastAsia="仿宋"/>
              </w:rPr>
              <w:t>20</w:t>
            </w:r>
          </w:p>
        </w:tc>
        <w:tc>
          <w:tcPr>
            <w:tcW w:w="1985"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2126" w:type="dxa"/>
            <w:vAlign w:val="center"/>
          </w:tcPr>
          <w:p>
            <w:pPr>
              <w:widowControl/>
              <w:jc w:val="center"/>
              <w:rPr>
                <w:rFonts w:ascii="宋体" w:hAnsi="宋体"/>
                <w:szCs w:val="21"/>
              </w:rPr>
            </w:pPr>
            <w:r>
              <w:rPr>
                <w:rFonts w:hint="eastAsia" w:ascii="宋体" w:hAnsi="宋体"/>
                <w:szCs w:val="21"/>
              </w:rPr>
              <w:t>触控一体机</w:t>
            </w:r>
          </w:p>
        </w:tc>
        <w:tc>
          <w:tcPr>
            <w:tcW w:w="1985"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仿宋" w:hAnsi="仿宋" w:eastAsia="仿宋"/>
              </w:rPr>
              <w:t>6</w:t>
            </w:r>
          </w:p>
        </w:tc>
        <w:tc>
          <w:tcPr>
            <w:tcW w:w="1985"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项目总预算：123.78万元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2"/>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5"/>
        <w:rPr>
          <w:rFonts w:ascii="宋体" w:hAnsi="宋体" w:eastAsia="宋体"/>
        </w:rPr>
      </w:pPr>
      <w:r>
        <w:rPr>
          <w:rFonts w:hint="eastAsia" w:ascii="宋体" w:hAnsi="宋体" w:eastAsia="宋体"/>
        </w:rPr>
        <w:t>第二部分：技术规格</w:t>
      </w:r>
    </w:p>
    <w:p>
      <w:pPr>
        <w:pStyle w:val="6"/>
        <w:ind w:firstLine="0"/>
        <w:jc w:val="center"/>
        <w:rPr>
          <w:rFonts w:hAnsi="宋体"/>
          <w:b/>
          <w:kern w:val="0"/>
          <w:sz w:val="28"/>
          <w:szCs w:val="28"/>
        </w:rPr>
      </w:pPr>
      <w:r>
        <w:rPr>
          <w:rFonts w:hint="eastAsia" w:hAnsi="宋体"/>
          <w:b/>
          <w:kern w:val="0"/>
          <w:sz w:val="28"/>
          <w:szCs w:val="28"/>
        </w:rPr>
        <w:t>01包 公共教室设备设施升级改造</w:t>
      </w:r>
    </w:p>
    <w:p>
      <w:pPr>
        <w:pStyle w:val="6"/>
        <w:ind w:firstLine="0"/>
        <w:rPr>
          <w:b/>
        </w:rPr>
      </w:pPr>
      <w:r>
        <w:rPr>
          <w:rFonts w:hint="eastAsia"/>
          <w:b/>
        </w:rPr>
        <w:t>一、技术规格</w:t>
      </w:r>
    </w:p>
    <w:tbl>
      <w:tblPr>
        <w:tblStyle w:val="253"/>
        <w:tblW w:w="93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4"/>
        <w:gridCol w:w="563"/>
        <w:gridCol w:w="274"/>
        <w:gridCol w:w="428"/>
        <w:gridCol w:w="7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0" w:type="auto"/>
            <w:tcBorders>
              <w:top w:val="single" w:color="000000" w:sz="2" w:space="0"/>
              <w:left w:val="single" w:color="000000" w:sz="2" w:space="0"/>
              <w:bottom w:val="single" w:color="000000" w:sz="2" w:space="0"/>
              <w:right w:val="single" w:color="000000" w:sz="2" w:space="0"/>
            </w:tcBorders>
            <w:vAlign w:val="center"/>
          </w:tcPr>
          <w:p>
            <w:pPr>
              <w:pStyle w:val="302"/>
              <w:widowControl w:val="0"/>
              <w:autoSpaceDE w:val="0"/>
              <w:autoSpaceDN w:val="0"/>
              <w:jc w:val="center"/>
              <w:rPr>
                <w:rFonts w:ascii="宋体" w:hAnsi="宋体" w:eastAsia="宋体" w:cs="宋体"/>
                <w:sz w:val="22"/>
                <w:szCs w:val="22"/>
                <w:lang w:eastAsia="en-US"/>
              </w:rPr>
            </w:pPr>
            <w:r>
              <w:rPr>
                <w:rFonts w:hint="eastAsia" w:ascii="宋体" w:hAnsi="宋体" w:eastAsia="宋体" w:cs="宋体"/>
                <w:sz w:val="22"/>
                <w:szCs w:val="22"/>
                <w:lang w:eastAsia="en-US"/>
              </w:rPr>
              <w:t>序号</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302"/>
              <w:widowControl w:val="0"/>
              <w:autoSpaceDE w:val="0"/>
              <w:autoSpaceDN w:val="0"/>
              <w:jc w:val="center"/>
              <w:rPr>
                <w:rFonts w:ascii="宋体" w:hAnsi="宋体" w:eastAsia="宋体" w:cs="宋体"/>
                <w:sz w:val="22"/>
                <w:szCs w:val="22"/>
                <w:lang w:eastAsia="en-US"/>
              </w:rPr>
            </w:pPr>
            <w:r>
              <w:rPr>
                <w:rFonts w:hint="eastAsia" w:ascii="宋体" w:hAnsi="宋体" w:eastAsia="宋体" w:cs="宋体"/>
                <w:sz w:val="22"/>
                <w:szCs w:val="22"/>
                <w:lang w:eastAsia="en-US"/>
              </w:rPr>
              <w:t>采购内容</w:t>
            </w:r>
          </w:p>
        </w:tc>
        <w:tc>
          <w:tcPr>
            <w:tcW w:w="0" w:type="auto"/>
            <w:tcBorders>
              <w:top w:val="single" w:color="000000" w:sz="2" w:space="0"/>
              <w:left w:val="single" w:color="000000" w:sz="2" w:space="0"/>
              <w:bottom w:val="single" w:color="000000" w:sz="2" w:space="0"/>
              <w:right w:val="single" w:color="000000" w:sz="2" w:space="0"/>
            </w:tcBorders>
            <w:vAlign w:val="center"/>
          </w:tcPr>
          <w:p>
            <w:pPr>
              <w:pStyle w:val="302"/>
              <w:widowControl w:val="0"/>
              <w:autoSpaceDE w:val="0"/>
              <w:autoSpaceDN w:val="0"/>
              <w:jc w:val="center"/>
              <w:rPr>
                <w:rFonts w:ascii="宋体" w:hAnsi="宋体" w:eastAsia="宋体" w:cs="宋体"/>
                <w:sz w:val="22"/>
                <w:szCs w:val="22"/>
                <w:lang w:eastAsia="en-US"/>
              </w:rPr>
            </w:pPr>
            <w:r>
              <w:rPr>
                <w:rFonts w:hint="eastAsia" w:ascii="宋体" w:hAnsi="宋体" w:eastAsia="宋体" w:cs="宋体"/>
                <w:sz w:val="22"/>
                <w:szCs w:val="22"/>
                <w:lang w:eastAsia="en-US"/>
              </w:rPr>
              <w:t>单位</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302"/>
              <w:widowControl w:val="0"/>
              <w:autoSpaceDE w:val="0"/>
              <w:autoSpaceDN w:val="0"/>
              <w:jc w:val="center"/>
              <w:rPr>
                <w:rFonts w:ascii="宋体" w:hAnsi="宋体" w:eastAsia="宋体" w:cs="宋体"/>
                <w:sz w:val="22"/>
                <w:szCs w:val="22"/>
                <w:lang w:eastAsia="en-US"/>
              </w:rPr>
            </w:pPr>
            <w:r>
              <w:rPr>
                <w:rFonts w:hint="eastAsia" w:ascii="宋体" w:hAnsi="宋体" w:eastAsia="宋体" w:cs="宋体"/>
                <w:sz w:val="22"/>
                <w:szCs w:val="22"/>
                <w:lang w:eastAsia="en-US"/>
              </w:rPr>
              <w:t>数量</w:t>
            </w:r>
          </w:p>
        </w:tc>
        <w:tc>
          <w:tcPr>
            <w:tcW w:w="7830" w:type="dxa"/>
            <w:tcBorders>
              <w:top w:val="single" w:color="000000" w:sz="2" w:space="0"/>
              <w:left w:val="single" w:color="000000" w:sz="2" w:space="0"/>
              <w:bottom w:val="single" w:color="000000" w:sz="2" w:space="0"/>
              <w:right w:val="single" w:color="000000" w:sz="2" w:space="0"/>
            </w:tcBorders>
            <w:vAlign w:val="center"/>
          </w:tcPr>
          <w:p>
            <w:pPr>
              <w:pStyle w:val="302"/>
              <w:widowControl w:val="0"/>
              <w:autoSpaceDE w:val="0"/>
              <w:autoSpaceDN w:val="0"/>
              <w:jc w:val="center"/>
              <w:rPr>
                <w:rFonts w:ascii="宋体" w:hAnsi="宋体" w:eastAsia="宋体" w:cs="宋体"/>
                <w:sz w:val="22"/>
                <w:szCs w:val="22"/>
                <w:lang w:eastAsia="en-US"/>
              </w:rPr>
            </w:pPr>
            <w:r>
              <w:rPr>
                <w:rFonts w:hint="eastAsia" w:ascii="宋体" w:hAnsi="宋体" w:eastAsia="宋体" w:cs="宋体"/>
                <w:sz w:val="22"/>
                <w:szCs w:val="22"/>
                <w:lang w:eastAsia="en-US"/>
              </w:rPr>
              <w:t>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1</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投影机1</w:t>
            </w:r>
          </w:p>
        </w:tc>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台</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6</w:t>
            </w:r>
          </w:p>
        </w:tc>
        <w:tc>
          <w:tcPr>
            <w:tcW w:w="7830" w:type="dxa"/>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rPr>
                <w:rFonts w:ascii="宋体" w:hAnsi="宋体" w:cs="宋体"/>
                <w:lang w:eastAsia="en-US"/>
              </w:rPr>
            </w:pPr>
            <w:r>
              <w:rPr>
                <w:rFonts w:hint="eastAsia" w:ascii="宋体" w:hAnsi="宋体" w:cs="宋体"/>
                <w:lang w:eastAsia="en-US"/>
              </w:rPr>
              <w:t>1.激光光源，≥20000小时光源寿命</w:t>
            </w:r>
          </w:p>
          <w:p>
            <w:pPr>
              <w:autoSpaceDE w:val="0"/>
              <w:autoSpaceDN w:val="0"/>
              <w:rPr>
                <w:rFonts w:ascii="宋体" w:hAnsi="宋体" w:cs="宋体"/>
                <w:lang w:eastAsia="en-US"/>
              </w:rPr>
            </w:pPr>
            <w:r>
              <w:rPr>
                <w:rFonts w:hint="eastAsia" w:ascii="宋体" w:hAnsi="宋体" w:cs="宋体"/>
                <w:lang w:eastAsia="en-US"/>
              </w:rPr>
              <w:t>2.3LCD投影技术</w:t>
            </w:r>
          </w:p>
          <w:p>
            <w:pPr>
              <w:autoSpaceDE w:val="0"/>
              <w:autoSpaceDN w:val="0"/>
              <w:rPr>
                <w:rFonts w:ascii="宋体" w:hAnsi="宋体" w:cs="宋体"/>
                <w:lang w:eastAsia="en-US"/>
              </w:rPr>
            </w:pPr>
            <w:r>
              <w:rPr>
                <w:rFonts w:ascii="宋体" w:hAnsi="宋体" w:cs="宋体"/>
                <w:lang w:eastAsia="en-US"/>
              </w:rPr>
              <w:t>#</w:t>
            </w:r>
            <w:r>
              <w:rPr>
                <w:rFonts w:hint="eastAsia" w:ascii="宋体" w:hAnsi="宋体" w:cs="宋体"/>
                <w:lang w:eastAsia="en-US"/>
              </w:rPr>
              <w:t>3.液晶面板尺寸 ≥  0.67英寸含微透镜</w:t>
            </w:r>
          </w:p>
          <w:p>
            <w:pPr>
              <w:autoSpaceDE w:val="0"/>
              <w:autoSpaceDN w:val="0"/>
              <w:rPr>
                <w:rFonts w:ascii="宋体" w:hAnsi="宋体" w:cs="宋体"/>
                <w:lang w:eastAsia="en-US"/>
              </w:rPr>
            </w:pPr>
            <w:r>
              <w:rPr>
                <w:rFonts w:hint="eastAsia" w:ascii="宋体" w:hAnsi="宋体" w:cs="宋体"/>
                <w:lang w:eastAsia="en-US"/>
              </w:rPr>
              <w:t>4.亮度≥6200流明（符合ISO21118标准）， 分辨率：WUXGA（1920*1200），对比度≥2500000:1（符合ISO21118标准）</w:t>
            </w:r>
          </w:p>
          <w:p>
            <w:pPr>
              <w:autoSpaceDE w:val="0"/>
              <w:autoSpaceDN w:val="0"/>
              <w:rPr>
                <w:rFonts w:ascii="宋体" w:hAnsi="宋体" w:cs="宋体"/>
                <w:lang w:eastAsia="en-US"/>
              </w:rPr>
            </w:pPr>
            <w:r>
              <w:rPr>
                <w:rFonts w:ascii="宋体" w:hAnsi="宋体" w:cs="宋体"/>
                <w:lang w:eastAsia="en-US"/>
              </w:rPr>
              <w:t>#</w:t>
            </w:r>
            <w:r>
              <w:rPr>
                <w:rFonts w:hint="eastAsia" w:ascii="宋体" w:hAnsi="宋体" w:cs="宋体"/>
                <w:lang w:eastAsia="en-US"/>
              </w:rPr>
              <w:t>5.色彩亮度≥ 6200流明</w:t>
            </w:r>
          </w:p>
          <w:p>
            <w:pPr>
              <w:autoSpaceDE w:val="0"/>
              <w:autoSpaceDN w:val="0"/>
              <w:rPr>
                <w:rFonts w:ascii="宋体" w:hAnsi="宋体" w:cs="宋体"/>
                <w:lang w:eastAsia="en-US"/>
              </w:rPr>
            </w:pPr>
            <w:r>
              <w:rPr>
                <w:rFonts w:hint="eastAsia" w:ascii="宋体" w:hAnsi="宋体" w:cs="宋体"/>
                <w:lang w:eastAsia="en-US"/>
              </w:rPr>
              <w:t>6.支持恒定亮度输出模式，用户可以在亮度100%~70%之间，以1%为单位进行亮度调节</w:t>
            </w:r>
          </w:p>
          <w:p>
            <w:pPr>
              <w:autoSpaceDE w:val="0"/>
              <w:autoSpaceDN w:val="0"/>
              <w:rPr>
                <w:rFonts w:ascii="宋体" w:hAnsi="宋体" w:cs="宋体"/>
                <w:lang w:eastAsia="en-US"/>
              </w:rPr>
            </w:pPr>
            <w:r>
              <w:rPr>
                <w:rFonts w:hint="eastAsia" w:ascii="宋体" w:hAnsi="宋体" w:cs="宋体"/>
                <w:lang w:eastAsia="en-US"/>
              </w:rPr>
              <w:t>7.投射比：1.35-2.20；</w:t>
            </w:r>
          </w:p>
          <w:p>
            <w:pPr>
              <w:autoSpaceDE w:val="0"/>
              <w:autoSpaceDN w:val="0"/>
              <w:rPr>
                <w:rFonts w:ascii="宋体" w:hAnsi="宋体" w:cs="宋体"/>
                <w:lang w:eastAsia="en-US"/>
              </w:rPr>
            </w:pPr>
            <w:r>
              <w:rPr>
                <w:rFonts w:hint="eastAsia" w:ascii="宋体" w:hAnsi="宋体" w:cs="宋体"/>
                <w:lang w:eastAsia="en-US"/>
              </w:rPr>
              <w:t>8.大范围镜头位移：垂直±50%，水平±20%</w:t>
            </w:r>
          </w:p>
          <w:p>
            <w:pPr>
              <w:autoSpaceDE w:val="0"/>
              <w:autoSpaceDN w:val="0"/>
              <w:rPr>
                <w:rFonts w:ascii="宋体" w:hAnsi="宋体" w:cs="宋体"/>
                <w:lang w:eastAsia="en-US"/>
              </w:rPr>
            </w:pPr>
            <w:r>
              <w:rPr>
                <w:rFonts w:hint="eastAsia" w:ascii="宋体" w:hAnsi="宋体" w:cs="宋体"/>
                <w:lang w:eastAsia="en-US"/>
              </w:rPr>
              <w:t>9.镜头参数：F=1.5-1.7, f= 20.0mm-31.8mm</w:t>
            </w:r>
          </w:p>
          <w:p>
            <w:pPr>
              <w:autoSpaceDE w:val="0"/>
              <w:autoSpaceDN w:val="0"/>
              <w:rPr>
                <w:rFonts w:ascii="宋体" w:hAnsi="宋体" w:cs="宋体"/>
                <w:lang w:eastAsia="en-US"/>
              </w:rPr>
            </w:pPr>
            <w:r>
              <w:rPr>
                <w:rFonts w:hint="eastAsia" w:ascii="宋体" w:hAnsi="宋体" w:cs="宋体"/>
                <w:lang w:eastAsia="en-US"/>
              </w:rPr>
              <w:t>10.镜头光学变焦比：1-1.6</w:t>
            </w:r>
          </w:p>
          <w:p>
            <w:pPr>
              <w:autoSpaceDE w:val="0"/>
              <w:autoSpaceDN w:val="0"/>
              <w:rPr>
                <w:rFonts w:ascii="宋体" w:hAnsi="宋体" w:cs="宋体"/>
                <w:lang w:eastAsia="en-US"/>
              </w:rPr>
            </w:pPr>
            <w:r>
              <w:rPr>
                <w:rFonts w:hint="eastAsia" w:ascii="宋体" w:hAnsi="宋体" w:cs="宋体"/>
                <w:lang w:eastAsia="en-US"/>
              </w:rPr>
              <w:t>11.整机功耗≤345W</w:t>
            </w:r>
          </w:p>
          <w:p>
            <w:pPr>
              <w:autoSpaceDE w:val="0"/>
              <w:autoSpaceDN w:val="0"/>
              <w:rPr>
                <w:rFonts w:ascii="宋体" w:hAnsi="宋体" w:cs="宋体"/>
                <w:lang w:eastAsia="en-US"/>
              </w:rPr>
            </w:pPr>
            <w:r>
              <w:rPr>
                <w:rFonts w:hint="eastAsia" w:ascii="宋体" w:hAnsi="宋体" w:cs="宋体"/>
                <w:lang w:eastAsia="en-US"/>
              </w:rPr>
              <w:t>12.内置10W扬声器</w:t>
            </w:r>
          </w:p>
          <w:p>
            <w:pPr>
              <w:autoSpaceDE w:val="0"/>
              <w:autoSpaceDN w:val="0"/>
              <w:rPr>
                <w:rFonts w:ascii="宋体" w:hAnsi="宋体" w:cs="宋体"/>
                <w:lang w:eastAsia="en-US"/>
              </w:rPr>
            </w:pPr>
            <w:r>
              <w:rPr>
                <w:rFonts w:hint="eastAsia" w:ascii="宋体" w:hAnsi="宋体" w:cs="宋体"/>
                <w:lang w:eastAsia="en-US"/>
              </w:rPr>
              <w:t>13.</w:t>
            </w:r>
            <w:r>
              <w:rPr>
                <w:rFonts w:hint="eastAsia" w:ascii="宋体" w:hAnsi="宋体" w:cs="宋体"/>
                <w:lang w:eastAsia="zh-Hans"/>
              </w:rPr>
              <w:t>接口：</w:t>
            </w:r>
            <w:r>
              <w:rPr>
                <w:rFonts w:hint="eastAsia" w:ascii="宋体" w:hAnsi="宋体" w:cs="宋体"/>
                <w:lang w:eastAsia="en-US"/>
              </w:rPr>
              <w:t>≥HDMI×2、HDBaseT×1、VGA×2、RS-232C×1，RJ45×1，USB Type A×2，USB Type B（For Service）×1，内置无线网卡，HDMI OUT×1</w:t>
            </w:r>
          </w:p>
          <w:p>
            <w:pPr>
              <w:autoSpaceDE w:val="0"/>
              <w:autoSpaceDN w:val="0"/>
              <w:rPr>
                <w:rFonts w:ascii="宋体" w:hAnsi="宋体" w:cs="宋体"/>
                <w:lang w:eastAsia="en-US"/>
              </w:rPr>
            </w:pPr>
            <w:r>
              <w:rPr>
                <w:rFonts w:hint="eastAsia" w:ascii="宋体" w:hAnsi="宋体" w:cs="宋体"/>
                <w:lang w:eastAsia="en-US"/>
              </w:rPr>
              <w:t>14.支持高清互联,可实现手机、平板、电脑等智能设备无线网络投影</w:t>
            </w:r>
          </w:p>
          <w:p>
            <w:pPr>
              <w:autoSpaceDE w:val="0"/>
              <w:autoSpaceDN w:val="0"/>
              <w:rPr>
                <w:rFonts w:ascii="宋体" w:hAnsi="宋体" w:cs="宋体"/>
                <w:lang w:eastAsia="en-US"/>
              </w:rPr>
            </w:pPr>
            <w:r>
              <w:rPr>
                <w:rFonts w:hint="eastAsia" w:ascii="宋体" w:hAnsi="宋体" w:cs="宋体"/>
                <w:lang w:eastAsia="en-US"/>
              </w:rPr>
              <w:t>15.内置四画面分割投影功能（即单台投影机能同时并列显示四个画面）</w:t>
            </w:r>
          </w:p>
          <w:p>
            <w:pPr>
              <w:autoSpaceDE w:val="0"/>
              <w:autoSpaceDN w:val="0"/>
              <w:rPr>
                <w:rFonts w:ascii="宋体" w:hAnsi="宋体" w:cs="宋体"/>
                <w:lang w:eastAsia="en-US"/>
              </w:rPr>
            </w:pPr>
            <w:r>
              <w:rPr>
                <w:rFonts w:hint="eastAsia" w:ascii="宋体" w:hAnsi="宋体" w:cs="宋体"/>
                <w:lang w:eastAsia="en-US"/>
              </w:rPr>
              <w:t>16</w:t>
            </w:r>
            <w:r>
              <w:rPr>
                <w:rFonts w:hint="eastAsia" w:ascii="宋体" w:hAnsi="宋体" w:cs="宋体"/>
                <w:lang w:eastAsia="zh-Hans"/>
              </w:rPr>
              <w:t>.</w:t>
            </w:r>
            <w:r>
              <w:rPr>
                <w:rFonts w:hint="eastAsia" w:ascii="宋体" w:hAnsi="宋体" w:cs="宋体"/>
                <w:lang w:eastAsia="en-US"/>
              </w:rPr>
              <w:t>支持16:6宽屏显示 (在此模式下同样可以使用四画面分割投影功能)</w:t>
            </w:r>
          </w:p>
          <w:p>
            <w:pPr>
              <w:autoSpaceDE w:val="0"/>
              <w:autoSpaceDN w:val="0"/>
              <w:rPr>
                <w:rFonts w:ascii="宋体" w:hAnsi="宋体" w:cs="宋体"/>
                <w:lang w:eastAsia="en-US"/>
              </w:rPr>
            </w:pPr>
            <w:r>
              <w:rPr>
                <w:rFonts w:hint="eastAsia" w:ascii="宋体" w:hAnsi="宋体" w:cs="宋体"/>
                <w:lang w:eastAsia="en-US"/>
              </w:rPr>
              <w:t>17.支持细节增强和超解像功能，文字和图片清晰度高</w:t>
            </w:r>
          </w:p>
          <w:p>
            <w:pPr>
              <w:autoSpaceDE w:val="0"/>
              <w:autoSpaceDN w:val="0"/>
              <w:rPr>
                <w:rFonts w:ascii="宋体" w:hAnsi="宋体" w:cs="宋体"/>
                <w:lang w:eastAsia="en-US"/>
              </w:rPr>
            </w:pPr>
            <w:r>
              <w:rPr>
                <w:rFonts w:hint="eastAsia" w:ascii="宋体" w:hAnsi="宋体" w:cs="宋体"/>
                <w:lang w:eastAsia="en-US"/>
              </w:rPr>
              <w:t>18.支持360度安装，且没有任何画质损失</w:t>
            </w:r>
          </w:p>
          <w:p>
            <w:pPr>
              <w:autoSpaceDE w:val="0"/>
              <w:autoSpaceDN w:val="0"/>
              <w:rPr>
                <w:rFonts w:ascii="宋体" w:hAnsi="宋体" w:cs="宋体"/>
                <w:lang w:eastAsia="en-US"/>
              </w:rPr>
            </w:pPr>
            <w:r>
              <w:rPr>
                <w:rFonts w:hint="eastAsia" w:ascii="宋体" w:hAnsi="宋体" w:cs="宋体"/>
                <w:lang w:eastAsia="en-US"/>
              </w:rPr>
              <w:t>19.支持4K信号输入</w:t>
            </w:r>
          </w:p>
          <w:p>
            <w:pPr>
              <w:autoSpaceDE w:val="0"/>
              <w:autoSpaceDN w:val="0"/>
              <w:rPr>
                <w:rFonts w:ascii="宋体" w:hAnsi="宋体" w:cs="宋体"/>
                <w:lang w:eastAsia="en-US"/>
              </w:rPr>
            </w:pPr>
            <w:r>
              <w:rPr>
                <w:rFonts w:hint="eastAsia" w:ascii="宋体" w:hAnsi="宋体" w:cs="宋体"/>
                <w:lang w:eastAsia="en-US"/>
              </w:rPr>
              <w:t>20.支持自适应gamma调节功能，可以逐帧分析影像并自动调整gamma曲线</w:t>
            </w:r>
          </w:p>
          <w:p>
            <w:pPr>
              <w:autoSpaceDE w:val="0"/>
              <w:autoSpaceDN w:val="0"/>
              <w:rPr>
                <w:rFonts w:ascii="宋体" w:hAnsi="宋体" w:cs="宋体"/>
                <w:lang w:eastAsia="en-US"/>
              </w:rPr>
            </w:pPr>
            <w:r>
              <w:rPr>
                <w:rFonts w:hint="eastAsia" w:ascii="宋体" w:hAnsi="宋体" w:cs="宋体"/>
                <w:lang w:eastAsia="en-US"/>
              </w:rPr>
              <w:t>21.支持快速四角调节，梯形、弧形等几何校正功能</w:t>
            </w:r>
          </w:p>
          <w:p>
            <w:pPr>
              <w:autoSpaceDE w:val="0"/>
              <w:autoSpaceDN w:val="0"/>
              <w:rPr>
                <w:rFonts w:ascii="宋体" w:hAnsi="宋体" w:cs="宋体"/>
                <w:lang w:eastAsia="en-US"/>
              </w:rPr>
            </w:pPr>
            <w:r>
              <w:rPr>
                <w:rFonts w:hint="eastAsia" w:ascii="宋体" w:hAnsi="宋体" w:cs="宋体"/>
                <w:lang w:eastAsia="en-US"/>
              </w:rPr>
              <w:t>22.支持快速启动，5秒迅速开机</w:t>
            </w:r>
          </w:p>
          <w:p>
            <w:pPr>
              <w:autoSpaceDE w:val="0"/>
              <w:autoSpaceDN w:val="0"/>
              <w:rPr>
                <w:rFonts w:ascii="宋体" w:hAnsi="宋体" w:cs="宋体"/>
                <w:lang w:eastAsia="en-US"/>
              </w:rPr>
            </w:pPr>
            <w:r>
              <w:rPr>
                <w:rFonts w:hint="eastAsia" w:ascii="宋体" w:hAnsi="宋体" w:cs="宋体"/>
                <w:lang w:eastAsia="en-US"/>
              </w:rPr>
              <w:t>23.专业防尘过滤网：≥20000小时 (标准模式)；≥30000小时（扩展模式）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2</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投影机2</w:t>
            </w:r>
          </w:p>
        </w:tc>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台</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50</w:t>
            </w:r>
          </w:p>
        </w:tc>
        <w:tc>
          <w:tcPr>
            <w:tcW w:w="7830" w:type="dxa"/>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rPr>
                <w:rFonts w:ascii="宋体" w:hAnsi="宋体" w:cs="宋体"/>
                <w:lang w:eastAsia="en-US"/>
              </w:rPr>
            </w:pPr>
            <w:r>
              <w:rPr>
                <w:rFonts w:hint="eastAsia" w:ascii="宋体" w:hAnsi="宋体" w:cs="宋体"/>
                <w:lang w:eastAsia="en-US"/>
              </w:rPr>
              <w:t>1.3LCD投影技术</w:t>
            </w:r>
          </w:p>
          <w:p>
            <w:pPr>
              <w:autoSpaceDE w:val="0"/>
              <w:autoSpaceDN w:val="0"/>
              <w:rPr>
                <w:rFonts w:ascii="宋体" w:hAnsi="宋体" w:cs="宋体"/>
                <w:lang w:eastAsia="en-US"/>
              </w:rPr>
            </w:pPr>
            <w:r>
              <w:rPr>
                <w:rFonts w:ascii="宋体" w:hAnsi="宋体" w:cs="宋体"/>
                <w:lang w:eastAsia="en-US"/>
              </w:rPr>
              <w:t>#</w:t>
            </w:r>
            <w:r>
              <w:rPr>
                <w:rFonts w:hint="eastAsia" w:ascii="宋体" w:hAnsi="宋体" w:cs="宋体"/>
                <w:lang w:eastAsia="en-US"/>
              </w:rPr>
              <w:t>2.液晶面板尺寸 ≥  0.59英寸含微透镜</w:t>
            </w:r>
          </w:p>
          <w:p>
            <w:pPr>
              <w:autoSpaceDE w:val="0"/>
              <w:autoSpaceDN w:val="0"/>
              <w:rPr>
                <w:rFonts w:ascii="宋体" w:hAnsi="宋体" w:cs="宋体"/>
                <w:lang w:eastAsia="en-US"/>
              </w:rPr>
            </w:pPr>
            <w:r>
              <w:rPr>
                <w:rFonts w:ascii="宋体" w:hAnsi="宋体" w:cs="宋体"/>
                <w:lang w:eastAsia="en-US"/>
              </w:rPr>
              <w:t>#</w:t>
            </w:r>
            <w:r>
              <w:rPr>
                <w:rFonts w:hint="eastAsia" w:ascii="宋体" w:hAnsi="宋体" w:cs="宋体"/>
                <w:lang w:eastAsia="en-US"/>
              </w:rPr>
              <w:t>3.亮度≥5000流明（符合ISO21118标准），分辨率：WXGA，对比度≥15000:1（符合ISO21118标准）</w:t>
            </w:r>
          </w:p>
          <w:p>
            <w:pPr>
              <w:autoSpaceDE w:val="0"/>
              <w:autoSpaceDN w:val="0"/>
              <w:rPr>
                <w:rFonts w:ascii="宋体" w:hAnsi="宋体" w:cs="宋体"/>
                <w:lang w:eastAsia="en-US"/>
              </w:rPr>
            </w:pPr>
            <w:r>
              <w:rPr>
                <w:rFonts w:hint="eastAsia" w:ascii="宋体" w:hAnsi="宋体" w:cs="宋体"/>
                <w:lang w:eastAsia="en-US"/>
              </w:rPr>
              <w:t>4.色彩亮度≥5000流明</w:t>
            </w:r>
          </w:p>
          <w:p>
            <w:pPr>
              <w:autoSpaceDE w:val="0"/>
              <w:autoSpaceDN w:val="0"/>
              <w:rPr>
                <w:rFonts w:ascii="宋体" w:hAnsi="宋体" w:cs="宋体"/>
                <w:lang w:eastAsia="en-US"/>
              </w:rPr>
            </w:pPr>
            <w:r>
              <w:rPr>
                <w:rFonts w:hint="eastAsia" w:ascii="宋体" w:hAnsi="宋体" w:cs="宋体"/>
                <w:lang w:eastAsia="en-US"/>
              </w:rPr>
              <w:t>5.灯泡寿命≥5000 小时</w:t>
            </w:r>
          </w:p>
          <w:p>
            <w:pPr>
              <w:autoSpaceDE w:val="0"/>
              <w:autoSpaceDN w:val="0"/>
              <w:rPr>
                <w:rFonts w:ascii="宋体" w:hAnsi="宋体" w:cs="宋体"/>
                <w:lang w:eastAsia="en-US"/>
              </w:rPr>
            </w:pPr>
            <w:r>
              <w:rPr>
                <w:rFonts w:hint="eastAsia" w:ascii="宋体" w:hAnsi="宋体" w:cs="宋体"/>
                <w:lang w:eastAsia="en-US"/>
              </w:rPr>
              <w:t>6.</w:t>
            </w:r>
            <w:r>
              <w:rPr>
                <w:rFonts w:hint="eastAsia" w:ascii="宋体" w:hAnsi="宋体" w:cs="宋体"/>
                <w:lang w:eastAsia="zh-Hans"/>
              </w:rPr>
              <w:t>接口：</w:t>
            </w:r>
            <w:r>
              <w:rPr>
                <w:rFonts w:hint="eastAsia" w:ascii="宋体" w:hAnsi="宋体" w:cs="宋体"/>
                <w:lang w:eastAsia="en-US"/>
              </w:rPr>
              <w:t>≥HDMI×2、标配无线网络投影、Computer×2, Computer audio in×2、Monitor out audio out×1，RS-232C×1，LAN×1，USB Type A×1，USB Type B×1，Audio R×1，Audio L×1, Video×1</w:t>
            </w:r>
          </w:p>
          <w:p>
            <w:pPr>
              <w:autoSpaceDE w:val="0"/>
              <w:autoSpaceDN w:val="0"/>
              <w:rPr>
                <w:rFonts w:ascii="宋体" w:hAnsi="宋体" w:cs="宋体"/>
                <w:lang w:eastAsia="en-US"/>
              </w:rPr>
            </w:pPr>
            <w:r>
              <w:rPr>
                <w:rFonts w:hint="eastAsia" w:ascii="宋体" w:hAnsi="宋体" w:cs="宋体"/>
                <w:lang w:eastAsia="en-US"/>
              </w:rPr>
              <w:t>7.投射比镜头（按照实际投影幕布计算投影距离）1.38-2.24 镜头参数：F= 1.51-1.99，f= 18.2mm - 29.2mm</w:t>
            </w:r>
          </w:p>
          <w:p>
            <w:pPr>
              <w:autoSpaceDE w:val="0"/>
              <w:autoSpaceDN w:val="0"/>
              <w:rPr>
                <w:rFonts w:ascii="宋体" w:hAnsi="宋体" w:cs="宋体"/>
                <w:lang w:eastAsia="en-US"/>
              </w:rPr>
            </w:pPr>
            <w:r>
              <w:rPr>
                <w:rFonts w:hint="eastAsia" w:ascii="宋体" w:hAnsi="宋体" w:cs="宋体"/>
                <w:lang w:eastAsia="en-US"/>
              </w:rPr>
              <w:t>8.镜头光学变焦比：1-1.6</w:t>
            </w:r>
          </w:p>
          <w:p>
            <w:pPr>
              <w:autoSpaceDE w:val="0"/>
              <w:autoSpaceDN w:val="0"/>
              <w:rPr>
                <w:rFonts w:ascii="宋体" w:hAnsi="宋体" w:cs="宋体"/>
                <w:lang w:eastAsia="en-US"/>
              </w:rPr>
            </w:pPr>
            <w:r>
              <w:rPr>
                <w:rFonts w:hint="eastAsia" w:ascii="宋体" w:hAnsi="宋体" w:cs="宋体"/>
                <w:lang w:eastAsia="en-US"/>
              </w:rPr>
              <w:t>9.支持开机LOGO 自定义</w:t>
            </w:r>
          </w:p>
          <w:p>
            <w:pPr>
              <w:autoSpaceDE w:val="0"/>
              <w:autoSpaceDN w:val="0"/>
              <w:rPr>
                <w:rFonts w:ascii="宋体" w:hAnsi="宋体" w:cs="宋体"/>
                <w:lang w:eastAsia="en-US"/>
              </w:rPr>
            </w:pPr>
            <w:r>
              <w:rPr>
                <w:rFonts w:hint="eastAsia" w:ascii="宋体" w:hAnsi="宋体" w:cs="宋体"/>
                <w:lang w:eastAsia="en-US"/>
              </w:rPr>
              <w:t>10.支持网络4画面投影</w:t>
            </w:r>
          </w:p>
          <w:p>
            <w:pPr>
              <w:autoSpaceDE w:val="0"/>
              <w:autoSpaceDN w:val="0"/>
              <w:rPr>
                <w:rFonts w:ascii="宋体" w:hAnsi="宋体" w:cs="宋体"/>
                <w:lang w:eastAsia="en-US"/>
              </w:rPr>
            </w:pPr>
            <w:r>
              <w:rPr>
                <w:rFonts w:hint="eastAsia" w:ascii="宋体" w:hAnsi="宋体" w:cs="宋体"/>
                <w:lang w:eastAsia="en-US"/>
              </w:rPr>
              <w:t>11.支持网络监控</w:t>
            </w:r>
          </w:p>
          <w:p>
            <w:pPr>
              <w:autoSpaceDE w:val="0"/>
              <w:autoSpaceDN w:val="0"/>
              <w:rPr>
                <w:rFonts w:ascii="宋体" w:hAnsi="宋体" w:cs="宋体"/>
                <w:lang w:eastAsia="en-US"/>
              </w:rPr>
            </w:pPr>
            <w:r>
              <w:rPr>
                <w:rFonts w:hint="eastAsia" w:ascii="宋体" w:hAnsi="宋体" w:cs="宋体"/>
                <w:lang w:eastAsia="en-US"/>
              </w:rPr>
              <w:t>12.支持MHL功能</w:t>
            </w:r>
          </w:p>
          <w:p>
            <w:pPr>
              <w:autoSpaceDE w:val="0"/>
              <w:autoSpaceDN w:val="0"/>
              <w:rPr>
                <w:rFonts w:ascii="宋体" w:hAnsi="宋体" w:cs="宋体"/>
                <w:lang w:eastAsia="en-US"/>
              </w:rPr>
            </w:pPr>
            <w:r>
              <w:rPr>
                <w:rFonts w:hint="eastAsia" w:ascii="宋体" w:hAnsi="宋体" w:cs="宋体"/>
                <w:lang w:eastAsia="en-US"/>
              </w:rPr>
              <w:t>13.支持一键图像自动校正</w:t>
            </w:r>
          </w:p>
          <w:p>
            <w:pPr>
              <w:autoSpaceDE w:val="0"/>
              <w:autoSpaceDN w:val="0"/>
              <w:rPr>
                <w:rFonts w:ascii="宋体" w:hAnsi="宋体" w:cs="宋体"/>
                <w:lang w:eastAsia="en-US"/>
              </w:rPr>
            </w:pPr>
            <w:r>
              <w:rPr>
                <w:rFonts w:hint="eastAsia" w:ascii="宋体" w:hAnsi="宋体" w:cs="宋体"/>
                <w:lang w:eastAsia="en-US"/>
              </w:rPr>
              <w:t>14.支持数字聚焦功能</w:t>
            </w:r>
          </w:p>
          <w:p>
            <w:pPr>
              <w:autoSpaceDE w:val="0"/>
              <w:autoSpaceDN w:val="0"/>
              <w:rPr>
                <w:rFonts w:ascii="宋体" w:hAnsi="宋体" w:cs="宋体"/>
                <w:lang w:eastAsia="en-US"/>
              </w:rPr>
            </w:pPr>
            <w:r>
              <w:rPr>
                <w:rFonts w:hint="eastAsia" w:ascii="宋体" w:hAnsi="宋体" w:cs="宋体"/>
                <w:lang w:eastAsia="en-US"/>
              </w:rPr>
              <w:t>15.灯泡功耗≤300W UHE</w:t>
            </w:r>
          </w:p>
          <w:p>
            <w:pPr>
              <w:autoSpaceDE w:val="0"/>
              <w:autoSpaceDN w:val="0"/>
              <w:rPr>
                <w:rFonts w:ascii="宋体" w:hAnsi="宋体" w:cs="宋体"/>
                <w:lang w:eastAsia="en-US"/>
              </w:rPr>
            </w:pPr>
            <w:r>
              <w:rPr>
                <w:rFonts w:hint="eastAsia" w:ascii="宋体" w:hAnsi="宋体" w:cs="宋体"/>
                <w:lang w:eastAsia="en-US"/>
              </w:rPr>
              <w:t>16.整机功耗≤405W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tcBorders>
              <w:top w:val="single" w:color="000000" w:sz="2" w:space="0"/>
              <w:left w:val="single" w:color="000000" w:sz="2" w:space="0"/>
              <w:bottom w:val="single" w:color="000000" w:sz="2" w:space="0"/>
              <w:right w:val="single" w:color="000000" w:sz="2" w:space="0"/>
            </w:tcBorders>
            <w:vAlign w:val="center"/>
          </w:tcPr>
          <w:p>
            <w:pPr>
              <w:autoSpaceDE w:val="0"/>
              <w:autoSpaceDN w:val="0"/>
              <w:jc w:val="center"/>
              <w:rPr>
                <w:rFonts w:ascii="宋体" w:hAnsi="宋体" w:cs="宋体"/>
                <w:lang w:eastAsia="en-US"/>
              </w:rPr>
            </w:pPr>
            <w:r>
              <w:rPr>
                <w:rFonts w:hint="eastAsia" w:ascii="宋体" w:hAnsi="宋体" w:cs="宋体"/>
                <w:lang w:eastAsia="en-US"/>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计算机</w:t>
            </w:r>
          </w:p>
        </w:tc>
        <w:tc>
          <w:tcPr>
            <w:tcW w:w="0" w:type="auto"/>
            <w:tcBorders>
              <w:top w:val="single" w:color="000000" w:sz="2" w:space="0"/>
              <w:left w:val="single" w:color="000000" w:sz="2" w:space="0"/>
              <w:bottom w:val="single" w:color="000000" w:sz="2" w:space="0"/>
              <w:right w:val="single" w:color="000000" w:sz="2" w:space="0"/>
            </w:tcBorders>
            <w:vAlign w:val="center"/>
          </w:tcPr>
          <w:p>
            <w:pPr>
              <w:autoSpaceDE w:val="0"/>
              <w:autoSpaceDN w:val="0"/>
              <w:jc w:val="center"/>
              <w:rPr>
                <w:rFonts w:ascii="宋体" w:hAnsi="宋体" w:cs="宋体"/>
                <w:lang w:eastAsia="en-US"/>
              </w:rPr>
            </w:pPr>
            <w:r>
              <w:rPr>
                <w:rFonts w:hint="eastAsia" w:ascii="宋体" w:hAnsi="宋体" w:cs="宋体"/>
                <w:lang w:eastAsia="en-US"/>
              </w:rPr>
              <w:t>台</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20</w:t>
            </w:r>
          </w:p>
        </w:tc>
        <w:tc>
          <w:tcPr>
            <w:tcW w:w="7830" w:type="dxa"/>
            <w:tcBorders>
              <w:top w:val="single" w:color="000000" w:sz="2" w:space="0"/>
              <w:left w:val="single" w:color="000000" w:sz="2" w:space="0"/>
              <w:bottom w:val="single" w:color="000000" w:sz="2" w:space="0"/>
              <w:right w:val="single" w:color="000000" w:sz="2" w:space="0"/>
            </w:tcBorders>
            <w:vAlign w:val="center"/>
          </w:tcPr>
          <w:p>
            <w:pPr>
              <w:numPr>
                <w:ilvl w:val="0"/>
                <w:numId w:val="12"/>
              </w:numPr>
              <w:autoSpaceDE w:val="0"/>
              <w:autoSpaceDN w:val="0"/>
              <w:rPr>
                <w:rFonts w:ascii="宋体" w:hAnsi="宋体" w:cs="宋体"/>
                <w:lang w:eastAsia="en-US"/>
              </w:rPr>
            </w:pPr>
            <w:r>
              <w:rPr>
                <w:rFonts w:hint="eastAsia" w:ascii="宋体" w:hAnsi="宋体" w:cs="宋体"/>
                <w:lang w:eastAsia="en-US"/>
              </w:rPr>
              <w:t>处理器：</w:t>
            </w:r>
            <w:r>
              <w:rPr>
                <w:rFonts w:hint="eastAsia" w:ascii="宋体" w:hAnsi="宋体" w:cs="宋体"/>
                <w:lang w:eastAsia="zh-Hans"/>
              </w:rPr>
              <w:t>相当于或不低于</w:t>
            </w:r>
            <w:r>
              <w:rPr>
                <w:rFonts w:hint="eastAsia" w:ascii="宋体" w:hAnsi="宋体" w:cs="宋体"/>
                <w:lang w:eastAsia="en-US"/>
              </w:rPr>
              <w:t>i5 12500；</w:t>
            </w:r>
          </w:p>
          <w:p>
            <w:pPr>
              <w:numPr>
                <w:ilvl w:val="0"/>
                <w:numId w:val="12"/>
              </w:numPr>
              <w:autoSpaceDE w:val="0"/>
              <w:autoSpaceDN w:val="0"/>
              <w:rPr>
                <w:rFonts w:ascii="宋体" w:hAnsi="宋体" w:cs="宋体"/>
                <w:lang w:eastAsia="en-US"/>
              </w:rPr>
            </w:pPr>
            <w:r>
              <w:rPr>
                <w:rFonts w:hint="eastAsia" w:ascii="宋体" w:hAnsi="宋体" w:cs="宋体"/>
                <w:lang w:eastAsia="en-US"/>
              </w:rPr>
              <w:t>内存：≥8G DDR4；</w:t>
            </w:r>
          </w:p>
          <w:p>
            <w:pPr>
              <w:numPr>
                <w:ilvl w:val="0"/>
                <w:numId w:val="12"/>
              </w:numPr>
              <w:autoSpaceDE w:val="0"/>
              <w:autoSpaceDN w:val="0"/>
              <w:rPr>
                <w:rFonts w:ascii="宋体" w:hAnsi="宋体" w:cs="宋体"/>
                <w:lang w:eastAsia="en-US"/>
              </w:rPr>
            </w:pPr>
            <w:r>
              <w:rPr>
                <w:rFonts w:hint="eastAsia" w:ascii="宋体" w:hAnsi="宋体" w:cs="宋体"/>
                <w:lang w:eastAsia="en-US"/>
              </w:rPr>
              <w:t>硬盘：≥256G SSD固态硬盘；</w:t>
            </w:r>
          </w:p>
          <w:p>
            <w:pPr>
              <w:numPr>
                <w:ilvl w:val="0"/>
                <w:numId w:val="12"/>
              </w:numPr>
              <w:autoSpaceDE w:val="0"/>
              <w:autoSpaceDN w:val="0"/>
              <w:rPr>
                <w:rFonts w:ascii="宋体" w:hAnsi="宋体" w:cs="宋体"/>
                <w:lang w:eastAsia="en-US"/>
              </w:rPr>
            </w:pPr>
            <w:r>
              <w:rPr>
                <w:rFonts w:hint="eastAsia" w:ascii="宋体" w:hAnsi="宋体" w:cs="宋体"/>
                <w:lang w:eastAsia="zh-Hans"/>
              </w:rPr>
              <w:t>接口：</w:t>
            </w:r>
            <w:r>
              <w:rPr>
                <w:rFonts w:hint="eastAsia" w:ascii="宋体" w:hAnsi="宋体" w:cs="宋体"/>
                <w:lang w:eastAsia="en-US"/>
              </w:rPr>
              <w:t>≥</w:t>
            </w:r>
            <w:r>
              <w:rPr>
                <w:rFonts w:hint="eastAsia" w:ascii="宋体" w:hAnsi="宋体" w:cs="宋体"/>
                <w:lang w:eastAsia="zh-Hans"/>
              </w:rPr>
              <w:t>4×USB3.1，2×USB3.2，1×VGA，1×HDMI，1×RJ45（网络接口），多合1读卡器</w:t>
            </w:r>
          </w:p>
          <w:p>
            <w:pPr>
              <w:numPr>
                <w:ilvl w:val="0"/>
                <w:numId w:val="12"/>
              </w:numPr>
              <w:autoSpaceDE w:val="0"/>
              <w:autoSpaceDN w:val="0"/>
              <w:rPr>
                <w:rFonts w:ascii="宋体" w:hAnsi="宋体" w:cs="宋体"/>
                <w:lang w:eastAsia="en-US"/>
              </w:rPr>
            </w:pPr>
            <w:r>
              <w:rPr>
                <w:rFonts w:hint="eastAsia" w:ascii="宋体" w:hAnsi="宋体" w:cs="宋体"/>
                <w:lang w:eastAsia="zh-Hans"/>
              </w:rPr>
              <w:t>≥21.5英寸显示器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4</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固态硬盘</w:t>
            </w:r>
          </w:p>
        </w:tc>
        <w:tc>
          <w:tcPr>
            <w:tcW w:w="0" w:type="auto"/>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jc w:val="center"/>
              <w:rPr>
                <w:rFonts w:ascii="宋体" w:hAnsi="宋体" w:cs="宋体"/>
                <w:lang w:eastAsia="en-US"/>
              </w:rPr>
            </w:pPr>
            <w:r>
              <w:rPr>
                <w:rFonts w:hint="eastAsia" w:ascii="宋体" w:hAnsi="宋体" w:cs="宋体"/>
                <w:lang w:eastAsia="en-US"/>
              </w:rPr>
              <w:t>块</w:t>
            </w:r>
          </w:p>
        </w:tc>
        <w:tc>
          <w:tcPr>
            <w:tcW w:w="0" w:type="auto"/>
            <w:tcBorders>
              <w:top w:val="single" w:color="000000" w:sz="2" w:space="0"/>
              <w:left w:val="single" w:color="000000" w:sz="2" w:space="0"/>
              <w:bottom w:val="single" w:color="000000" w:sz="2" w:space="0"/>
              <w:right w:val="single" w:color="000000" w:sz="2" w:space="0"/>
            </w:tcBorders>
            <w:shd w:val="clear" w:color="auto" w:fill="EEEEEE"/>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20</w:t>
            </w:r>
          </w:p>
        </w:tc>
        <w:tc>
          <w:tcPr>
            <w:tcW w:w="7830" w:type="dxa"/>
            <w:tcBorders>
              <w:top w:val="single" w:color="000000" w:sz="2" w:space="0"/>
              <w:left w:val="single" w:color="000000" w:sz="2" w:space="0"/>
              <w:bottom w:val="single" w:color="000000" w:sz="2" w:space="0"/>
              <w:right w:val="single" w:color="000000" w:sz="2" w:space="0"/>
            </w:tcBorders>
            <w:shd w:val="clear" w:color="auto" w:fill="EEEEEE"/>
            <w:vAlign w:val="center"/>
          </w:tcPr>
          <w:p>
            <w:pPr>
              <w:autoSpaceDE w:val="0"/>
              <w:autoSpaceDN w:val="0"/>
              <w:rPr>
                <w:rFonts w:ascii="宋体" w:hAnsi="宋体" w:cs="宋体"/>
                <w:lang w:eastAsia="en-US"/>
              </w:rPr>
            </w:pPr>
            <w:r>
              <w:rPr>
                <w:rFonts w:hint="eastAsia" w:ascii="宋体" w:hAnsi="宋体" w:cs="宋体"/>
                <w:lang w:eastAsia="zh-Hans"/>
              </w:rPr>
              <w:t>≥</w:t>
            </w:r>
            <w:r>
              <w:rPr>
                <w:rFonts w:hint="eastAsia" w:ascii="宋体" w:hAnsi="宋体" w:cs="宋体"/>
                <w:lang w:eastAsia="en-US"/>
              </w:rPr>
              <w:t>256G固态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0" w:type="auto"/>
            <w:tcBorders>
              <w:top w:val="single" w:color="000000" w:sz="2" w:space="0"/>
              <w:left w:val="single" w:color="000000" w:sz="2" w:space="0"/>
              <w:bottom w:val="single" w:color="000000" w:sz="2" w:space="0"/>
              <w:right w:val="single" w:color="000000" w:sz="2" w:space="0"/>
            </w:tcBorders>
            <w:vAlign w:val="center"/>
          </w:tcPr>
          <w:p>
            <w:pPr>
              <w:autoSpaceDE w:val="0"/>
              <w:autoSpaceDN w:val="0"/>
              <w:jc w:val="center"/>
              <w:rPr>
                <w:rFonts w:ascii="宋体" w:hAnsi="宋体" w:cs="宋体"/>
                <w:lang w:eastAsia="en-US"/>
              </w:rPr>
            </w:pPr>
            <w:r>
              <w:rPr>
                <w:rFonts w:hint="eastAsia" w:ascii="宋体" w:hAnsi="宋体" w:cs="宋体"/>
                <w:lang w:eastAsia="en-US"/>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触控一体机</w:t>
            </w:r>
          </w:p>
        </w:tc>
        <w:tc>
          <w:tcPr>
            <w:tcW w:w="0" w:type="auto"/>
            <w:tcBorders>
              <w:top w:val="single" w:color="000000" w:sz="2" w:space="0"/>
              <w:left w:val="single" w:color="000000" w:sz="2" w:space="0"/>
              <w:bottom w:val="single" w:color="000000" w:sz="2" w:space="0"/>
              <w:right w:val="single" w:color="000000" w:sz="2" w:space="0"/>
            </w:tcBorders>
            <w:vAlign w:val="center"/>
          </w:tcPr>
          <w:p>
            <w:pPr>
              <w:autoSpaceDE w:val="0"/>
              <w:autoSpaceDN w:val="0"/>
              <w:jc w:val="center"/>
              <w:rPr>
                <w:rFonts w:ascii="宋体" w:hAnsi="宋体" w:cs="宋体"/>
                <w:lang w:eastAsia="en-US"/>
              </w:rPr>
            </w:pPr>
            <w:r>
              <w:rPr>
                <w:rFonts w:hint="eastAsia" w:ascii="宋体" w:hAnsi="宋体" w:cs="宋体"/>
                <w:lang w:eastAsia="en-US"/>
              </w:rPr>
              <w:t>台</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autoSpaceDE w:val="0"/>
              <w:autoSpaceDN w:val="0"/>
              <w:jc w:val="center"/>
              <w:rPr>
                <w:rFonts w:ascii="宋体" w:hAnsi="宋体" w:cs="宋体"/>
                <w:lang w:eastAsia="en-US"/>
              </w:rPr>
            </w:pPr>
            <w:r>
              <w:rPr>
                <w:rFonts w:hint="eastAsia" w:ascii="宋体" w:hAnsi="宋体" w:cs="宋体"/>
                <w:lang w:eastAsia="en-US"/>
              </w:rPr>
              <w:t>6</w:t>
            </w:r>
          </w:p>
        </w:tc>
        <w:tc>
          <w:tcPr>
            <w:tcW w:w="7830" w:type="dxa"/>
            <w:tcBorders>
              <w:top w:val="single" w:color="000000" w:sz="2" w:space="0"/>
              <w:left w:val="single" w:color="000000" w:sz="2" w:space="0"/>
              <w:bottom w:val="single" w:color="000000" w:sz="2" w:space="0"/>
              <w:right w:val="single" w:color="000000" w:sz="2" w:space="0"/>
            </w:tcBorders>
            <w:vAlign w:val="center"/>
          </w:tcPr>
          <w:p>
            <w:pPr>
              <w:autoSpaceDE w:val="0"/>
              <w:autoSpaceDN w:val="0"/>
              <w:rPr>
                <w:rFonts w:ascii="宋体" w:hAnsi="宋体" w:cs="宋体"/>
                <w:lang w:eastAsia="en-US"/>
              </w:rPr>
            </w:pPr>
            <w:r>
              <w:rPr>
                <w:rFonts w:ascii="宋体" w:hAnsi="宋体" w:cs="宋体"/>
                <w:lang w:eastAsia="en-US"/>
              </w:rPr>
              <w:t>#</w:t>
            </w:r>
            <w:r>
              <w:rPr>
                <w:rFonts w:hint="eastAsia" w:ascii="宋体" w:hAnsi="宋体" w:cs="宋体"/>
                <w:lang w:eastAsia="en-US"/>
              </w:rPr>
              <w:t xml:space="preserve">1. 屏幕要求：整机屏幕采用≥70英寸 UHD超高清LED 液晶屏，A规屏，显示比例16:9，屏幕图像分辨率≥3840*2160，屏幕具备防眩光效果； </w:t>
            </w:r>
          </w:p>
          <w:p>
            <w:pPr>
              <w:autoSpaceDE w:val="0"/>
              <w:autoSpaceDN w:val="0"/>
              <w:rPr>
                <w:rFonts w:ascii="宋体" w:hAnsi="宋体" w:cs="宋体"/>
                <w:lang w:eastAsia="en-US"/>
              </w:rPr>
            </w:pPr>
            <w:r>
              <w:rPr>
                <w:rFonts w:hint="eastAsia" w:ascii="宋体" w:hAnsi="宋体" w:cs="宋体"/>
                <w:lang w:eastAsia="en-US"/>
              </w:rPr>
              <w:t>2. 整机接口要求：侧置输入接口具备≥2路HDMI、1路RS232、1路USB接口；侧置输出接口具备1路音频输出、1路触控USB输出；前置输入接口3路USB接口（包含1路Type-C、2路USB）。</w:t>
            </w:r>
          </w:p>
          <w:p>
            <w:pPr>
              <w:autoSpaceDE w:val="0"/>
              <w:autoSpaceDN w:val="0"/>
              <w:rPr>
                <w:rFonts w:ascii="宋体" w:hAnsi="宋体" w:cs="宋体"/>
                <w:lang w:eastAsia="en-US"/>
              </w:rPr>
            </w:pPr>
            <w:r>
              <w:rPr>
                <w:rFonts w:hint="eastAsia" w:ascii="宋体" w:hAnsi="宋体" w:cs="宋体"/>
                <w:lang w:eastAsia="en-US"/>
              </w:rPr>
              <w:t>3. 触控方式及要求：采用红外触控方式，支持Windows系统中进行20点或以上触控，支持Android系统中进行10点或以上触控。；</w:t>
            </w:r>
          </w:p>
          <w:p>
            <w:pPr>
              <w:autoSpaceDE w:val="0"/>
              <w:autoSpaceDN w:val="0"/>
              <w:rPr>
                <w:rFonts w:ascii="宋体" w:hAnsi="宋体" w:cs="宋体"/>
                <w:lang w:eastAsia="en-US"/>
              </w:rPr>
            </w:pPr>
            <w:r>
              <w:rPr>
                <w:rFonts w:hint="eastAsia" w:ascii="宋体" w:hAnsi="宋体" w:cs="宋体"/>
                <w:lang w:eastAsia="en-US"/>
              </w:rPr>
              <w:t>4.设备嵌入式系统版本≥Android9，设备内存≥2GB，设备存储空间≥8GB。</w:t>
            </w:r>
          </w:p>
          <w:p>
            <w:pPr>
              <w:autoSpaceDE w:val="0"/>
              <w:autoSpaceDN w:val="0"/>
              <w:rPr>
                <w:rFonts w:ascii="宋体" w:hAnsi="宋体" w:cs="宋体"/>
                <w:lang w:eastAsia="en-US"/>
              </w:rPr>
            </w:pPr>
            <w:r>
              <w:rPr>
                <w:rFonts w:hint="eastAsia" w:ascii="宋体" w:hAnsi="宋体" w:cs="宋体"/>
                <w:lang w:eastAsia="en-US"/>
              </w:rPr>
              <w:t>5. 全功能Type-C接口：支持前置和侧置Type-C接口，通过Type-C接口实现音视频输入，外接电脑设备通过标准TypeC线连接至整机TypeC口，即可把外接电脑设备画面投到整机上，同时在整机上操作画面，可实现触摸电脑的操作，无需再连接触控USB线；</w:t>
            </w:r>
          </w:p>
          <w:p>
            <w:pPr>
              <w:autoSpaceDE w:val="0"/>
              <w:autoSpaceDN w:val="0"/>
              <w:rPr>
                <w:rFonts w:ascii="宋体" w:hAnsi="宋体" w:cs="宋体"/>
                <w:lang w:eastAsia="en-US"/>
              </w:rPr>
            </w:pPr>
            <w:r>
              <w:rPr>
                <w:rFonts w:hint="eastAsia" w:ascii="宋体" w:hAnsi="宋体" w:cs="宋体"/>
                <w:lang w:eastAsia="en-US"/>
              </w:rPr>
              <w:t>6. 外接设备调用整机：外接电脑设备通过标准TypeC线连接至整机TypeC口，即可直接调用整机内置的摄像头、麦克风、扬声器，在外接电脑即可拍摄教室画面。</w:t>
            </w:r>
          </w:p>
          <w:p>
            <w:pPr>
              <w:autoSpaceDE w:val="0"/>
              <w:autoSpaceDN w:val="0"/>
              <w:rPr>
                <w:rFonts w:ascii="宋体" w:hAnsi="宋体" w:cs="宋体"/>
                <w:lang w:eastAsia="en-US"/>
              </w:rPr>
            </w:pPr>
            <w:r>
              <w:rPr>
                <w:rFonts w:hint="eastAsia" w:ascii="宋体" w:hAnsi="宋体" w:cs="宋体"/>
                <w:lang w:eastAsia="en-US"/>
              </w:rPr>
              <w:t>7. 一键录屏：设备支持通过前置面板物理按键一键启动录屏功能，可将屏幕中显示的课件、音频内容与人声同时录制。</w:t>
            </w:r>
          </w:p>
          <w:p>
            <w:pPr>
              <w:autoSpaceDE w:val="0"/>
              <w:autoSpaceDN w:val="0"/>
              <w:rPr>
                <w:rFonts w:ascii="宋体" w:hAnsi="宋体" w:cs="宋体"/>
                <w:lang w:eastAsia="en-US"/>
              </w:rPr>
            </w:pPr>
            <w:r>
              <w:rPr>
                <w:rFonts w:hint="eastAsia" w:ascii="宋体" w:hAnsi="宋体" w:cs="宋体"/>
                <w:lang w:eastAsia="en-US"/>
              </w:rPr>
              <w:t>8. 嵌入式系统：无PC模块状态下，嵌入式Android操作系统下可 实现Windows系统中常用的教学应用功能，包括 白板书写、WPS软件使用、网页浏览.</w:t>
            </w:r>
          </w:p>
          <w:p>
            <w:pPr>
              <w:autoSpaceDE w:val="0"/>
              <w:autoSpaceDN w:val="0"/>
              <w:rPr>
                <w:rFonts w:ascii="宋体" w:hAnsi="宋体" w:cs="宋体"/>
                <w:lang w:eastAsia="en-US"/>
              </w:rPr>
            </w:pPr>
            <w:r>
              <w:rPr>
                <w:rFonts w:hint="eastAsia" w:ascii="宋体" w:hAnsi="宋体" w:cs="宋体"/>
                <w:lang w:eastAsia="en-US"/>
              </w:rPr>
              <w:t xml:space="preserve">9. #为保证产品的安全环保，投标人所投产品应符合温室气体核查ISO14064体系标准，知识产权管理体系认证GBT29490-2013。（提供相关证明文件并加盖制造商公章） </w:t>
            </w:r>
          </w:p>
          <w:p>
            <w:pPr>
              <w:autoSpaceDE w:val="0"/>
              <w:autoSpaceDN w:val="0"/>
              <w:rPr>
                <w:rFonts w:ascii="宋体" w:hAnsi="宋体" w:cs="宋体"/>
                <w:lang w:eastAsia="en-US"/>
              </w:rPr>
            </w:pPr>
            <w:r>
              <w:rPr>
                <w:rFonts w:hint="eastAsia" w:ascii="宋体" w:hAnsi="宋体" w:cs="宋体"/>
                <w:lang w:eastAsia="en-US"/>
              </w:rPr>
              <w:t>电脑模块</w:t>
            </w:r>
          </w:p>
          <w:p>
            <w:pPr>
              <w:autoSpaceDE w:val="0"/>
              <w:autoSpaceDN w:val="0"/>
              <w:rPr>
                <w:rFonts w:ascii="宋体" w:hAnsi="宋体" w:cs="宋体"/>
                <w:lang w:eastAsia="en-US"/>
              </w:rPr>
            </w:pPr>
            <w:r>
              <w:rPr>
                <w:rFonts w:hint="eastAsia" w:ascii="宋体" w:hAnsi="宋体" w:cs="宋体"/>
                <w:lang w:eastAsia="en-US"/>
              </w:rPr>
              <w:t>1.采用按压式卡扣，确保PC模块安装固定到位，同时无需工具就可快速拆卸电脑模块。</w:t>
            </w:r>
          </w:p>
          <w:p>
            <w:pPr>
              <w:autoSpaceDE w:val="0"/>
              <w:autoSpaceDN w:val="0"/>
              <w:rPr>
                <w:rFonts w:ascii="宋体" w:hAnsi="宋体" w:cs="宋体"/>
                <w:lang w:eastAsia="en-US"/>
              </w:rPr>
            </w:pPr>
            <w:r>
              <w:rPr>
                <w:rFonts w:hint="eastAsia" w:ascii="宋体" w:hAnsi="宋体" w:cs="宋体"/>
                <w:lang w:eastAsia="en-US"/>
              </w:rPr>
              <w:t>2.处理器：</w:t>
            </w:r>
            <w:r>
              <w:rPr>
                <w:rFonts w:hint="eastAsia" w:ascii="宋体" w:hAnsi="宋体" w:cs="宋体"/>
                <w:lang w:eastAsia="zh-Hans"/>
              </w:rPr>
              <w:t>相当于或不低于</w:t>
            </w:r>
            <w:r>
              <w:rPr>
                <w:rFonts w:hint="eastAsia" w:ascii="宋体" w:hAnsi="宋体" w:cs="宋体"/>
                <w:lang w:eastAsia="en-US"/>
              </w:rPr>
              <w:t>Intel 8代酷睿系列i5；</w:t>
            </w:r>
          </w:p>
          <w:p>
            <w:pPr>
              <w:autoSpaceDE w:val="0"/>
              <w:autoSpaceDN w:val="0"/>
              <w:rPr>
                <w:rFonts w:ascii="宋体" w:hAnsi="宋体" w:cs="宋体"/>
                <w:lang w:eastAsia="en-US"/>
              </w:rPr>
            </w:pPr>
            <w:r>
              <w:rPr>
                <w:rFonts w:hint="eastAsia" w:ascii="宋体" w:hAnsi="宋体" w:cs="宋体"/>
                <w:lang w:eastAsia="en-US"/>
              </w:rPr>
              <w:t>3.内存：≥8G DDR4；</w:t>
            </w:r>
          </w:p>
          <w:p>
            <w:pPr>
              <w:autoSpaceDE w:val="0"/>
              <w:autoSpaceDN w:val="0"/>
              <w:rPr>
                <w:rFonts w:ascii="宋体" w:hAnsi="宋体" w:cs="宋体"/>
                <w:lang w:eastAsia="en-US"/>
              </w:rPr>
            </w:pPr>
            <w:r>
              <w:rPr>
                <w:rFonts w:hint="eastAsia" w:ascii="宋体" w:hAnsi="宋体" w:cs="宋体"/>
                <w:lang w:eastAsia="en-US"/>
              </w:rPr>
              <w:t>4.硬盘：≥256G SSD固态硬盘；</w:t>
            </w:r>
          </w:p>
          <w:p>
            <w:pPr>
              <w:autoSpaceDE w:val="0"/>
              <w:autoSpaceDN w:val="0"/>
              <w:rPr>
                <w:rFonts w:ascii="宋体" w:hAnsi="宋体" w:cs="宋体"/>
                <w:lang w:eastAsia="en-US"/>
              </w:rPr>
            </w:pPr>
            <w:r>
              <w:rPr>
                <w:rFonts w:hint="eastAsia" w:ascii="宋体" w:hAnsi="宋体" w:cs="宋体"/>
                <w:lang w:eastAsia="en-US"/>
              </w:rPr>
              <w:t>5. 传输速率要求：和整机或大屏接连采用万兆级接口，传输速率≥10Gbps；</w:t>
            </w:r>
          </w:p>
          <w:p>
            <w:pPr>
              <w:autoSpaceDE w:val="0"/>
              <w:autoSpaceDN w:val="0"/>
              <w:rPr>
                <w:rFonts w:ascii="宋体" w:hAnsi="宋体" w:cs="宋体"/>
                <w:lang w:eastAsia="en-US"/>
              </w:rPr>
            </w:pPr>
            <w:r>
              <w:rPr>
                <w:rFonts w:hint="eastAsia" w:ascii="宋体" w:hAnsi="宋体" w:cs="宋体"/>
                <w:lang w:eastAsia="en-US"/>
              </w:rPr>
              <w:t>6. 连接接口要求：和整机或大屏连接接口针脚数＜80pin；</w:t>
            </w:r>
          </w:p>
          <w:p>
            <w:pPr>
              <w:autoSpaceDE w:val="0"/>
              <w:autoSpaceDN w:val="0"/>
              <w:rPr>
                <w:rFonts w:hint="eastAsia" w:ascii="宋体" w:hAnsi="宋体" w:eastAsia="宋体" w:cs="宋体"/>
                <w:lang w:eastAsia="zh-CN"/>
              </w:rPr>
            </w:pPr>
            <w:r>
              <w:rPr>
                <w:rFonts w:hint="eastAsia" w:ascii="宋体" w:hAnsi="宋体" w:cs="宋体"/>
                <w:lang w:eastAsia="en-US"/>
              </w:rPr>
              <w:t>7.具有独立非外扩展的电脑USB接口：电脑上至少具备3个USB3.0 TypeA接口</w:t>
            </w:r>
            <w:r>
              <w:rPr>
                <w:rFonts w:hint="eastAsia" w:ascii="宋体" w:hAnsi="宋体" w:cs="宋体"/>
                <w:lang w:eastAsia="zh-CN"/>
              </w:rPr>
              <w:t>。</w:t>
            </w:r>
          </w:p>
        </w:tc>
      </w:tr>
    </w:tbl>
    <w:p>
      <w:pPr>
        <w:pStyle w:val="6"/>
        <w:spacing w:line="360" w:lineRule="auto"/>
        <w:ind w:firstLine="0"/>
        <w:jc w:val="both"/>
        <w:rPr>
          <w:rFonts w:hAnsi="宋体" w:cs="宋体"/>
          <w:u w:val="single"/>
        </w:rPr>
      </w:pPr>
    </w:p>
    <w:p>
      <w:pPr>
        <w:pStyle w:val="6"/>
        <w:spacing w:line="360" w:lineRule="auto"/>
        <w:ind w:firstLine="0"/>
        <w:jc w:val="both"/>
        <w:rPr>
          <w:rFonts w:hAnsi="宋体" w:cs="宋体"/>
          <w:u w:val="single"/>
        </w:rPr>
      </w:pPr>
      <w:r>
        <w:rPr>
          <w:rFonts w:hint="eastAsia" w:hAnsi="宋体" w:cs="宋体"/>
          <w:u w:val="single"/>
        </w:rPr>
        <w:t>本项目中设备要求原厂质保</w:t>
      </w:r>
      <w:r>
        <w:rPr>
          <w:rFonts w:hint="eastAsia" w:hAnsi="宋体" w:cs="宋体"/>
          <w:u w:val="single"/>
          <w:lang w:eastAsia="zh-Hans"/>
        </w:rPr>
        <w:t>三</w:t>
      </w:r>
      <w:r>
        <w:rPr>
          <w:rFonts w:hint="eastAsia" w:hAnsi="宋体" w:cs="宋体"/>
          <w:u w:val="single"/>
        </w:rPr>
        <w:t>年，并提供原厂售后服务承诺函。</w:t>
      </w:r>
    </w:p>
    <w:p>
      <w:pPr>
        <w:pStyle w:val="6"/>
        <w:spacing w:line="360" w:lineRule="auto"/>
        <w:ind w:firstLine="0"/>
        <w:jc w:val="both"/>
        <w:rPr>
          <w:b/>
          <w:u w:val="single"/>
        </w:rPr>
      </w:pPr>
      <w:r>
        <w:rPr>
          <w:rFonts w:hint="eastAsia" w:hAnsi="宋体" w:cs="宋体"/>
          <w:u w:val="single"/>
        </w:rPr>
        <w:t>★提供响应产品（除固态硬盘外）在“京华云采”上对应的网页链接并附含有供应商名称信息的截图。</w:t>
      </w:r>
    </w:p>
    <w:p>
      <w:pPr>
        <w:pStyle w:val="6"/>
        <w:ind w:firstLine="0"/>
        <w:rPr>
          <w:b/>
        </w:rPr>
      </w:pPr>
    </w:p>
    <w:p>
      <w:pPr>
        <w:pStyle w:val="6"/>
        <w:ind w:firstLine="0"/>
        <w:rPr>
          <w:b/>
        </w:rPr>
      </w:pPr>
      <w:r>
        <w:rPr>
          <w:rFonts w:hint="eastAsia"/>
          <w:b/>
        </w:rPr>
        <w:t>二、交付及商务要求</w:t>
      </w:r>
    </w:p>
    <w:p>
      <w:pPr>
        <w:spacing w:line="360" w:lineRule="auto"/>
        <w:rPr>
          <w:rFonts w:ascii="宋体" w:hAnsi="宋体" w:cs="等线"/>
          <w:sz w:val="24"/>
        </w:rPr>
      </w:pPr>
      <w:r>
        <w:rPr>
          <w:rFonts w:hint="eastAsia" w:ascii="宋体" w:hAnsi="宋体" w:cs="等线"/>
          <w:sz w:val="24"/>
        </w:rPr>
        <w:t>1、交货地点：首都师范大学。</w:t>
      </w:r>
    </w:p>
    <w:p>
      <w:pPr>
        <w:spacing w:line="360" w:lineRule="auto"/>
        <w:rPr>
          <w:rFonts w:ascii="宋体" w:hAnsi="宋体" w:cs="等线"/>
          <w:sz w:val="24"/>
        </w:rPr>
      </w:pPr>
      <w:r>
        <w:rPr>
          <w:rFonts w:hint="eastAsia" w:ascii="宋体" w:hAnsi="宋体" w:cs="等线"/>
          <w:sz w:val="24"/>
        </w:rPr>
        <w:t>2、交货时间：合同签订之日起1个月内</w:t>
      </w:r>
    </w:p>
    <w:p>
      <w:pPr>
        <w:spacing w:line="360" w:lineRule="auto"/>
        <w:rPr>
          <w:rFonts w:ascii="宋体" w:hAnsi="宋体" w:cs="等线"/>
          <w:sz w:val="24"/>
        </w:rPr>
      </w:pPr>
      <w:r>
        <w:rPr>
          <w:rFonts w:hint="eastAsia" w:ascii="宋体" w:hAnsi="宋体" w:cs="等线"/>
          <w:sz w:val="24"/>
        </w:rPr>
        <w:t>3、售后服务：</w:t>
      </w:r>
    </w:p>
    <w:p>
      <w:pPr>
        <w:spacing w:line="360" w:lineRule="auto"/>
        <w:rPr>
          <w:rFonts w:ascii="宋体" w:hAnsi="宋体" w:cs="等线"/>
          <w:sz w:val="24"/>
        </w:rPr>
      </w:pPr>
      <w:r>
        <w:rPr>
          <w:rFonts w:hint="eastAsia" w:ascii="宋体" w:hAnsi="宋体" w:cs="等线"/>
          <w:sz w:val="24"/>
        </w:rPr>
        <w:t>（1）质保期：验收合格之日起</w:t>
      </w:r>
      <w:r>
        <w:rPr>
          <w:rFonts w:hint="eastAsia" w:ascii="宋体" w:hAnsi="宋体" w:cs="等线"/>
          <w:sz w:val="24"/>
          <w:lang w:val="en-US" w:eastAsia="zh-CN"/>
        </w:rPr>
        <w:t>3</w:t>
      </w:r>
      <w:r>
        <w:rPr>
          <w:rFonts w:hint="eastAsia" w:ascii="宋体" w:hAnsi="宋体" w:cs="等线"/>
          <w:sz w:val="24"/>
        </w:rPr>
        <w:t>年。</w:t>
      </w:r>
    </w:p>
    <w:p>
      <w:pPr>
        <w:spacing w:line="360" w:lineRule="auto"/>
        <w:rPr>
          <w:rFonts w:ascii="宋体" w:hAnsi="宋体" w:cs="等线"/>
          <w:sz w:val="24"/>
        </w:rPr>
      </w:pPr>
      <w:r>
        <w:rPr>
          <w:rFonts w:hint="eastAsia" w:ascii="宋体" w:hAnsi="宋体" w:cs="等线"/>
          <w:sz w:val="24"/>
        </w:rPr>
        <w:t>（2）服务响应：供应商提供每周7*24小时免费质保服务及技术咨询服务，质保期内免费更换零配件，免上门费，免人工费。接到报障30分钟内电话响应，24小时内现场解决故障；24小时内解决不了的故障，需提供相同级别的备机替用，须确保在24小时内产品正常运行。（注：如硬盘出现故障，需要更换的，故障硬盘仍由校方保留。）</w:t>
      </w:r>
    </w:p>
    <w:p>
      <w:pPr>
        <w:spacing w:line="360" w:lineRule="auto"/>
        <w:rPr>
          <w:rFonts w:ascii="宋体" w:hAnsi="宋体" w:cs="等线"/>
          <w:sz w:val="24"/>
        </w:rPr>
      </w:pPr>
      <w:r>
        <w:rPr>
          <w:rFonts w:hint="eastAsia" w:ascii="宋体" w:hAnsi="宋体" w:cs="等线"/>
          <w:sz w:val="24"/>
        </w:rPr>
        <w:t>（3）培训：对于本项目中所涉及的全部产品，要求提供日常使用、管理方面的培训。</w:t>
      </w:r>
    </w:p>
    <w:p>
      <w:pPr>
        <w:spacing w:line="360" w:lineRule="auto"/>
        <w:rPr>
          <w:rFonts w:ascii="宋体" w:hAnsi="宋体" w:cs="黑体"/>
          <w:sz w:val="24"/>
        </w:rPr>
      </w:pPr>
      <w:r>
        <w:rPr>
          <w:rFonts w:hint="eastAsia" w:ascii="宋体" w:hAnsi="宋体" w:cs="等线"/>
          <w:sz w:val="24"/>
        </w:rPr>
        <w:t>5、验收标准：</w:t>
      </w:r>
      <w:r>
        <w:rPr>
          <w:rFonts w:hint="eastAsia" w:ascii="宋体" w:hAnsi="宋体" w:cs="黑体"/>
          <w:sz w:val="24"/>
        </w:rPr>
        <w:t>全部货物运抵买方指定的现场（合同履行地）并完成安装调试后，买方组织验收，并编制、签署验收文件。验收标准依据比选文件及合同中相关规定。</w:t>
      </w:r>
    </w:p>
    <w:p>
      <w:pPr>
        <w:spacing w:line="360" w:lineRule="auto"/>
        <w:rPr>
          <w:rFonts w:ascii="宋体" w:hAnsi="宋体" w:cs="等线"/>
          <w:sz w:val="24"/>
        </w:rPr>
      </w:pPr>
      <w:r>
        <w:rPr>
          <w:rFonts w:hint="eastAsia" w:ascii="宋体" w:hAnsi="宋体" w:cs="黑体"/>
          <w:sz w:val="24"/>
        </w:rPr>
        <w:t>6、</w:t>
      </w:r>
      <w:r>
        <w:rPr>
          <w:rFonts w:hint="eastAsia" w:ascii="宋体" w:hAnsi="宋体" w:cs="等线"/>
          <w:sz w:val="24"/>
        </w:rPr>
        <w:t>其它要求：响应文件必须全部满足技术规格中商务及参数要求，如响应文件提供资料与实际设备不符，采购人将如实上报本级财政部门并追究供应商虚假应标的责任。</w:t>
      </w:r>
    </w:p>
    <w:p>
      <w:pPr>
        <w:pStyle w:val="2"/>
        <w:ind w:left="0" w:leftChars="0" w:firstLine="0" w:firstLineChars="0"/>
      </w:pPr>
      <w:r>
        <w:rPr>
          <w:rFonts w:hint="eastAsia" w:ascii="宋体" w:hAnsi="宋体" w:cs="等线"/>
          <w:sz w:val="24"/>
        </w:rPr>
        <w:t>7、付款方式：货到验收合格后，一次性支付合同总价的100%。</w:t>
      </w:r>
    </w:p>
    <w:p>
      <w:pPr>
        <w:spacing w:line="240" w:lineRule="auto"/>
        <w:jc w:val="center"/>
        <w:outlineLvl w:val="9"/>
        <w:rPr>
          <w:rFonts w:ascii="宋体" w:hAnsi="宋体"/>
          <w:b/>
          <w:sz w:val="36"/>
          <w:szCs w:val="36"/>
        </w:rPr>
      </w:pPr>
      <w:r>
        <w:rPr>
          <w:rFonts w:ascii="宋体" w:hAnsi="宋体"/>
          <w:b/>
          <w:sz w:val="36"/>
          <w:szCs w:val="36"/>
        </w:rPr>
        <w:br w:type="page"/>
      </w:r>
      <w:bookmarkStart w:id="665" w:name="_Toc10792"/>
      <w:bookmarkStart w:id="666" w:name="_Toc29306"/>
      <w:r>
        <w:rPr>
          <w:rFonts w:ascii="宋体" w:hAnsi="宋体"/>
          <w:b/>
          <w:sz w:val="36"/>
          <w:szCs w:val="36"/>
        </w:rPr>
        <w:t>第</w:t>
      </w:r>
      <w:r>
        <w:rPr>
          <w:rFonts w:hint="eastAsia" w:ascii="宋体" w:hAnsi="宋体"/>
          <w:b/>
          <w:sz w:val="36"/>
          <w:szCs w:val="36"/>
        </w:rPr>
        <w:t>五</w:t>
      </w:r>
      <w:r>
        <w:rPr>
          <w:rFonts w:ascii="宋体" w:hAnsi="宋体"/>
          <w:b/>
          <w:sz w:val="36"/>
          <w:szCs w:val="36"/>
        </w:rPr>
        <w:t xml:space="preserve">章  </w:t>
      </w:r>
      <w:bookmarkEnd w:id="665"/>
      <w:bookmarkEnd w:id="666"/>
      <w:r>
        <w:rPr>
          <w:rFonts w:hint="eastAsia" w:ascii="宋体" w:hAnsi="宋体"/>
          <w:b/>
          <w:sz w:val="36"/>
          <w:szCs w:val="36"/>
        </w:rPr>
        <w:t>拟签订的合同草案</w:t>
      </w:r>
    </w:p>
    <w:p>
      <w:pPr>
        <w:jc w:val="center"/>
        <w:rPr>
          <w:rFonts w:ascii="宋体" w:hAnsi="宋体"/>
        </w:rPr>
      </w:pPr>
      <w:r>
        <w:rPr>
          <w:rFonts w:hint="eastAsia" w:ascii="宋体" w:hAnsi="宋体"/>
        </w:rPr>
        <w:t>（供参考，以实际签订为准）</w:t>
      </w:r>
    </w:p>
    <w:p>
      <w:pPr>
        <w:autoSpaceDE w:val="0"/>
        <w:autoSpaceDN w:val="0"/>
        <w:spacing w:before="120" w:beforeLines="50" w:after="120" w:afterLines="50" w:line="360" w:lineRule="auto"/>
        <w:jc w:val="center"/>
        <w:rPr>
          <w:rFonts w:ascii="Calibri" w:hAnsi="Calibri" w:cs="Calibri"/>
          <w:sz w:val="45"/>
          <w:szCs w:val="22"/>
          <w:lang w:val="zh-CN" w:bidi="zh-CN"/>
        </w:rPr>
      </w:pPr>
      <w:r>
        <w:rPr>
          <w:rFonts w:ascii="Calibri" w:hAnsi="Calibri" w:cs="Calibri"/>
          <w:color w:val="FF0000"/>
          <w:sz w:val="45"/>
          <w:szCs w:val="22"/>
          <w:lang w:val="zh-CN" w:bidi="zh-CN"/>
        </w:rPr>
        <w:t>北京市政府采购电子卖场合同</w:t>
      </w:r>
    </w:p>
    <w:p>
      <w:pPr>
        <w:tabs>
          <w:tab w:val="left" w:pos="4922"/>
          <w:tab w:val="left" w:pos="5771"/>
        </w:tabs>
        <w:autoSpaceDE w:val="0"/>
        <w:autoSpaceDN w:val="0"/>
        <w:spacing w:after="120" w:afterLines="50"/>
        <w:ind w:left="108" w:right="-29"/>
        <w:rPr>
          <w:rFonts w:ascii="Calibri" w:hAnsi="Calibri" w:cs="Calibri"/>
          <w:spacing w:val="15"/>
          <w:sz w:val="24"/>
          <w:szCs w:val="22"/>
          <w:u w:val="single"/>
          <w:lang w:bidi="zh-CN"/>
        </w:rPr>
      </w:pPr>
      <w:r>
        <w:rPr>
          <w:rFonts w:ascii="Calibri" w:hAnsi="Calibri" w:cs="Calibri"/>
          <w:b/>
          <w:spacing w:val="15"/>
          <w:sz w:val="24"/>
          <w:szCs w:val="22"/>
          <w:lang w:bidi="zh-CN"/>
        </w:rPr>
        <w:t>合同编号：</w:t>
      </w:r>
      <w:r>
        <w:rPr>
          <w:rFonts w:ascii="Calibri" w:hAnsi="Calibri" w:cs="Calibri"/>
          <w:color w:val="FF0000"/>
          <w:sz w:val="22"/>
          <w:szCs w:val="22"/>
          <w:lang w:val="zh-CN" w:bidi="zh-CN"/>
        </w:rPr>
        <w:t>&lt;合同号&gt;</w:t>
      </w:r>
      <w:r>
        <w:rPr>
          <w:rFonts w:ascii="Calibri" w:hAnsi="Calibri" w:cs="Calibri"/>
          <w:b/>
          <w:spacing w:val="15"/>
          <w:sz w:val="24"/>
          <w:szCs w:val="22"/>
          <w:lang w:val="zh-CN" w:bidi="zh-CN"/>
        </w:rPr>
        <w:tab/>
      </w:r>
      <w:r>
        <w:rPr>
          <w:rFonts w:ascii="Calibri" w:hAnsi="Calibri" w:cs="Calibri"/>
          <w:b/>
          <w:spacing w:val="15"/>
          <w:sz w:val="24"/>
          <w:szCs w:val="22"/>
          <w:lang w:bidi="zh-CN"/>
        </w:rPr>
        <w:t>合同类型：</w:t>
      </w:r>
      <w:r>
        <w:rPr>
          <w:rFonts w:ascii="Calibri" w:hAnsi="Calibri" w:cs="Calibri"/>
          <w:color w:val="FF0000"/>
          <w:sz w:val="22"/>
          <w:szCs w:val="22"/>
          <w:lang w:val="zh-CN" w:bidi="zh-CN"/>
        </w:rPr>
        <w:t>&lt;合同类型&gt;</w:t>
      </w:r>
    </w:p>
    <w:p>
      <w:pPr>
        <w:tabs>
          <w:tab w:val="left" w:pos="4922"/>
          <w:tab w:val="left" w:pos="5771"/>
        </w:tabs>
        <w:autoSpaceDE w:val="0"/>
        <w:autoSpaceDN w:val="0"/>
        <w:spacing w:after="120" w:afterLines="50"/>
        <w:ind w:left="108" w:right="-29" w:firstLine="35" w:firstLineChars="13"/>
        <w:rPr>
          <w:rFonts w:ascii="Calibri" w:hAnsi="Calibri" w:cs="Calibri"/>
          <w:sz w:val="24"/>
          <w:szCs w:val="22"/>
          <w:u w:val="single"/>
          <w:lang w:bidi="zh-CN"/>
        </w:rPr>
      </w:pPr>
      <w:r>
        <w:rPr>
          <w:rFonts w:ascii="Calibri" w:hAnsi="Calibri" w:cs="Calibri"/>
          <w:b/>
          <w:spacing w:val="15"/>
          <w:sz w:val="24"/>
          <w:szCs w:val="22"/>
          <w:lang w:val="zh-CN" w:bidi="zh-CN"/>
        </w:rPr>
        <w:t>甲方</w:t>
      </w:r>
      <w:r>
        <w:rPr>
          <w:rFonts w:ascii="Calibri" w:hAnsi="Calibri" w:cs="Calibri"/>
          <w:b/>
          <w:sz w:val="24"/>
          <w:szCs w:val="22"/>
          <w:lang w:val="zh-CN" w:bidi="zh-CN"/>
        </w:rPr>
        <w:t>：</w:t>
      </w:r>
      <w:r>
        <w:rPr>
          <w:rFonts w:ascii="Calibri" w:hAnsi="Calibri" w:cs="Calibri"/>
          <w:spacing w:val="15"/>
          <w:sz w:val="24"/>
          <w:szCs w:val="22"/>
          <w:lang w:bidi="zh-CN"/>
        </w:rPr>
        <w:t>首都师范大学</w:t>
      </w:r>
      <w:r>
        <w:rPr>
          <w:rFonts w:ascii="Calibri" w:hAnsi="Calibri" w:cs="Calibri"/>
          <w:sz w:val="24"/>
          <w:szCs w:val="22"/>
          <w:lang w:bidi="zh-CN"/>
        </w:rPr>
        <w:t xml:space="preserve"> </w:t>
      </w:r>
      <w:r>
        <w:rPr>
          <w:rFonts w:ascii="Calibri" w:hAnsi="Calibri" w:cs="Calibri"/>
          <w:sz w:val="24"/>
          <w:szCs w:val="22"/>
          <w:lang w:bidi="zh-CN"/>
        </w:rPr>
        <w:tab/>
      </w:r>
      <w:r>
        <w:rPr>
          <w:rFonts w:ascii="Calibri" w:hAnsi="Calibri" w:cs="Calibri"/>
          <w:b/>
          <w:spacing w:val="15"/>
          <w:sz w:val="24"/>
          <w:szCs w:val="22"/>
          <w:lang w:val="zh-CN" w:bidi="zh-CN"/>
        </w:rPr>
        <w:t>乙方</w:t>
      </w:r>
      <w:r>
        <w:rPr>
          <w:rFonts w:ascii="Calibri" w:hAnsi="Calibri" w:cs="Calibri"/>
          <w:b/>
          <w:sz w:val="24"/>
          <w:szCs w:val="22"/>
          <w:lang w:val="zh-CN" w:bidi="zh-CN"/>
        </w:rPr>
        <w:t>：</w:t>
      </w:r>
      <w:r>
        <w:rPr>
          <w:rFonts w:ascii="Calibri" w:hAnsi="Calibri" w:cs="Calibri"/>
          <w:b/>
          <w:sz w:val="24"/>
          <w:szCs w:val="22"/>
          <w:lang w:val="zh-CN" w:bidi="zh-CN"/>
        </w:rPr>
        <w:tab/>
      </w:r>
      <w:r>
        <w:rPr>
          <w:rFonts w:ascii="Calibri" w:hAnsi="Calibri" w:cs="Calibri"/>
          <w:color w:val="FF0000"/>
          <w:sz w:val="22"/>
          <w:szCs w:val="22"/>
          <w:lang w:val="zh-CN" w:bidi="zh-CN"/>
        </w:rPr>
        <w:t>&lt;对方单位&gt;</w:t>
      </w:r>
    </w:p>
    <w:p>
      <w:pPr>
        <w:autoSpaceDE w:val="0"/>
        <w:autoSpaceDN w:val="0"/>
        <w:spacing w:before="120" w:line="320" w:lineRule="exact"/>
        <w:ind w:right="94" w:firstLine="720"/>
        <w:rPr>
          <w:rFonts w:ascii="Calibri" w:hAnsi="Calibri" w:cs="Calibri"/>
          <w:sz w:val="24"/>
          <w:szCs w:val="22"/>
          <w:lang w:val="zh-CN" w:bidi="zh-CN"/>
        </w:rPr>
      </w:pPr>
      <w:r>
        <w:rPr>
          <w:rFonts w:ascii="Calibri" w:hAnsi="Calibri" w:cs="Calibri"/>
          <w:spacing w:val="-1"/>
          <w:sz w:val="24"/>
          <w:szCs w:val="22"/>
          <w:lang w:val="zh-CN" w:bidi="zh-CN"/>
        </w:rPr>
        <w:t>为了保护各方合法权益，根据《中华人民共和国政府采购法》、《中华人民共和国民法典》等相关法律、法规的规定并严格遵循政府采购电子卖场项目招标文件、中标人的投标文件</w:t>
      </w:r>
      <w:r>
        <w:rPr>
          <w:rFonts w:ascii="Calibri" w:hAnsi="Calibri" w:cs="Calibri"/>
          <w:sz w:val="24"/>
          <w:szCs w:val="22"/>
          <w:lang w:val="zh-CN" w:bidi="zh-CN"/>
        </w:rPr>
        <w:t>等，签订本合同，共同遵守。</w:t>
      </w:r>
    </w:p>
    <w:p>
      <w:pPr>
        <w:autoSpaceDE w:val="0"/>
        <w:autoSpaceDN w:val="0"/>
        <w:spacing w:line="320" w:lineRule="exact"/>
        <w:jc w:val="left"/>
        <w:rPr>
          <w:rFonts w:ascii="Calibri" w:hAnsi="Calibri" w:cs="Calibri"/>
          <w:kern w:val="0"/>
          <w:sz w:val="22"/>
          <w:szCs w:val="22"/>
          <w:lang w:val="zh-CN" w:bidi="zh-CN"/>
        </w:rPr>
      </w:pPr>
      <w:r>
        <w:rPr>
          <w:rFonts w:ascii="Calibri" w:hAnsi="Calibri" w:cs="Calibri"/>
          <w:kern w:val="0"/>
          <w:sz w:val="24"/>
          <w:szCs w:val="22"/>
          <w:lang w:val="zh-CN" w:bidi="zh-CN"/>
        </w:rPr>
        <w:t>第一条 甲方根据实际使用需求，要求乙方提供的货物（以下简称“合同货物”）如下：</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p>
    <w:p>
      <w:pPr>
        <w:autoSpaceDE w:val="0"/>
        <w:autoSpaceDN w:val="0"/>
        <w:spacing w:before="10" w:line="320" w:lineRule="exact"/>
        <w:ind w:right="124"/>
        <w:jc w:val="center"/>
        <w:rPr>
          <w:rFonts w:ascii="Calibri" w:hAnsi="Calibri" w:cs="Calibri"/>
          <w:sz w:val="48"/>
          <w:szCs w:val="22"/>
          <w:lang w:val="zh-CN" w:bidi="zh-CN"/>
        </w:rPr>
      </w:pPr>
      <w:r>
        <w:rPr>
          <w:rFonts w:ascii="Calibri" w:hAnsi="Calibri" w:cs="Calibri"/>
          <w:b/>
          <w:w w:val="105"/>
          <w:sz w:val="32"/>
          <w:szCs w:val="22"/>
          <w:lang w:val="zh-CN" w:bidi="zh-CN"/>
        </w:rPr>
        <w:t>产品信息</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r>
        <w:rPr>
          <w:rFonts w:hint="eastAsia" w:ascii="Calibri" w:hAnsi="Calibri" w:cs="Calibri"/>
          <w:b/>
          <w:sz w:val="24"/>
          <w:szCs w:val="22"/>
          <w:lang w:val="zh-CN" w:bidi="zh-CN"/>
        </w:rPr>
        <w:t>货物名称</w:t>
      </w:r>
      <w:r>
        <w:rPr>
          <w:rFonts w:ascii="Calibri" w:hAnsi="Calibri" w:cs="Calibri"/>
          <w:b/>
          <w:sz w:val="24"/>
          <w:szCs w:val="22"/>
          <w:lang w:val="zh-CN" w:bidi="zh-CN"/>
        </w:rPr>
        <w:tab/>
      </w:r>
      <w:r>
        <w:rPr>
          <w:rFonts w:ascii="Calibri" w:hAnsi="Calibri" w:cs="Calibri"/>
          <w:b/>
          <w:sz w:val="24"/>
          <w:szCs w:val="22"/>
          <w:lang w:val="zh-CN" w:bidi="zh-CN"/>
        </w:rPr>
        <w:t>品牌</w:t>
      </w:r>
      <w:r>
        <w:rPr>
          <w:rFonts w:ascii="Calibri" w:hAnsi="Calibri" w:cs="Calibri"/>
          <w:b/>
          <w:sz w:val="24"/>
          <w:szCs w:val="22"/>
          <w:lang w:val="zh-CN" w:bidi="zh-CN"/>
        </w:rPr>
        <w:tab/>
      </w:r>
      <w:r>
        <w:rPr>
          <w:rFonts w:ascii="Calibri" w:hAnsi="Calibri" w:cs="Calibri"/>
          <w:b/>
          <w:sz w:val="24"/>
          <w:szCs w:val="22"/>
          <w:lang w:val="zh-CN" w:bidi="zh-CN"/>
        </w:rPr>
        <w:t>型号</w:t>
      </w:r>
      <w:r>
        <w:rPr>
          <w:rFonts w:ascii="Calibri" w:hAnsi="Calibri" w:cs="Calibri"/>
          <w:b/>
          <w:sz w:val="24"/>
          <w:szCs w:val="22"/>
          <w:lang w:val="zh-CN" w:bidi="zh-CN"/>
        </w:rPr>
        <w:tab/>
      </w:r>
      <w:r>
        <w:rPr>
          <w:rFonts w:ascii="Calibri" w:hAnsi="Calibri" w:cs="Calibri"/>
          <w:b/>
          <w:sz w:val="24"/>
          <w:szCs w:val="22"/>
          <w:lang w:val="zh-CN" w:bidi="zh-CN"/>
        </w:rPr>
        <w:t>技术规格和主要配置</w:t>
      </w:r>
      <w:r>
        <w:rPr>
          <w:rFonts w:hint="eastAsia" w:ascii="Calibri" w:hAnsi="Calibri" w:cs="Calibri"/>
          <w:b/>
          <w:sz w:val="24"/>
          <w:szCs w:val="22"/>
          <w:lang w:bidi="zh-CN"/>
        </w:rPr>
        <w:t xml:space="preserve"> </w:t>
      </w:r>
      <w:r>
        <w:rPr>
          <w:rFonts w:ascii="Calibri" w:hAnsi="Calibri" w:cs="Calibri"/>
          <w:b/>
          <w:sz w:val="24"/>
          <w:szCs w:val="22"/>
          <w:lang w:val="zh-CN" w:bidi="zh-CN"/>
        </w:rPr>
        <w:t>成交单价（元）数量</w:t>
      </w:r>
      <w:r>
        <w:rPr>
          <w:rFonts w:hint="eastAsia" w:ascii="Calibri" w:hAnsi="Calibri" w:cs="Calibri"/>
          <w:b/>
          <w:sz w:val="24"/>
          <w:szCs w:val="22"/>
          <w:lang w:bidi="zh-CN"/>
        </w:rPr>
        <w:t xml:space="preserve"> </w:t>
      </w:r>
      <w:r>
        <w:rPr>
          <w:rFonts w:ascii="Calibri" w:hAnsi="Calibri" w:cs="Calibri"/>
          <w:b/>
          <w:sz w:val="24"/>
          <w:szCs w:val="22"/>
          <w:lang w:val="zh-CN" w:bidi="zh-CN"/>
        </w:rPr>
        <w:t>成交价总计</w:t>
      </w:r>
    </w:p>
    <w:p>
      <w:pPr>
        <w:autoSpaceDE w:val="0"/>
        <w:autoSpaceDN w:val="0"/>
        <w:spacing w:before="10" w:line="320" w:lineRule="exact"/>
        <w:ind w:right="124"/>
        <w:jc w:val="right"/>
        <w:rPr>
          <w:rFonts w:ascii="Calibri" w:hAnsi="Calibri" w:cs="Calibri"/>
          <w:b/>
          <w:sz w:val="24"/>
          <w:szCs w:val="22"/>
          <w:lang w:val="zh-CN" w:bidi="zh-CN"/>
        </w:rPr>
      </w:pPr>
      <w:r>
        <w:rPr>
          <w:rFonts w:hint="eastAsia" w:ascii="Calibri" w:hAnsi="Calibri" w:cs="Calibri"/>
          <w:b/>
          <w:sz w:val="24"/>
          <w:szCs w:val="22"/>
          <w:lang w:val="zh-CN" w:bidi="zh-CN"/>
        </w:rPr>
        <w:t>（人民币元）</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p>
    <w:p>
      <w:pPr>
        <w:autoSpaceDE w:val="0"/>
        <w:autoSpaceDN w:val="0"/>
        <w:spacing w:before="10" w:line="320" w:lineRule="exact"/>
        <w:ind w:right="124"/>
        <w:jc w:val="center"/>
        <w:rPr>
          <w:rFonts w:ascii="Calibri" w:hAnsi="Calibri" w:cs="Calibri"/>
          <w:sz w:val="24"/>
          <w:szCs w:val="22"/>
          <w:lang w:val="zh-CN" w:bidi="zh-CN"/>
        </w:rPr>
      </w:pPr>
      <w:r>
        <w:rPr>
          <w:rFonts w:ascii="Calibri" w:hAnsi="Calibri" w:cs="Calibri"/>
          <w:sz w:val="19"/>
          <w:szCs w:val="22"/>
          <w:lang w:val="zh-CN" w:bidi="zh-CN"/>
        </w:rPr>
        <w:t>【</w:t>
      </w:r>
      <w:r>
        <w:rPr>
          <w:rFonts w:ascii="Calibri" w:hAnsi="Calibri" w:cs="Calibri"/>
          <w:sz w:val="19"/>
          <w:szCs w:val="22"/>
          <w:lang w:bidi="zh-CN"/>
        </w:rPr>
        <w:t>详见</w:t>
      </w:r>
      <w:r>
        <w:rPr>
          <w:rFonts w:ascii="Calibri" w:hAnsi="Calibri" w:cs="Calibri"/>
          <w:color w:val="FF0000"/>
          <w:sz w:val="22"/>
          <w:szCs w:val="22"/>
          <w:lang w:val="zh-CN" w:bidi="zh-CN"/>
        </w:rPr>
        <w:t>&lt;合同名称&gt;</w:t>
      </w:r>
      <w:r>
        <w:rPr>
          <w:rFonts w:ascii="Calibri" w:hAnsi="Calibri" w:cs="Calibri"/>
          <w:sz w:val="19"/>
          <w:szCs w:val="22"/>
          <w:lang w:val="zh-CN" w:bidi="zh-CN"/>
        </w:rPr>
        <w:t>】</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p>
    <w:p>
      <w:pPr>
        <w:autoSpaceDE w:val="0"/>
        <w:autoSpaceDN w:val="0"/>
        <w:spacing w:before="10" w:line="320" w:lineRule="exact"/>
        <w:ind w:right="124"/>
        <w:rPr>
          <w:rFonts w:ascii="Calibri" w:hAnsi="Calibri" w:cs="Calibri"/>
          <w:sz w:val="24"/>
          <w:szCs w:val="22"/>
          <w:lang w:val="zh-CN" w:bidi="zh-CN"/>
        </w:rPr>
      </w:pPr>
      <w:r>
        <w:rPr>
          <w:rFonts w:hint="eastAsia" w:ascii="Calibri" w:hAnsi="Calibri" w:cs="Calibri"/>
          <w:b/>
          <w:sz w:val="24"/>
          <w:szCs w:val="22"/>
          <w:lang w:val="zh-CN" w:bidi="zh-CN"/>
        </w:rPr>
        <w:t>合计</w:t>
      </w:r>
      <w:r>
        <w:rPr>
          <w:rFonts w:ascii="Calibri" w:hAnsi="Calibri" w:cs="Calibri"/>
          <w:b/>
          <w:sz w:val="24"/>
          <w:szCs w:val="22"/>
          <w:lang w:val="zh-CN" w:bidi="zh-CN"/>
        </w:rPr>
        <w:tab/>
      </w:r>
      <w:r>
        <w:rPr>
          <w:rFonts w:ascii="Calibri" w:hAnsi="Calibri" w:cs="Calibri"/>
          <w:b/>
          <w:sz w:val="24"/>
          <w:szCs w:val="22"/>
          <w:lang w:val="zh-CN" w:bidi="zh-CN"/>
        </w:rPr>
        <w:t>大写金额：</w:t>
      </w:r>
      <w:r>
        <w:rPr>
          <w:rFonts w:ascii="Calibri" w:hAnsi="Calibri" w:cs="Calibri"/>
          <w:color w:val="FF0000"/>
          <w:sz w:val="24"/>
          <w:szCs w:val="22"/>
          <w:lang w:val="zh-CN" w:bidi="zh-CN"/>
        </w:rPr>
        <w:t>&lt;合同金额大写&gt;</w:t>
      </w:r>
      <w:r>
        <w:rPr>
          <w:rFonts w:ascii="Calibri" w:hAnsi="Calibri" w:cs="Calibri"/>
          <w:sz w:val="24"/>
          <w:szCs w:val="22"/>
          <w:lang w:val="zh-CN" w:bidi="zh-CN"/>
        </w:rPr>
        <w:t>元整</w:t>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ab/>
      </w:r>
      <w:r>
        <w:rPr>
          <w:rFonts w:ascii="Calibri" w:hAnsi="Calibri" w:cs="Calibri"/>
          <w:sz w:val="24"/>
          <w:szCs w:val="22"/>
          <w:lang w:val="zh-CN" w:bidi="zh-CN"/>
        </w:rPr>
        <w:t>¥</w:t>
      </w:r>
      <w:r>
        <w:rPr>
          <w:rFonts w:ascii="Calibri" w:hAnsi="Calibri" w:cs="Calibri"/>
          <w:color w:val="FF0000"/>
          <w:sz w:val="24"/>
          <w:szCs w:val="22"/>
          <w:lang w:val="zh-CN" w:bidi="zh-CN"/>
        </w:rPr>
        <w:t>&lt;合同金额&gt;</w:t>
      </w:r>
      <w:r>
        <w:rPr>
          <w:rFonts w:ascii="Calibri" w:hAnsi="Calibri" w:cs="Calibri"/>
          <w:sz w:val="24"/>
          <w:szCs w:val="22"/>
          <w:lang w:val="zh-CN" w:bidi="zh-CN"/>
        </w:rPr>
        <w:t>元</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p>
    <w:p>
      <w:pPr>
        <w:autoSpaceDE w:val="0"/>
        <w:autoSpaceDN w:val="0"/>
        <w:spacing w:before="10" w:line="320" w:lineRule="exact"/>
        <w:ind w:right="124"/>
        <w:rPr>
          <w:rFonts w:ascii="Calibri" w:hAnsi="Calibri" w:cs="Calibri"/>
          <w:color w:val="FF0000"/>
          <w:sz w:val="24"/>
          <w:szCs w:val="22"/>
          <w:lang w:val="zh-CN" w:bidi="zh-CN"/>
        </w:rPr>
      </w:pPr>
      <w:r>
        <w:rPr>
          <w:rFonts w:hint="eastAsia" w:ascii="Calibri" w:hAnsi="Calibri" w:cs="Calibri"/>
          <w:b/>
          <w:sz w:val="24"/>
          <w:szCs w:val="22"/>
          <w:lang w:val="zh-CN" w:bidi="zh-CN"/>
        </w:rPr>
        <w:t>备注</w:t>
      </w:r>
      <w:r>
        <w:rPr>
          <w:rFonts w:ascii="Calibri" w:hAnsi="Calibri" w:cs="Calibri"/>
          <w:sz w:val="24"/>
          <w:szCs w:val="22"/>
          <w:lang w:val="zh-CN" w:bidi="zh-CN"/>
        </w:rPr>
        <w:tab/>
      </w:r>
      <w:r>
        <w:rPr>
          <w:rFonts w:ascii="Calibri" w:hAnsi="Calibri" w:cs="Calibri"/>
          <w:color w:val="FF0000"/>
          <w:sz w:val="24"/>
          <w:szCs w:val="22"/>
          <w:lang w:val="zh-CN" w:bidi="zh-CN"/>
        </w:rPr>
        <w:t>&lt;备注&gt;</w:t>
      </w:r>
    </w:p>
    <w:p>
      <w:pPr>
        <w:autoSpaceDE w:val="0"/>
        <w:autoSpaceDN w:val="0"/>
        <w:spacing w:before="10" w:line="320" w:lineRule="exact"/>
        <w:ind w:right="124"/>
        <w:rPr>
          <w:rFonts w:ascii="Calibri" w:hAnsi="Calibri" w:cs="Calibri"/>
          <w:b/>
          <w:sz w:val="24"/>
          <w:szCs w:val="22"/>
          <w:lang w:val="zh-CN" w:bidi="zh-CN"/>
        </w:rPr>
      </w:pPr>
      <w:r>
        <w:rPr>
          <w:rFonts w:hint="eastAsia" w:ascii="Calibri" w:hAnsi="Calibri" w:cs="Calibri"/>
          <w:b/>
          <w:sz w:val="24"/>
          <w:szCs w:val="22"/>
          <w:lang w:val="zh-CN" w:bidi="zh-CN"/>
        </w:rPr>
        <w:t>-</w:t>
      </w:r>
      <w:r>
        <w:rPr>
          <w:rFonts w:ascii="Calibri" w:hAnsi="Calibri" w:cs="Calibri"/>
          <w:b/>
          <w:sz w:val="24"/>
          <w:szCs w:val="22"/>
          <w:lang w:val="zh-CN" w:bidi="zh-CN"/>
        </w:rPr>
        <w:t>--------------------------------------------------------------------------------------------------------------------------------------------------</w:t>
      </w:r>
    </w:p>
    <w:p>
      <w:pPr>
        <w:autoSpaceDE w:val="0"/>
        <w:autoSpaceDN w:val="0"/>
        <w:spacing w:line="320" w:lineRule="exact"/>
        <w:jc w:val="left"/>
        <w:rPr>
          <w:rFonts w:ascii="Calibri" w:hAnsi="Calibri" w:cs="Calibri"/>
          <w:kern w:val="0"/>
          <w:sz w:val="24"/>
          <w:szCs w:val="22"/>
          <w:lang w:val="zh-CN" w:bidi="zh-CN"/>
        </w:rPr>
      </w:pPr>
      <w:r>
        <w:rPr>
          <w:rFonts w:ascii="Calibri" w:hAnsi="Calibri" w:cs="Calibri"/>
          <w:kern w:val="0"/>
          <w:sz w:val="24"/>
          <w:szCs w:val="22"/>
          <w:lang w:val="zh-CN" w:bidi="zh-CN"/>
        </w:rPr>
        <w:t>第二条 交付与验收</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1．“合同货物”的交付地点为</w:t>
      </w:r>
      <w:r>
        <w:rPr>
          <w:rFonts w:ascii="Calibri" w:hAnsi="Calibri" w:cs="Calibri"/>
          <w:spacing w:val="10"/>
          <w:sz w:val="24"/>
          <w:szCs w:val="22"/>
          <w:lang w:bidi="zh-CN"/>
        </w:rPr>
        <w:t xml:space="preserve"> </w:t>
      </w:r>
      <w:r>
        <w:rPr>
          <w:rFonts w:ascii="Calibri" w:hAnsi="Calibri" w:cs="Calibri"/>
          <w:spacing w:val="10"/>
          <w:sz w:val="24"/>
          <w:szCs w:val="22"/>
          <w:u w:val="single"/>
          <w:lang w:bidi="zh-CN"/>
        </w:rPr>
        <w:t>首都师范大学</w:t>
      </w:r>
      <w:r>
        <w:rPr>
          <w:rFonts w:ascii="Calibri" w:hAnsi="Calibri" w:cs="Calibri"/>
          <w:spacing w:val="10"/>
          <w:sz w:val="24"/>
          <w:szCs w:val="22"/>
          <w:lang w:val="zh-CN" w:bidi="zh-CN"/>
        </w:rPr>
        <w:t>。</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2．“合同货物”的</w:t>
      </w:r>
      <w:r>
        <w:rPr>
          <w:rFonts w:hint="eastAsia" w:ascii="Calibri" w:hAnsi="Calibri" w:cs="Calibri"/>
          <w:spacing w:val="10"/>
          <w:sz w:val="24"/>
          <w:szCs w:val="22"/>
          <w:lang w:bidi="zh-CN"/>
        </w:rPr>
        <w:t>摘要、用户联系人和</w:t>
      </w:r>
      <w:r>
        <w:rPr>
          <w:rFonts w:ascii="Calibri" w:hAnsi="Calibri" w:cs="Calibri"/>
          <w:spacing w:val="10"/>
          <w:sz w:val="24"/>
          <w:szCs w:val="22"/>
          <w:lang w:val="zh-CN" w:bidi="zh-CN"/>
        </w:rPr>
        <w:t>交付时间</w:t>
      </w:r>
      <w:r>
        <w:rPr>
          <w:rFonts w:ascii="Calibri" w:hAnsi="Calibri" w:cs="Calibri"/>
          <w:spacing w:val="10"/>
          <w:sz w:val="24"/>
          <w:szCs w:val="22"/>
          <w:lang w:bidi="zh-CN"/>
        </w:rPr>
        <w:t>见“备注”</w:t>
      </w:r>
      <w:r>
        <w:rPr>
          <w:rFonts w:ascii="Calibri" w:hAnsi="Calibri" w:cs="Calibri"/>
          <w:spacing w:val="10"/>
          <w:sz w:val="24"/>
          <w:szCs w:val="22"/>
          <w:lang w:val="zh-CN" w:bidi="zh-CN"/>
        </w:rPr>
        <w:t>。</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3．甲方应在交货时对所供“合同货物”的质量、规格、性能和数量等进行详细而全面的检验，但不被视为最终检验。</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 xml:space="preserve">4．甲方在验收时对“合同货物”的型号、颜色和外观等有异议，或对“合同货物”的性能进行测试后，就质量、技术性能等方面的问题可要求乙方免费换货。 </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5、交货验收后，甲方在任何时间发现货物存在假冒伪劣、以次充好或者质量不符合国家标准、合同要求等情况的，均有权要求乙方更换货物或者退货，并有权要求乙方赔偿所有的经济损失。</w:t>
      </w:r>
    </w:p>
    <w:p>
      <w:pPr>
        <w:autoSpaceDE w:val="0"/>
        <w:autoSpaceDN w:val="0"/>
        <w:spacing w:before="22" w:line="320" w:lineRule="exact"/>
        <w:rPr>
          <w:rFonts w:ascii="Calibri" w:hAnsi="Calibri" w:cs="Calibri"/>
          <w:spacing w:val="10"/>
          <w:sz w:val="24"/>
          <w:szCs w:val="22"/>
          <w:lang w:val="zh-CN" w:bidi="zh-CN"/>
        </w:rPr>
      </w:pPr>
      <w:r>
        <w:rPr>
          <w:rFonts w:ascii="Calibri" w:hAnsi="Calibri" w:cs="Calibri"/>
          <w:spacing w:val="10"/>
          <w:sz w:val="24"/>
          <w:szCs w:val="22"/>
          <w:lang w:val="zh-CN" w:bidi="zh-CN"/>
        </w:rPr>
        <w:t>第三条 质量标准及售后服务</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2．乙方在接到甲方报修电话或通知后，应及时消除故障，如不能消除故障的必须在甲方指定的时间内提供同型号备用产品。</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3．乙方应定期进行服务质量的现场检查及电话回访。</w:t>
      </w:r>
    </w:p>
    <w:p>
      <w:pPr>
        <w:autoSpaceDE w:val="0"/>
        <w:autoSpaceDN w:val="0"/>
        <w:spacing w:before="22" w:line="320" w:lineRule="exact"/>
        <w:ind w:firstLine="720"/>
        <w:rPr>
          <w:rFonts w:ascii="Calibri" w:hAnsi="Calibri" w:cs="Calibri"/>
          <w:spacing w:val="10"/>
          <w:sz w:val="24"/>
          <w:szCs w:val="22"/>
          <w:lang w:val="zh-CN" w:bidi="zh-CN"/>
        </w:rPr>
      </w:pPr>
      <w:r>
        <w:rPr>
          <w:rFonts w:ascii="Calibri" w:hAnsi="Calibri" w:cs="Calibri"/>
          <w:spacing w:val="10"/>
          <w:sz w:val="24"/>
          <w:szCs w:val="22"/>
          <w:lang w:val="zh-CN" w:bidi="zh-CN"/>
        </w:rPr>
        <w:t>4．乙方应满足甲方提出与所提供的“合同货物”相关且经双方同意的其它要求。</w:t>
      </w:r>
    </w:p>
    <w:p>
      <w:pPr>
        <w:autoSpaceDE w:val="0"/>
        <w:autoSpaceDN w:val="0"/>
        <w:spacing w:before="22" w:line="320" w:lineRule="exact"/>
        <w:ind w:firstLine="780" w:firstLineChars="300"/>
        <w:rPr>
          <w:rFonts w:ascii="Calibri" w:hAnsi="Calibri" w:cs="Calibri"/>
          <w:sz w:val="24"/>
          <w:lang w:val="zh-CN" w:bidi="zh-CN"/>
        </w:rPr>
      </w:pPr>
      <w:r>
        <w:rPr>
          <w:rFonts w:ascii="Calibri" w:hAnsi="Calibri" w:cs="Calibri"/>
          <w:spacing w:val="10"/>
          <w:sz w:val="24"/>
          <w:szCs w:val="22"/>
          <w:lang w:val="zh-CN" w:bidi="zh-CN"/>
        </w:rPr>
        <w:t>5．乙方除满足中标商承诺的标准服务外，还应提供投标时承诺的特色服务。</w:t>
      </w:r>
    </w:p>
    <w:p>
      <w:pPr>
        <w:autoSpaceDE w:val="0"/>
        <w:autoSpaceDN w:val="0"/>
        <w:spacing w:before="88" w:line="320" w:lineRule="exact"/>
        <w:ind w:left="3241" w:right="293" w:hanging="3062"/>
        <w:rPr>
          <w:rFonts w:ascii="Calibri" w:hAnsi="Calibri" w:cs="Calibri"/>
          <w:spacing w:val="2"/>
          <w:sz w:val="24"/>
          <w:lang w:val="zh-CN" w:bidi="zh-CN"/>
        </w:rPr>
      </w:pPr>
      <w:r>
        <w:rPr>
          <w:rFonts w:ascii="Calibri" w:hAnsi="Calibri" w:cs="Calibri"/>
          <w:spacing w:val="15"/>
          <w:position w:val="3"/>
          <w:sz w:val="24"/>
          <w:lang w:val="zh-CN" w:bidi="zh-CN"/>
        </w:rPr>
        <w:t>第四条</w:t>
      </w:r>
      <w:r>
        <w:rPr>
          <w:rFonts w:ascii="Calibri" w:hAnsi="Calibri" w:cs="Calibri"/>
          <w:spacing w:val="2"/>
          <w:sz w:val="24"/>
          <w:lang w:val="zh-CN" w:bidi="zh-CN"/>
        </w:rPr>
        <w:t>付款方式</w:t>
      </w:r>
    </w:p>
    <w:p>
      <w:pPr>
        <w:autoSpaceDE w:val="0"/>
        <w:autoSpaceDN w:val="0"/>
        <w:spacing w:before="88" w:line="320" w:lineRule="exact"/>
        <w:ind w:left="3241" w:right="293" w:hanging="2521"/>
        <w:rPr>
          <w:rFonts w:ascii="Calibri" w:hAnsi="Calibri" w:cs="Calibri"/>
          <w:sz w:val="24"/>
          <w:lang w:val="zh-CN" w:bidi="zh-CN"/>
        </w:rPr>
      </w:pPr>
      <w:r>
        <w:rPr>
          <w:rFonts w:ascii="Calibri" w:hAnsi="Calibri" w:cs="Calibri"/>
          <w:spacing w:val="2"/>
          <w:sz w:val="24"/>
          <w:lang w:val="zh-CN" w:bidi="zh-CN"/>
        </w:rPr>
        <w:t>结算方式：按照北京市各级财政部门的相关规定执行。</w:t>
      </w:r>
    </w:p>
    <w:p>
      <w:pPr>
        <w:autoSpaceDE w:val="0"/>
        <w:autoSpaceDN w:val="0"/>
        <w:spacing w:before="60" w:line="320" w:lineRule="exact"/>
        <w:ind w:left="180"/>
        <w:rPr>
          <w:rFonts w:ascii="Calibri" w:hAnsi="Calibri" w:cs="Calibri"/>
          <w:sz w:val="24"/>
          <w:lang w:val="zh-CN" w:bidi="zh-CN"/>
        </w:rPr>
      </w:pPr>
      <w:r>
        <w:rPr>
          <w:rFonts w:ascii="Calibri" w:hAnsi="Calibri" w:cs="Calibri"/>
          <w:sz w:val="24"/>
          <w:lang w:val="zh-CN" w:bidi="zh-CN"/>
        </w:rPr>
        <w:t>第五条 乙方责任</w:t>
      </w:r>
    </w:p>
    <w:p>
      <w:pPr>
        <w:autoSpaceDE w:val="0"/>
        <w:autoSpaceDN w:val="0"/>
        <w:spacing w:line="320" w:lineRule="exact"/>
        <w:ind w:firstLine="720"/>
        <w:rPr>
          <w:rFonts w:ascii="Calibri" w:hAnsi="Calibri" w:cs="Calibri"/>
          <w:sz w:val="24"/>
          <w:lang w:val="zh-CN" w:bidi="zh-CN"/>
        </w:rPr>
      </w:pPr>
      <w:r>
        <w:rPr>
          <w:rFonts w:ascii="Calibri" w:hAnsi="Calibri" w:cs="Calibri"/>
          <w:sz w:val="24"/>
          <w:lang w:val="zh-CN" w:bidi="zh-CN"/>
        </w:rPr>
        <w:t>1．乙方应按照合同所列货物品目、品牌、规格、型号和数量等具体内容向甲方供货。乙方必须保证按照合同的约定负责为甲方免费上门安装、调试至正常使用，遇有特殊情况，以甲乙双方商定的供货时间为准。</w:t>
      </w:r>
    </w:p>
    <w:p>
      <w:pPr>
        <w:autoSpaceDE w:val="0"/>
        <w:autoSpaceDN w:val="0"/>
        <w:spacing w:line="320" w:lineRule="exact"/>
        <w:ind w:left="375" w:firstLine="345"/>
        <w:rPr>
          <w:rFonts w:ascii="Calibri" w:hAnsi="Calibri" w:cs="Calibri"/>
          <w:sz w:val="24"/>
          <w:lang w:val="zh-CN" w:bidi="zh-CN"/>
        </w:rPr>
      </w:pPr>
      <w:r>
        <w:rPr>
          <w:rFonts w:ascii="Calibri" w:hAnsi="Calibri" w:cs="Calibri"/>
          <w:sz w:val="24"/>
          <w:lang w:val="zh-CN" w:bidi="zh-CN"/>
        </w:rPr>
        <w:t>2．乙方在接到甲方停止供货的通知后未停止供货的，造成的损失由乙方承担。</w:t>
      </w:r>
    </w:p>
    <w:p>
      <w:pPr>
        <w:autoSpaceDE w:val="0"/>
        <w:autoSpaceDN w:val="0"/>
        <w:spacing w:line="320" w:lineRule="exact"/>
        <w:ind w:firstLine="720"/>
        <w:rPr>
          <w:rFonts w:ascii="Calibri" w:hAnsi="Calibri" w:cs="Calibri"/>
          <w:sz w:val="24"/>
          <w:lang w:val="zh-CN" w:bidi="zh-CN"/>
        </w:rPr>
      </w:pPr>
      <w:r>
        <w:rPr>
          <w:rFonts w:ascii="Calibri" w:hAnsi="Calibri" w:cs="Calibri"/>
          <w:sz w:val="24"/>
          <w:lang w:val="zh-CN" w:bidi="zh-CN"/>
        </w:rPr>
        <w:t>3．乙方向甲方供货过程中发生的相关费用，包括运输费、装卸费、安装费、调试费、验收费及与“合同货物”有关的费用均由乙方负担。</w:t>
      </w:r>
    </w:p>
    <w:p>
      <w:pPr>
        <w:autoSpaceDE w:val="0"/>
        <w:autoSpaceDN w:val="0"/>
        <w:spacing w:before="60" w:line="320" w:lineRule="exact"/>
        <w:ind w:left="180"/>
        <w:rPr>
          <w:rFonts w:ascii="Calibri" w:hAnsi="Calibri" w:cs="Calibri"/>
          <w:sz w:val="24"/>
          <w:lang w:val="zh-CN" w:bidi="zh-CN"/>
        </w:rPr>
      </w:pPr>
      <w:r>
        <w:rPr>
          <w:rFonts w:ascii="Calibri" w:hAnsi="Calibri" w:cs="Calibri"/>
          <w:sz w:val="24"/>
          <w:lang w:val="zh-CN" w:bidi="zh-CN"/>
        </w:rPr>
        <w:t>第六条 违约责任：</w:t>
      </w:r>
    </w:p>
    <w:p>
      <w:pPr>
        <w:autoSpaceDE w:val="0"/>
        <w:autoSpaceDN w:val="0"/>
        <w:spacing w:before="28" w:line="320" w:lineRule="exact"/>
        <w:ind w:left="1125" w:right="248" w:hanging="416"/>
        <w:rPr>
          <w:rFonts w:ascii="Calibri" w:hAnsi="Calibri" w:cs="Calibri"/>
          <w:sz w:val="24"/>
          <w:lang w:val="zh-CN" w:bidi="zh-CN"/>
        </w:rPr>
      </w:pPr>
      <w:r>
        <w:rPr>
          <w:rFonts w:ascii="Calibri" w:hAnsi="Calibri" w:cs="Calibri"/>
          <w:sz w:val="24"/>
          <w:lang w:val="zh-CN" w:bidi="zh-CN"/>
        </w:rPr>
        <w:t>1．乙方未能按合同约定交货及提供服务，甲方可以从货款中扣除违约赔偿费，赔偿费应按每迟交一日，按迟交货物或未提供服务交货价的2%计收。但违约赔偿费的最高限额为迟交货物或没有提供服务的合同价的20%。如果乙方在达到最高限额后仍未交付货物，甲方可向乙方发出通知，解除合同，并要求乙方赔偿全部的经济损失。</w:t>
      </w:r>
    </w:p>
    <w:p>
      <w:pPr>
        <w:autoSpaceDE w:val="0"/>
        <w:autoSpaceDN w:val="0"/>
        <w:spacing w:before="28" w:line="320" w:lineRule="exact"/>
        <w:ind w:left="1125" w:right="248" w:hanging="416"/>
        <w:rPr>
          <w:rFonts w:ascii="Calibri" w:hAnsi="Calibri" w:cs="Calibri"/>
          <w:sz w:val="24"/>
          <w:lang w:val="zh-CN" w:bidi="zh-CN"/>
        </w:rPr>
      </w:pPr>
      <w:r>
        <w:rPr>
          <w:rFonts w:ascii="Calibri" w:hAnsi="Calibri" w:cs="Calibri"/>
          <w:sz w:val="24"/>
          <w:lang w:val="zh-CN" w:bidi="zh-CN"/>
        </w:rPr>
        <w:t>2．乙方交付的货物质量不合格的，应当在收到甲方通知后及时更换，经更换后仍不能满足甲方需求的，甲方有权解除本合同，并要求乙方承担合同金额20%的违约金并赔偿甲方全部的经济损失。</w:t>
      </w:r>
    </w:p>
    <w:p>
      <w:pPr>
        <w:autoSpaceDE w:val="0"/>
        <w:autoSpaceDN w:val="0"/>
        <w:spacing w:before="28" w:line="320" w:lineRule="exact"/>
        <w:ind w:left="1125" w:right="248" w:hanging="416"/>
        <w:rPr>
          <w:rFonts w:ascii="Calibri" w:hAnsi="Calibri" w:cs="Calibri"/>
          <w:sz w:val="24"/>
          <w:lang w:val="zh-CN" w:bidi="zh-CN"/>
        </w:rPr>
      </w:pPr>
      <w:r>
        <w:rPr>
          <w:rFonts w:ascii="Calibri" w:hAnsi="Calibri" w:cs="Calibri"/>
          <w:sz w:val="24"/>
          <w:lang w:val="zh-CN" w:bidi="zh-CN"/>
        </w:rPr>
        <w:t>3．如果乙方未能履行合同规定的义务，甲方可向乙方发出书面通知，部分或全部解除合同，并要求乙方赔偿给甲方造成的全部经济损失。</w:t>
      </w:r>
    </w:p>
    <w:p>
      <w:pPr>
        <w:autoSpaceDE w:val="0"/>
        <w:autoSpaceDN w:val="0"/>
        <w:spacing w:before="88" w:line="320" w:lineRule="exact"/>
        <w:ind w:left="690" w:right="203" w:hanging="511"/>
        <w:rPr>
          <w:rFonts w:ascii="Calibri" w:hAnsi="Calibri" w:cs="Calibri"/>
          <w:sz w:val="24"/>
          <w:lang w:val="zh-CN" w:bidi="zh-CN"/>
        </w:rPr>
      </w:pPr>
      <w:r>
        <w:rPr>
          <w:rFonts w:ascii="Calibri" w:hAnsi="Calibri" w:cs="Calibri"/>
          <w:sz w:val="24"/>
          <w:lang w:val="zh-CN" w:bidi="zh-CN"/>
        </w:rPr>
        <w:t>第七条 乙方同意并保证尊重任何他方的知识产权及其它合法权益，承诺其所提供的产品或服务均不得侵犯第三方知识产权及其它合法权益，否则所引起的全部责任均应当由乙方承担。</w:t>
      </w:r>
    </w:p>
    <w:p>
      <w:pPr>
        <w:autoSpaceDE w:val="0"/>
        <w:autoSpaceDN w:val="0"/>
        <w:spacing w:before="88" w:line="320" w:lineRule="exact"/>
        <w:ind w:left="690" w:right="203" w:hanging="511"/>
        <w:rPr>
          <w:rFonts w:ascii="Calibri" w:hAnsi="Calibri" w:cs="Calibri"/>
          <w:sz w:val="24"/>
          <w:lang w:val="zh-CN" w:bidi="zh-CN"/>
        </w:rPr>
      </w:pPr>
      <w:r>
        <w:rPr>
          <w:rFonts w:ascii="Calibri" w:hAnsi="Calibri" w:cs="Calibri"/>
          <w:sz w:val="24"/>
          <w:lang w:val="zh-CN" w:bidi="zh-CN"/>
        </w:rPr>
        <w:t>第八条 双方就合同发生争议，应先本着公平诚信的原则进行友好协商，如达不成一致，可向甲方所在地人民法院提起诉讼。</w:t>
      </w:r>
    </w:p>
    <w:p>
      <w:pPr>
        <w:autoSpaceDE w:val="0"/>
        <w:autoSpaceDN w:val="0"/>
        <w:spacing w:before="88" w:line="320" w:lineRule="exact"/>
        <w:ind w:left="690" w:right="203" w:hanging="511"/>
        <w:rPr>
          <w:rFonts w:ascii="Calibri" w:hAnsi="Calibri" w:cs="Calibri"/>
          <w:sz w:val="24"/>
          <w:lang w:val="zh-CN" w:bidi="zh-CN"/>
        </w:rPr>
      </w:pPr>
      <w:r>
        <w:rPr>
          <w:rFonts w:ascii="Calibri" w:hAnsi="Calibri" w:cs="Calibri"/>
          <w:sz w:val="24"/>
          <w:lang w:val="zh-CN" w:bidi="zh-CN"/>
        </w:rPr>
        <w:t>第九条 不可抗力</w:t>
      </w:r>
    </w:p>
    <w:p>
      <w:pPr>
        <w:autoSpaceDE w:val="0"/>
        <w:autoSpaceDN w:val="0"/>
        <w:spacing w:before="88" w:line="320" w:lineRule="exact"/>
        <w:ind w:left="690" w:right="203"/>
        <w:rPr>
          <w:rFonts w:ascii="Calibri" w:hAnsi="Calibri" w:cs="Calibri"/>
          <w:sz w:val="24"/>
          <w:lang w:val="zh-CN" w:bidi="zh-CN"/>
        </w:rPr>
      </w:pPr>
      <w:r>
        <w:rPr>
          <w:rFonts w:ascii="Calibri" w:hAnsi="Calibri" w:cs="Calibri"/>
          <w:sz w:val="24"/>
          <w:lang w:val="zh-CN" w:bidi="zh-CN"/>
        </w:rPr>
        <w:t>1．如果甲乙双方中任何一方遭遇战争、火灾、水灾、台风和地震等不可抗力的因素，致使本合同履行受阻时，履行本合同的期限应予延长，延长的期限应相当于不可抗力所影响的时间。</w:t>
      </w:r>
    </w:p>
    <w:p>
      <w:pPr>
        <w:autoSpaceDE w:val="0"/>
        <w:autoSpaceDN w:val="0"/>
        <w:spacing w:before="88" w:line="320" w:lineRule="exact"/>
        <w:ind w:left="690" w:right="203"/>
        <w:rPr>
          <w:rFonts w:ascii="Calibri" w:hAnsi="Calibri" w:cs="Calibri"/>
          <w:sz w:val="24"/>
          <w:lang w:val="zh-CN" w:bidi="zh-CN"/>
        </w:rPr>
      </w:pPr>
      <w:r>
        <w:rPr>
          <w:rFonts w:ascii="Calibri" w:hAnsi="Calibri" w:cs="Calibri"/>
          <w:sz w:val="24"/>
          <w:lang w:val="zh-CN" w:bidi="zh-CN"/>
        </w:rPr>
        <w:t>2．受不可抗力影响的一方应在不可抗力发生后，以最快的方式在最短的时间内通知另一方，并在不可抗力发生后10日内，将有关部门出具的证明文件直接送达、邮寄或留置另一方。</w:t>
      </w:r>
    </w:p>
    <w:p>
      <w:pPr>
        <w:autoSpaceDE w:val="0"/>
        <w:autoSpaceDN w:val="0"/>
        <w:spacing w:before="88" w:line="320" w:lineRule="exact"/>
        <w:ind w:left="690" w:right="203"/>
        <w:rPr>
          <w:rFonts w:ascii="Calibri" w:hAnsi="Calibri" w:cs="Calibri"/>
          <w:sz w:val="24"/>
          <w:lang w:val="zh-CN" w:bidi="zh-CN"/>
        </w:rPr>
      </w:pPr>
      <w:r>
        <w:rPr>
          <w:rFonts w:ascii="Calibri" w:hAnsi="Calibri" w:cs="Calibri"/>
          <w:sz w:val="24"/>
          <w:lang w:val="zh-CN" w:bidi="zh-CN"/>
        </w:rPr>
        <w:t>3．如果不可抗力影响延续90日以上的，甲乙双方应通过友好协商，在合理时间内达成进一步履行本合同的协议。</w:t>
      </w:r>
    </w:p>
    <w:p>
      <w:pPr>
        <w:autoSpaceDE w:val="0"/>
        <w:autoSpaceDN w:val="0"/>
        <w:spacing w:before="88" w:line="320" w:lineRule="exact"/>
        <w:ind w:right="203"/>
        <w:rPr>
          <w:rFonts w:ascii="Calibri" w:hAnsi="Calibri" w:cs="Calibri"/>
          <w:sz w:val="24"/>
          <w:lang w:val="zh-CN" w:bidi="zh-CN"/>
        </w:rPr>
      </w:pPr>
      <w:r>
        <w:rPr>
          <w:rFonts w:ascii="Calibri" w:hAnsi="Calibri" w:cs="Calibri"/>
          <w:sz w:val="24"/>
          <w:lang w:val="zh-CN" w:bidi="zh-CN"/>
        </w:rPr>
        <w:t>第十条 本合同的生效和效力</w:t>
      </w:r>
    </w:p>
    <w:p>
      <w:pPr>
        <w:autoSpaceDE w:val="0"/>
        <w:autoSpaceDN w:val="0"/>
        <w:spacing w:before="88" w:line="320" w:lineRule="exact"/>
        <w:ind w:right="203" w:firstLine="720"/>
        <w:rPr>
          <w:rFonts w:ascii="Calibri" w:hAnsi="Calibri" w:cs="Calibri"/>
          <w:sz w:val="24"/>
          <w:lang w:val="zh-CN" w:bidi="zh-CN"/>
        </w:rPr>
      </w:pPr>
      <w:r>
        <w:rPr>
          <w:rFonts w:ascii="Calibri" w:hAnsi="Calibri" w:cs="Calibri"/>
          <w:sz w:val="24"/>
          <w:lang w:val="zh-CN" w:bidi="zh-CN"/>
        </w:rPr>
        <w:t>1．本合同由甲乙双方授权代表签字并加盖公章之日起生效。</w:t>
      </w:r>
    </w:p>
    <w:p>
      <w:pPr>
        <w:autoSpaceDE w:val="0"/>
        <w:autoSpaceDN w:val="0"/>
        <w:spacing w:before="88" w:line="320" w:lineRule="exact"/>
        <w:ind w:right="203" w:firstLine="720"/>
        <w:rPr>
          <w:rFonts w:ascii="Calibri" w:hAnsi="Calibri" w:cs="Calibri"/>
          <w:sz w:val="24"/>
          <w:lang w:val="zh-CN" w:bidi="zh-CN"/>
        </w:rPr>
      </w:pPr>
      <w:r>
        <w:rPr>
          <w:rFonts w:ascii="Calibri" w:hAnsi="Calibri" w:cs="Calibri"/>
          <w:sz w:val="24"/>
          <w:lang w:val="zh-CN" w:bidi="zh-CN"/>
        </w:rPr>
        <w:t>2．本合同正本一式</w:t>
      </w:r>
      <w:r>
        <w:rPr>
          <w:rFonts w:ascii="Calibri" w:hAnsi="Calibri" w:cs="Calibri"/>
          <w:sz w:val="24"/>
          <w:lang w:bidi="zh-CN"/>
        </w:rPr>
        <w:t>五</w:t>
      </w:r>
      <w:r>
        <w:rPr>
          <w:rFonts w:ascii="Calibri" w:hAnsi="Calibri" w:cs="Calibri"/>
          <w:sz w:val="24"/>
          <w:lang w:val="zh-CN" w:bidi="zh-CN"/>
        </w:rPr>
        <w:t>份，甲方持</w:t>
      </w:r>
      <w:r>
        <w:rPr>
          <w:rFonts w:hint="eastAsia" w:ascii="Calibri" w:hAnsi="Calibri" w:cs="Calibri"/>
          <w:sz w:val="24"/>
          <w:lang w:bidi="zh-CN"/>
        </w:rPr>
        <w:t>四</w:t>
      </w:r>
      <w:r>
        <w:rPr>
          <w:rFonts w:ascii="Calibri" w:hAnsi="Calibri" w:cs="Calibri"/>
          <w:sz w:val="24"/>
          <w:lang w:val="zh-CN" w:bidi="zh-CN"/>
        </w:rPr>
        <w:t>份</w:t>
      </w:r>
      <w:r>
        <w:rPr>
          <w:rFonts w:hint="eastAsia" w:ascii="Calibri" w:hAnsi="Calibri" w:cs="Calibri"/>
          <w:sz w:val="24"/>
          <w:lang w:val="zh-CN" w:bidi="zh-CN"/>
        </w:rPr>
        <w:t>，</w:t>
      </w:r>
      <w:r>
        <w:rPr>
          <w:rFonts w:hint="eastAsia" w:ascii="Calibri" w:hAnsi="Calibri" w:cs="Calibri"/>
          <w:sz w:val="24"/>
          <w:lang w:bidi="zh-CN"/>
        </w:rPr>
        <w:t>乙方持一份</w:t>
      </w:r>
      <w:r>
        <w:rPr>
          <w:rFonts w:ascii="Calibri" w:hAnsi="Calibri" w:cs="Calibri"/>
          <w:sz w:val="24"/>
          <w:lang w:val="zh-CN" w:bidi="zh-CN"/>
        </w:rPr>
        <w:t>。合同文本具有同等的法律效力。</w:t>
      </w:r>
    </w:p>
    <w:p>
      <w:pPr>
        <w:autoSpaceDE w:val="0"/>
        <w:autoSpaceDN w:val="0"/>
        <w:spacing w:before="88" w:line="320" w:lineRule="exact"/>
        <w:ind w:right="203" w:firstLine="690"/>
        <w:rPr>
          <w:rFonts w:ascii="Calibri" w:hAnsi="Calibri" w:cs="Calibri"/>
          <w:sz w:val="24"/>
          <w:lang w:val="zh-CN" w:bidi="zh-CN"/>
        </w:rPr>
      </w:pPr>
      <w:r>
        <w:rPr>
          <w:rFonts w:ascii="Calibri" w:hAnsi="Calibri" w:cs="Calibri"/>
          <w:sz w:val="24"/>
          <w:lang w:val="zh-CN" w:bidi="zh-CN"/>
        </w:rPr>
        <w:t>3．本合同部分条款的无效不影响其它条款的效力。</w:t>
      </w:r>
    </w:p>
    <w:p>
      <w:pPr>
        <w:autoSpaceDE w:val="0"/>
        <w:autoSpaceDN w:val="0"/>
        <w:spacing w:before="88" w:line="320" w:lineRule="exact"/>
        <w:ind w:right="203" w:firstLine="690"/>
        <w:rPr>
          <w:rFonts w:ascii="Calibri" w:hAnsi="Calibri" w:cs="Calibri"/>
          <w:sz w:val="24"/>
          <w:lang w:val="zh-CN" w:bidi="zh-CN"/>
        </w:rPr>
      </w:pPr>
    </w:p>
    <w:p>
      <w:pPr>
        <w:autoSpaceDE w:val="0"/>
        <w:autoSpaceDN w:val="0"/>
        <w:spacing w:before="88" w:line="320" w:lineRule="exact"/>
        <w:ind w:right="203" w:firstLine="690"/>
        <w:rPr>
          <w:rFonts w:ascii="Calibri" w:hAnsi="Calibri" w:cs="Calibri"/>
          <w:sz w:val="24"/>
          <w:lang w:val="zh-CN" w:bidi="zh-CN"/>
        </w:rPr>
      </w:pPr>
    </w:p>
    <w:p>
      <w:pPr>
        <w:tabs>
          <w:tab w:val="left" w:pos="2234"/>
          <w:tab w:val="left" w:pos="5369"/>
          <w:tab w:val="left" w:pos="7634"/>
        </w:tabs>
        <w:autoSpaceDE w:val="0"/>
        <w:autoSpaceDN w:val="0"/>
        <w:spacing w:line="320" w:lineRule="exact"/>
        <w:ind w:left="783" w:right="278"/>
        <w:rPr>
          <w:rFonts w:ascii="Calibri" w:hAnsi="Calibri" w:cs="Calibri"/>
          <w:spacing w:val="-10"/>
          <w:sz w:val="24"/>
          <w:lang w:val="zh-CN" w:bidi="zh-CN"/>
        </w:rPr>
      </w:pPr>
      <w:r>
        <w:rPr>
          <w:rFonts w:ascii="Calibri" w:hAnsi="Calibri" w:cs="Calibri"/>
          <w:sz w:val="24"/>
          <w:lang w:val="zh-CN" w:bidi="zh-CN"/>
        </w:rPr>
        <w:t>甲方（签章）：</w:t>
      </w:r>
      <w:r>
        <w:rPr>
          <w:rFonts w:ascii="Calibri" w:hAnsi="Calibri" w:cs="Calibri"/>
          <w:spacing w:val="-10"/>
          <w:sz w:val="24"/>
          <w:lang w:val="zh-CN" w:bidi="zh-CN"/>
        </w:rPr>
        <w:t>首都师范大学</w:t>
      </w:r>
      <w:r>
        <w:rPr>
          <w:rFonts w:ascii="Calibri" w:hAnsi="Calibri" w:cs="Calibri"/>
          <w:spacing w:val="-10"/>
          <w:sz w:val="24"/>
          <w:lang w:val="zh-CN" w:bidi="zh-CN"/>
        </w:rPr>
        <w:tab/>
      </w:r>
      <w:r>
        <w:rPr>
          <w:rFonts w:ascii="Calibri" w:hAnsi="Calibri" w:cs="Calibri"/>
          <w:spacing w:val="-10"/>
          <w:sz w:val="24"/>
          <w:lang w:val="zh-CN" w:bidi="zh-CN"/>
        </w:rPr>
        <w:t>乙方（签章）：</w:t>
      </w:r>
      <w:r>
        <w:rPr>
          <w:rFonts w:ascii="Calibri" w:hAnsi="Calibri" w:cs="Calibri"/>
          <w:color w:val="FF0000"/>
          <w:sz w:val="24"/>
          <w:lang w:val="zh-CN" w:bidi="zh-CN"/>
        </w:rPr>
        <w:t xml:space="preserve"> &lt;对方单位&gt;</w:t>
      </w:r>
    </w:p>
    <w:p>
      <w:pPr>
        <w:tabs>
          <w:tab w:val="left" w:pos="2234"/>
          <w:tab w:val="left" w:pos="5369"/>
          <w:tab w:val="left" w:pos="7634"/>
        </w:tabs>
        <w:autoSpaceDE w:val="0"/>
        <w:autoSpaceDN w:val="0"/>
        <w:spacing w:line="320" w:lineRule="exact"/>
        <w:ind w:left="783" w:right="278"/>
        <w:rPr>
          <w:rFonts w:ascii="Calibri" w:hAnsi="Calibri" w:cs="Calibri"/>
          <w:color w:val="FF0000"/>
          <w:sz w:val="24"/>
          <w:lang w:val="zh-CN" w:bidi="zh-CN"/>
        </w:rPr>
      </w:pPr>
      <w:r>
        <w:rPr>
          <w:rFonts w:ascii="Calibri" w:hAnsi="Calibri" w:cs="Calibri"/>
          <w:sz w:val="24"/>
          <w:lang w:val="zh-CN" w:bidi="zh-CN"/>
        </w:rPr>
        <w:t>甲方代表（签字）：</w:t>
      </w:r>
      <w:r>
        <w:rPr>
          <w:rFonts w:ascii="Calibri" w:hAnsi="Calibri" w:cs="Calibri"/>
          <w:color w:val="FF0000"/>
          <w:sz w:val="24"/>
          <w:lang w:val="zh-CN" w:bidi="zh-CN"/>
        </w:rPr>
        <w:t xml:space="preserve"> &lt;负责人&gt;</w:t>
      </w:r>
      <w:r>
        <w:rPr>
          <w:rFonts w:ascii="Calibri" w:hAnsi="Calibri" w:cs="Calibri"/>
          <w:spacing w:val="-10"/>
          <w:sz w:val="24"/>
          <w:lang w:val="zh-CN" w:bidi="zh-CN"/>
        </w:rPr>
        <w:tab/>
      </w:r>
      <w:r>
        <w:rPr>
          <w:rFonts w:ascii="Calibri" w:hAnsi="Calibri" w:cs="Calibri"/>
          <w:spacing w:val="-10"/>
          <w:sz w:val="24"/>
          <w:lang w:val="zh-CN" w:bidi="zh-CN"/>
        </w:rPr>
        <w:t>乙方代表（签字）：</w:t>
      </w:r>
    </w:p>
    <w:p>
      <w:pPr>
        <w:autoSpaceDE w:val="0"/>
        <w:autoSpaceDN w:val="0"/>
        <w:spacing w:line="320" w:lineRule="exact"/>
        <w:ind w:left="540" w:leftChars="257" w:right="278" w:firstLine="240" w:firstLineChars="100"/>
        <w:rPr>
          <w:rFonts w:ascii="Calibri" w:hAnsi="Calibri" w:cs="Calibri"/>
          <w:sz w:val="24"/>
          <w:lang w:val="zh-CN" w:bidi="zh-CN"/>
        </w:rPr>
      </w:pPr>
    </w:p>
    <w:p>
      <w:pPr>
        <w:autoSpaceDE w:val="0"/>
        <w:autoSpaceDN w:val="0"/>
        <w:spacing w:line="320" w:lineRule="exact"/>
        <w:ind w:left="709" w:right="65" w:firstLine="22"/>
        <w:rPr>
          <w:rFonts w:ascii="Calibri" w:hAnsi="Calibri" w:cs="Calibri"/>
          <w:spacing w:val="-10"/>
          <w:sz w:val="24"/>
          <w:lang w:val="zh-CN" w:bidi="zh-CN"/>
        </w:rPr>
      </w:pPr>
      <w:r>
        <w:rPr>
          <w:rFonts w:ascii="Calibri" w:hAnsi="Calibri" w:cs="Calibri"/>
          <w:sz w:val="24"/>
          <w:lang w:val="zh-CN" w:bidi="zh-CN"/>
        </w:rPr>
        <w:t>项目负责人</w:t>
      </w:r>
      <w:r>
        <w:rPr>
          <w:rFonts w:hint="eastAsia" w:ascii="Calibri" w:hAnsi="Calibri" w:cs="Calibri"/>
          <w:sz w:val="24"/>
          <w:lang w:val="zh-CN" w:bidi="zh-CN"/>
        </w:rPr>
        <w:t>/</w:t>
      </w:r>
      <w:r>
        <w:rPr>
          <w:rFonts w:ascii="Calibri" w:hAnsi="Calibri" w:cs="Calibri"/>
          <w:sz w:val="24"/>
          <w:lang w:val="zh-CN" w:bidi="zh-CN"/>
        </w:rPr>
        <w:t>用户</w:t>
      </w:r>
      <w:r>
        <w:rPr>
          <w:rFonts w:hint="eastAsia" w:ascii="Calibri" w:hAnsi="Calibri" w:cs="Calibri"/>
          <w:sz w:val="24"/>
          <w:lang w:bidi="zh-CN"/>
        </w:rPr>
        <w:t>单位主管领导</w:t>
      </w:r>
      <w:r>
        <w:rPr>
          <w:rFonts w:ascii="Calibri" w:hAnsi="Calibri" w:cs="Calibri"/>
          <w:sz w:val="24"/>
          <w:lang w:val="zh-CN" w:bidi="zh-CN"/>
        </w:rPr>
        <w:t>（签字）：</w:t>
      </w:r>
      <w:r>
        <w:rPr>
          <w:rFonts w:ascii="Calibri" w:hAnsi="Calibri" w:cs="Calibri"/>
          <w:sz w:val="24"/>
          <w:lang w:val="zh-CN" w:bidi="zh-CN"/>
        </w:rPr>
        <w:tab/>
      </w:r>
      <w:r>
        <w:rPr>
          <w:rFonts w:ascii="Calibri" w:hAnsi="Calibri" w:cs="Calibri"/>
          <w:sz w:val="24"/>
          <w:lang w:val="zh-CN" w:bidi="zh-CN"/>
        </w:rPr>
        <w:tab/>
      </w:r>
      <w:r>
        <w:rPr>
          <w:rFonts w:ascii="Calibri" w:hAnsi="Calibri" w:cs="Calibri"/>
          <w:color w:val="FF0000"/>
          <w:sz w:val="24"/>
          <w:lang w:val="zh-CN" w:bidi="zh-CN"/>
        </w:rPr>
        <w:t>&lt;对方联系人&gt;&lt;对方电话&gt;</w:t>
      </w:r>
    </w:p>
    <w:p>
      <w:pPr>
        <w:autoSpaceDE w:val="0"/>
        <w:autoSpaceDN w:val="0"/>
        <w:spacing w:line="320" w:lineRule="exact"/>
        <w:ind w:left="540" w:leftChars="257" w:right="278" w:firstLine="240" w:firstLineChars="100"/>
        <w:rPr>
          <w:rFonts w:ascii="Calibri" w:hAnsi="Calibri" w:cs="Calibri"/>
          <w:sz w:val="24"/>
          <w:lang w:val="zh-CN" w:bidi="zh-CN"/>
        </w:rPr>
      </w:pPr>
    </w:p>
    <w:p>
      <w:pPr>
        <w:autoSpaceDE w:val="0"/>
        <w:autoSpaceDN w:val="0"/>
        <w:spacing w:line="320" w:lineRule="exact"/>
        <w:ind w:left="540" w:leftChars="257" w:right="278" w:firstLine="240" w:firstLineChars="100"/>
        <w:rPr>
          <w:rFonts w:ascii="Calibri" w:hAnsi="Calibri" w:cs="Calibri"/>
          <w:color w:val="FF0000"/>
          <w:spacing w:val="-10"/>
          <w:sz w:val="24"/>
          <w:lang w:val="zh-CN" w:bidi="zh-CN"/>
        </w:rPr>
      </w:pPr>
      <w:r>
        <w:rPr>
          <w:rFonts w:ascii="Calibri" w:hAnsi="Calibri" w:cs="Calibri"/>
          <w:sz w:val="24"/>
          <w:lang w:val="zh-CN" w:bidi="zh-CN"/>
        </w:rPr>
        <w:t>地址：</w:t>
      </w:r>
      <w:r>
        <w:rPr>
          <w:rFonts w:ascii="Calibri" w:hAnsi="Calibri" w:cs="Calibri"/>
          <w:spacing w:val="-10"/>
          <w:sz w:val="24"/>
          <w:lang w:bidi="zh-CN"/>
        </w:rPr>
        <w:t>北京市西三环北路105号</w:t>
      </w:r>
      <w:r>
        <w:rPr>
          <w:rFonts w:ascii="Calibri" w:hAnsi="Calibri" w:cs="Calibri"/>
          <w:spacing w:val="-10"/>
          <w:sz w:val="24"/>
          <w:lang w:bidi="zh-CN"/>
        </w:rPr>
        <w:tab/>
      </w:r>
      <w:r>
        <w:rPr>
          <w:rFonts w:ascii="Calibri" w:hAnsi="Calibri" w:cs="Calibri"/>
          <w:spacing w:val="-10"/>
          <w:sz w:val="24"/>
          <w:lang w:bidi="zh-CN"/>
        </w:rPr>
        <w:t xml:space="preserve"> </w:t>
      </w:r>
      <w:r>
        <w:rPr>
          <w:rFonts w:ascii="Calibri" w:hAnsi="Calibri" w:cs="Calibri"/>
          <w:spacing w:val="-10"/>
          <w:sz w:val="24"/>
          <w:lang w:bidi="zh-CN"/>
        </w:rPr>
        <w:tab/>
      </w:r>
      <w:r>
        <w:rPr>
          <w:rFonts w:ascii="Calibri" w:hAnsi="Calibri" w:cs="Calibri"/>
          <w:spacing w:val="-10"/>
          <w:sz w:val="24"/>
          <w:lang w:bidi="zh-CN"/>
        </w:rPr>
        <w:t xml:space="preserve">       付款信息</w:t>
      </w:r>
      <w:r>
        <w:rPr>
          <w:rFonts w:ascii="Calibri" w:hAnsi="Calibri" w:cs="Calibri"/>
          <w:sz w:val="24"/>
          <w:lang w:val="zh-CN" w:bidi="zh-CN"/>
        </w:rPr>
        <w:t>：</w:t>
      </w:r>
      <w:r>
        <w:rPr>
          <w:rFonts w:ascii="Calibri" w:hAnsi="Calibri" w:cs="Calibri"/>
          <w:color w:val="FF0000"/>
          <w:spacing w:val="-10"/>
          <w:sz w:val="24"/>
          <w:lang w:val="zh-CN" w:bidi="zh-CN"/>
        </w:rPr>
        <w:t xml:space="preserve"> &lt;对方银行账号&gt;</w:t>
      </w:r>
    </w:p>
    <w:p>
      <w:pPr>
        <w:autoSpaceDE w:val="0"/>
        <w:autoSpaceDN w:val="0"/>
        <w:spacing w:line="320" w:lineRule="exact"/>
        <w:ind w:left="6224" w:leftChars="2964" w:right="278"/>
        <w:rPr>
          <w:rFonts w:ascii="Calibri" w:hAnsi="Calibri" w:cs="Calibri"/>
          <w:color w:val="FF0000"/>
          <w:spacing w:val="-10"/>
          <w:sz w:val="24"/>
          <w:lang w:val="zh-CN" w:bidi="zh-CN"/>
        </w:rPr>
      </w:pPr>
      <w:r>
        <w:rPr>
          <w:rFonts w:ascii="Calibri" w:hAnsi="Calibri" w:cs="Calibri"/>
          <w:color w:val="FF0000"/>
          <w:spacing w:val="-10"/>
          <w:sz w:val="24"/>
          <w:lang w:val="zh-CN" w:bidi="zh-CN"/>
        </w:rPr>
        <w:t>&lt;对方银行&gt;</w:t>
      </w:r>
    </w:p>
    <w:p>
      <w:pPr>
        <w:autoSpaceDE w:val="0"/>
        <w:autoSpaceDN w:val="0"/>
        <w:spacing w:line="320" w:lineRule="exact"/>
        <w:ind w:left="6379" w:right="278" w:firstLine="220" w:firstLineChars="100"/>
        <w:rPr>
          <w:rFonts w:ascii="Calibri" w:hAnsi="Calibri" w:cs="Calibri"/>
          <w:spacing w:val="-10"/>
          <w:sz w:val="24"/>
          <w:lang w:val="zh-CN" w:bidi="zh-CN"/>
        </w:rPr>
      </w:pPr>
      <w:r>
        <w:rPr>
          <w:rFonts w:ascii="Calibri" w:hAnsi="Calibri" w:cs="Calibri"/>
          <w:color w:val="FF0000"/>
          <w:spacing w:val="-10"/>
          <w:sz w:val="24"/>
          <w:lang w:val="zh-CN" w:bidi="zh-CN"/>
        </w:rPr>
        <w:t>&lt;地区&gt;</w:t>
      </w:r>
    </w:p>
    <w:p>
      <w:pPr>
        <w:tabs>
          <w:tab w:val="left" w:pos="2234"/>
          <w:tab w:val="left" w:pos="5369"/>
          <w:tab w:val="left" w:pos="7634"/>
        </w:tabs>
        <w:autoSpaceDE w:val="0"/>
        <w:autoSpaceDN w:val="0"/>
        <w:spacing w:line="320" w:lineRule="exact"/>
        <w:ind w:left="783" w:right="278"/>
        <w:rPr>
          <w:rFonts w:ascii="Calibri" w:hAnsi="Calibri" w:cs="Calibri"/>
          <w:spacing w:val="-10"/>
          <w:sz w:val="24"/>
          <w:lang w:val="zh-CN" w:bidi="zh-CN"/>
        </w:rPr>
      </w:pPr>
      <w:r>
        <w:rPr>
          <w:rFonts w:ascii="Calibri" w:hAnsi="Calibri" w:cs="Calibri"/>
          <w:spacing w:val="15"/>
          <w:sz w:val="24"/>
          <w:lang w:val="zh-CN" w:bidi="zh-CN"/>
        </w:rPr>
        <w:t>签订日期</w:t>
      </w:r>
      <w:r>
        <w:rPr>
          <w:rFonts w:ascii="Calibri" w:hAnsi="Calibri" w:cs="Calibri"/>
          <w:sz w:val="24"/>
          <w:lang w:val="zh-CN" w:bidi="zh-CN"/>
        </w:rPr>
        <w:t>：</w:t>
      </w:r>
      <w:r>
        <w:rPr>
          <w:rFonts w:ascii="Calibri" w:hAnsi="Calibri" w:cs="Calibri"/>
          <w:sz w:val="24"/>
          <w:lang w:bidi="zh-CN"/>
        </w:rPr>
        <w:tab/>
      </w:r>
      <w:r>
        <w:rPr>
          <w:rFonts w:ascii="Calibri" w:hAnsi="Calibri" w:cs="Calibri"/>
          <w:color w:val="FF0000"/>
          <w:sz w:val="24"/>
          <w:lang w:val="zh-CN" w:bidi="zh-CN"/>
        </w:rPr>
        <w:t>&lt;签订日期&gt;</w:t>
      </w:r>
      <w:r>
        <w:rPr>
          <w:rFonts w:ascii="Calibri" w:hAnsi="Calibri" w:cs="Calibri"/>
          <w:spacing w:val="-10"/>
          <w:sz w:val="24"/>
          <w:lang w:val="zh-CN" w:bidi="zh-CN"/>
        </w:rPr>
        <w:tab/>
      </w:r>
      <w:r>
        <w:rPr>
          <w:rFonts w:ascii="Calibri" w:hAnsi="Calibri" w:cs="Calibri"/>
          <w:spacing w:val="15"/>
          <w:sz w:val="24"/>
          <w:lang w:val="zh-CN" w:bidi="zh-CN"/>
        </w:rPr>
        <w:t>签订日期</w:t>
      </w:r>
      <w:r>
        <w:rPr>
          <w:rFonts w:ascii="Calibri" w:hAnsi="Calibri" w:cs="Calibri"/>
          <w:sz w:val="24"/>
          <w:lang w:val="zh-CN" w:bidi="zh-CN"/>
        </w:rPr>
        <w:t>：</w:t>
      </w:r>
      <w:r>
        <w:rPr>
          <w:rFonts w:ascii="Calibri" w:hAnsi="Calibri" w:cs="Calibri"/>
          <w:spacing w:val="-10"/>
          <w:sz w:val="24"/>
          <w:lang w:val="zh-CN" w:bidi="zh-CN"/>
        </w:rPr>
        <w:tab/>
      </w:r>
    </w:p>
    <w:p>
      <w:pPr>
        <w:autoSpaceDE w:val="0"/>
        <w:autoSpaceDN w:val="0"/>
        <w:spacing w:line="320" w:lineRule="exact"/>
        <w:ind w:left="783" w:right="278"/>
        <w:rPr>
          <w:rFonts w:ascii="Calibri" w:hAnsi="Calibri" w:cs="Calibri"/>
          <w:sz w:val="24"/>
          <w:lang w:val="zh-CN" w:bidi="zh-CN"/>
        </w:rPr>
      </w:pPr>
      <w:r>
        <w:rPr>
          <w:rFonts w:ascii="Calibri" w:hAnsi="Calibri" w:cs="Calibri"/>
          <w:spacing w:val="15"/>
          <w:sz w:val="24"/>
          <w:lang w:bidi="zh-CN"/>
        </w:rPr>
        <w:t>签订地点</w:t>
      </w:r>
      <w:r>
        <w:rPr>
          <w:rFonts w:ascii="Calibri" w:hAnsi="Calibri" w:cs="Calibri"/>
          <w:sz w:val="24"/>
          <w:lang w:bidi="zh-CN"/>
        </w:rPr>
        <w:tab/>
      </w:r>
      <w:r>
        <w:rPr>
          <w:rFonts w:ascii="Calibri" w:hAnsi="Calibri" w:cs="Calibri"/>
          <w:sz w:val="24"/>
          <w:lang w:val="zh-CN" w:bidi="zh-CN"/>
        </w:rPr>
        <w:t>北京市海淀区</w:t>
      </w:r>
      <w:r>
        <w:rPr>
          <w:rFonts w:ascii="Calibri" w:hAnsi="Calibri" w:cs="Calibri"/>
          <w:spacing w:val="-10"/>
          <w:sz w:val="24"/>
          <w:lang w:val="zh-CN" w:bidi="zh-CN"/>
        </w:rPr>
        <w:tab/>
      </w:r>
      <w:r>
        <w:rPr>
          <w:rFonts w:ascii="Calibri" w:hAnsi="Calibri" w:cs="Calibri"/>
          <w:spacing w:val="15"/>
          <w:sz w:val="24"/>
          <w:lang w:val="zh-CN" w:bidi="zh-CN"/>
        </w:rPr>
        <w:tab/>
      </w:r>
    </w:p>
    <w:p>
      <w:pPr>
        <w:tabs>
          <w:tab w:val="left" w:pos="5812"/>
        </w:tabs>
        <w:autoSpaceDE w:val="0"/>
        <w:autoSpaceDN w:val="0"/>
        <w:spacing w:line="320" w:lineRule="exact"/>
        <w:ind w:left="676" w:leftChars="322" w:right="278"/>
        <w:rPr>
          <w:rFonts w:ascii="Calibri" w:hAnsi="Calibri" w:cs="Calibri"/>
          <w:spacing w:val="-10"/>
          <w:sz w:val="24"/>
          <w:lang w:val="zh-CN" w:bidi="zh-CN"/>
        </w:rPr>
      </w:pPr>
    </w:p>
    <w:p>
      <w:pPr>
        <w:tabs>
          <w:tab w:val="left" w:pos="5812"/>
        </w:tabs>
        <w:autoSpaceDE w:val="0"/>
        <w:autoSpaceDN w:val="0"/>
        <w:spacing w:line="320" w:lineRule="exact"/>
        <w:ind w:left="676" w:leftChars="322" w:right="278"/>
        <w:rPr>
          <w:rFonts w:ascii="Calibri" w:hAnsi="Calibri" w:cs="Calibri"/>
          <w:spacing w:val="-10"/>
          <w:sz w:val="24"/>
          <w:lang w:val="zh-CN" w:bidi="zh-CN"/>
        </w:rPr>
      </w:pPr>
      <w:r>
        <w:rPr>
          <w:rFonts w:ascii="Calibri" w:hAnsi="Calibri" w:cs="Calibri"/>
          <w:spacing w:val="-10"/>
          <w:sz w:val="24"/>
          <w:lang w:val="zh-CN" w:bidi="zh-CN"/>
        </w:rPr>
        <w:t>附件：</w:t>
      </w:r>
      <w:r>
        <w:rPr>
          <w:rFonts w:ascii="宋体" w:hAnsi="宋体" w:cs="宋体"/>
          <w:sz w:val="24"/>
          <w:lang w:val="zh-CN" w:bidi="zh-CN"/>
        </w:rPr>
        <w:t xml:space="preserve"> </w:t>
      </w:r>
      <w:r>
        <w:rPr>
          <w:rFonts w:hint="eastAsia" w:ascii="宋体" w:hAnsi="宋体" w:cs="宋体"/>
          <w:sz w:val="24"/>
          <w:lang w:bidi="zh-CN"/>
        </w:rPr>
        <w:t xml:space="preserve">京华云采结算书 </w:t>
      </w:r>
      <w:r>
        <w:rPr>
          <w:rFonts w:ascii="Calibri" w:hAnsi="Calibri" w:cs="Calibri"/>
          <w:color w:val="FF0000"/>
          <w:sz w:val="24"/>
          <w:lang w:val="zh-CN" w:bidi="zh-CN"/>
        </w:rPr>
        <w:t>&lt;合同名称&gt;</w:t>
      </w:r>
    </w:p>
    <w:p>
      <w:pPr>
        <w:snapToGrid w:val="0"/>
        <w:spacing w:before="119" w:line="331" w:lineRule="auto"/>
        <w:rPr>
          <w:rFonts w:ascii="宋体" w:hAnsi="宋体"/>
          <w:b/>
          <w:sz w:val="28"/>
          <w:szCs w:val="28"/>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67" w:name="_Toc20502"/>
      <w:bookmarkStart w:id="668"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7"/>
      <w:bookmarkEnd w:id="668"/>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3"/>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3"/>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3"/>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sz w:val="24"/>
                <w:lang w:eastAsia="zh-CN"/>
              </w:rPr>
            </w:pPr>
            <w:r>
              <w:rPr>
                <w:sz w:val="24"/>
                <w:lang w:eastAsia="zh-CN"/>
              </w:rPr>
              <w:t>占该采购包</w:t>
            </w:r>
          </w:p>
          <w:p>
            <w:pPr>
              <w:pStyle w:val="254"/>
              <w:jc w:val="center"/>
              <w:rPr>
                <w:b/>
                <w:sz w:val="24"/>
                <w:lang w:eastAsia="zh-CN"/>
              </w:rPr>
            </w:pPr>
            <w:r>
              <w:rPr>
                <w:rFonts w:hint="eastAsia"/>
                <w:b/>
                <w:sz w:val="24"/>
                <w:lang w:eastAsia="zh-CN"/>
              </w:rPr>
              <w:t>预算</w:t>
            </w:r>
            <w:r>
              <w:rPr>
                <w:b/>
                <w:sz w:val="24"/>
                <w:lang w:eastAsia="zh-CN"/>
              </w:rPr>
              <w:t>金额的</w:t>
            </w:r>
          </w:p>
          <w:p>
            <w:pPr>
              <w:pStyle w:val="254"/>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4"/>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4"/>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4"/>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4"/>
        </w:numPr>
        <w:spacing w:line="360" w:lineRule="auto"/>
        <w:rPr>
          <w:bCs/>
          <w:color w:val="000000"/>
          <w:sz w:val="24"/>
        </w:rPr>
      </w:pPr>
      <w:r>
        <w:rPr>
          <w:bCs/>
          <w:color w:val="000000"/>
          <w:sz w:val="24"/>
        </w:rPr>
        <w:t>牵头人为项目的总负责单位；组织各参加方进行项目实施工作。</w:t>
      </w:r>
    </w:p>
    <w:p>
      <w:pPr>
        <w:numPr>
          <w:ilvl w:val="0"/>
          <w:numId w:val="14"/>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4"/>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4"/>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4"/>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b/>
          <w:bCs/>
          <w:sz w:val="24"/>
          <w:szCs w:val="20"/>
        </w:rPr>
      </w:pPr>
      <w:r>
        <w:rPr>
          <w:rFonts w:hint="eastAsia"/>
          <w:b/>
          <w:bCs/>
          <w:sz w:val="24"/>
          <w:szCs w:val="20"/>
        </w:rPr>
        <w:t>供应商须为“北京市政府采购电子卖场”（京华云采，（http://mkt-bjzc.zhongcy.com/mall-view/））的协议供应商，提供响应产品在“京华云采”上对应的网页链接并附含有供应商名称信息的截图，复印件加盖供应商公章。</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69" w:name="_Hlt520355504"/>
      <w:bookmarkEnd w:id="669"/>
      <w:bookmarkStart w:id="670" w:name="_Hlt520271212"/>
      <w:bookmarkEnd w:id="670"/>
      <w:bookmarkStart w:id="671" w:name="_Hlt520274121"/>
      <w:bookmarkEnd w:id="671"/>
      <w:bookmarkStart w:id="672" w:name="_Hlt520274393"/>
      <w:bookmarkEnd w:id="672"/>
      <w:bookmarkStart w:id="673" w:name="_Hlt520350918"/>
      <w:bookmarkEnd w:id="673"/>
      <w:bookmarkStart w:id="674" w:name="_Hlt520274065"/>
      <w:bookmarkEnd w:id="674"/>
      <w:bookmarkStart w:id="675" w:name="_Hlt520343000"/>
      <w:bookmarkEnd w:id="675"/>
      <w:bookmarkStart w:id="676" w:name="_Hlt520274407"/>
      <w:bookmarkEnd w:id="676"/>
      <w:bookmarkStart w:id="677" w:name="_Hlt520273711"/>
      <w:bookmarkEnd w:id="677"/>
      <w:bookmarkStart w:id="678" w:name="_Hlt520343392"/>
      <w:bookmarkEnd w:id="678"/>
      <w:bookmarkStart w:id="679" w:name="_Toc480942349"/>
      <w:bookmarkStart w:id="680" w:name="_Ref467988698"/>
      <w:bookmarkStart w:id="681" w:name="_Toc226309800"/>
      <w:bookmarkStart w:id="682" w:name="_Toc195842921"/>
      <w:bookmarkStart w:id="683" w:name="_Toc150774761"/>
      <w:bookmarkStart w:id="684" w:name="_Toc127151556"/>
      <w:bookmarkStart w:id="685" w:name="_Toc226965829"/>
      <w:bookmarkStart w:id="686" w:name="_Toc226337252"/>
      <w:bookmarkStart w:id="687" w:name="_Toc520356217"/>
      <w:bookmarkStart w:id="688" w:name="_Toc150480794"/>
      <w:bookmarkStart w:id="689" w:name="_Toc226965746"/>
      <w:bookmarkStart w:id="690" w:name="_Toc142311058"/>
      <w:r>
        <w:rPr>
          <w:rFonts w:ascii="宋体" w:hAnsi="宋体"/>
          <w:color w:val="000000"/>
          <w:sz w:val="24"/>
        </w:rPr>
        <w:t>1</w:t>
      </w:r>
      <w:r>
        <w:rPr>
          <w:rFonts w:ascii="宋体" w:hAnsi="宋体"/>
          <w:color w:val="000000"/>
          <w:sz w:val="24"/>
          <w:szCs w:val="20"/>
        </w:rPr>
        <w:t xml:space="preserve">  </w:t>
      </w:r>
      <w:bookmarkEnd w:id="679"/>
      <w:bookmarkEnd w:id="680"/>
      <w:r>
        <w:rPr>
          <w:rFonts w:hint="eastAsia" w:ascii="宋体" w:hAnsi="宋体"/>
          <w:color w:val="000000"/>
          <w:sz w:val="24"/>
        </w:rPr>
        <w:t>响应</w:t>
      </w:r>
      <w:r>
        <w:rPr>
          <w:rFonts w:ascii="宋体" w:hAnsi="宋体"/>
          <w:color w:val="000000"/>
          <w:sz w:val="24"/>
        </w:rPr>
        <w:t>书</w:t>
      </w:r>
      <w:bookmarkEnd w:id="681"/>
      <w:bookmarkEnd w:id="682"/>
      <w:bookmarkEnd w:id="683"/>
      <w:bookmarkEnd w:id="684"/>
      <w:bookmarkEnd w:id="685"/>
      <w:bookmarkEnd w:id="686"/>
      <w:bookmarkEnd w:id="687"/>
      <w:bookmarkEnd w:id="688"/>
      <w:bookmarkEnd w:id="689"/>
      <w:bookmarkEnd w:id="690"/>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1" w:name="_Hlt520355938"/>
      <w:bookmarkEnd w:id="691"/>
      <w:bookmarkStart w:id="692" w:name="_Hlt520356243"/>
      <w:bookmarkEnd w:id="692"/>
      <w:bookmarkStart w:id="693" w:name="_Toc265228395"/>
      <w:bookmarkStart w:id="694" w:name="_Toc480942350"/>
      <w:bookmarkStart w:id="695" w:name="_Toc150480795"/>
      <w:bookmarkStart w:id="696" w:name="_Toc520356218"/>
      <w:bookmarkStart w:id="697" w:name="_Toc226337253"/>
      <w:bookmarkStart w:id="698" w:name="_Toc226965747"/>
      <w:bookmarkStart w:id="699" w:name="_Toc127151557"/>
      <w:bookmarkStart w:id="700" w:name="_Toc150774762"/>
      <w:bookmarkStart w:id="701" w:name="_Toc195842922"/>
      <w:bookmarkStart w:id="702" w:name="_Toc305158825"/>
      <w:bookmarkStart w:id="703" w:name="_Toc305158899"/>
      <w:bookmarkStart w:id="704" w:name="_Ref467988705"/>
      <w:bookmarkStart w:id="705" w:name="_Toc142311059"/>
      <w:bookmarkStart w:id="706" w:name="_Toc264969247"/>
      <w:bookmarkStart w:id="707" w:name="_Toc226965830"/>
      <w:bookmarkStart w:id="708" w:name="_Toc226309801"/>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8"/>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8"/>
        <w:tabs>
          <w:tab w:val="left" w:pos="2412"/>
          <w:tab w:val="left" w:pos="3883"/>
          <w:tab w:val="left" w:pos="5352"/>
          <w:tab w:val="left" w:pos="6821"/>
        </w:tabs>
        <w:kinsoku w:val="0"/>
        <w:overflowPunct w:val="0"/>
        <w:spacing w:line="335" w:lineRule="exact"/>
      </w:pPr>
    </w:p>
    <w:p>
      <w:pPr>
        <w:pStyle w:val="18"/>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8"/>
        <w:kinsoku w:val="0"/>
        <w:overflowPunct w:val="0"/>
        <w:spacing w:line="583" w:lineRule="auto"/>
        <w:ind w:right="4305"/>
        <w:rPr>
          <w:spacing w:val="-3"/>
        </w:rPr>
      </w:pPr>
    </w:p>
    <w:p>
      <w:pPr>
        <w:pStyle w:val="18"/>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8"/>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09" w:name="_Toc164608827"/>
      <w:bookmarkStart w:id="710" w:name="_Toc264969248"/>
      <w:bookmarkStart w:id="711" w:name="_Toc226337254"/>
      <w:bookmarkStart w:id="712" w:name="_Toc164608672"/>
      <w:bookmarkStart w:id="713" w:name="_Toc305158826"/>
      <w:bookmarkStart w:id="714" w:name="_Toc265228396"/>
      <w:bookmarkStart w:id="715" w:name="_Toc305158900"/>
      <w:bookmarkStart w:id="716" w:name="_Toc226309802"/>
      <w:bookmarkStart w:id="717" w:name="_Toc195842923"/>
      <w:bookmarkStart w:id="718" w:name="_Toc226965831"/>
      <w:bookmarkStart w:id="719" w:name="_Toc226965748"/>
      <w:r>
        <w:rPr>
          <w:rFonts w:hint="eastAsia" w:ascii="宋体" w:hAnsi="宋体"/>
          <w:b/>
          <w:color w:val="000000"/>
          <w:sz w:val="36"/>
          <w:szCs w:val="36"/>
        </w:rPr>
        <w:t>开选一览表</w:t>
      </w:r>
      <w:bookmarkEnd w:id="709"/>
      <w:bookmarkEnd w:id="710"/>
      <w:bookmarkEnd w:id="711"/>
      <w:bookmarkEnd w:id="712"/>
      <w:bookmarkEnd w:id="713"/>
      <w:bookmarkEnd w:id="714"/>
      <w:bookmarkEnd w:id="715"/>
      <w:bookmarkEnd w:id="716"/>
      <w:bookmarkEnd w:id="717"/>
      <w:bookmarkEnd w:id="718"/>
      <w:bookmarkEnd w:id="719"/>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0" w:name="_Toc305158827"/>
      <w:bookmarkStart w:id="721" w:name="_Toc226309803"/>
      <w:bookmarkStart w:id="722" w:name="_Toc195842924"/>
      <w:bookmarkStart w:id="723" w:name="_Toc264969249"/>
      <w:bookmarkStart w:id="724" w:name="_Toc150774763"/>
      <w:bookmarkStart w:id="725" w:name="_Toc127151558"/>
      <w:bookmarkStart w:id="726" w:name="_Toc150480796"/>
      <w:bookmarkStart w:id="727" w:name="_Toc305158901"/>
      <w:bookmarkStart w:id="728" w:name="_Toc226965832"/>
      <w:bookmarkStart w:id="729" w:name="_Toc142311060"/>
      <w:bookmarkStart w:id="730" w:name="_Toc226965749"/>
      <w:bookmarkStart w:id="731" w:name="_Toc265228397"/>
      <w:bookmarkStart w:id="732" w:name="_Toc226337255"/>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3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944"/>
        <w:gridCol w:w="1365"/>
        <w:gridCol w:w="1278"/>
        <w:gridCol w:w="1518"/>
        <w:gridCol w:w="1055"/>
        <w:gridCol w:w="518"/>
        <w:gridCol w:w="15"/>
        <w:gridCol w:w="104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94" w:hRule="atLeast"/>
          <w:jc w:val="center"/>
        </w:trPr>
        <w:tc>
          <w:tcPr>
            <w:tcW w:w="276" w:type="pct"/>
            <w:vAlign w:val="center"/>
          </w:tcPr>
          <w:p>
            <w:pPr>
              <w:adjustRightInd w:val="0"/>
              <w:snapToGrid w:val="0"/>
              <w:jc w:val="left"/>
              <w:rPr>
                <w:b/>
                <w:color w:val="000000"/>
                <w:sz w:val="24"/>
              </w:rPr>
            </w:pPr>
            <w:r>
              <w:rPr>
                <w:b/>
                <w:color w:val="000000"/>
                <w:sz w:val="24"/>
              </w:rPr>
              <w:t>序号</w:t>
            </w:r>
          </w:p>
        </w:tc>
        <w:tc>
          <w:tcPr>
            <w:tcW w:w="1050" w:type="pct"/>
            <w:vAlign w:val="center"/>
          </w:tcPr>
          <w:p>
            <w:pPr>
              <w:adjustRightInd w:val="0"/>
              <w:snapToGrid w:val="0"/>
              <w:jc w:val="left"/>
              <w:rPr>
                <w:b/>
                <w:color w:val="000000"/>
                <w:sz w:val="24"/>
              </w:rPr>
            </w:pPr>
            <w:r>
              <w:rPr>
                <w:b/>
                <w:color w:val="000000"/>
                <w:sz w:val="24"/>
              </w:rPr>
              <w:t>分项名称</w:t>
            </w:r>
          </w:p>
        </w:tc>
        <w:tc>
          <w:tcPr>
            <w:tcW w:w="737" w:type="pct"/>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690" w:type="pct"/>
            <w:vAlign w:val="center"/>
          </w:tcPr>
          <w:p>
            <w:pPr>
              <w:adjustRightInd w:val="0"/>
              <w:snapToGrid w:val="0"/>
              <w:jc w:val="left"/>
              <w:rPr>
                <w:b/>
                <w:color w:val="000000"/>
                <w:sz w:val="24"/>
              </w:rPr>
            </w:pPr>
            <w:r>
              <w:rPr>
                <w:b/>
                <w:color w:val="000000"/>
                <w:sz w:val="24"/>
              </w:rPr>
              <w:t>产地</w:t>
            </w:r>
          </w:p>
        </w:tc>
        <w:tc>
          <w:tcPr>
            <w:tcW w:w="820" w:type="pct"/>
            <w:vAlign w:val="center"/>
          </w:tcPr>
          <w:p>
            <w:pPr>
              <w:adjustRightInd w:val="0"/>
              <w:snapToGrid w:val="0"/>
              <w:jc w:val="left"/>
              <w:rPr>
                <w:b/>
                <w:color w:val="000000"/>
                <w:sz w:val="24"/>
              </w:rPr>
            </w:pPr>
            <w:r>
              <w:rPr>
                <w:b/>
                <w:color w:val="000000"/>
                <w:sz w:val="24"/>
              </w:rPr>
              <w:t>品牌、规格、型号</w:t>
            </w:r>
          </w:p>
        </w:tc>
        <w:tc>
          <w:tcPr>
            <w:tcW w:w="570" w:type="pct"/>
            <w:vAlign w:val="center"/>
          </w:tcPr>
          <w:p>
            <w:pPr>
              <w:adjustRightInd w:val="0"/>
              <w:snapToGrid w:val="0"/>
              <w:jc w:val="left"/>
              <w:rPr>
                <w:b/>
                <w:color w:val="000000"/>
                <w:sz w:val="24"/>
              </w:rPr>
            </w:pPr>
            <w:r>
              <w:rPr>
                <w:b/>
                <w:color w:val="000000"/>
                <w:sz w:val="24"/>
              </w:rPr>
              <w:t>单价（元）</w:t>
            </w:r>
          </w:p>
        </w:tc>
        <w:tc>
          <w:tcPr>
            <w:tcW w:w="280" w:type="pct"/>
            <w:vAlign w:val="center"/>
          </w:tcPr>
          <w:p>
            <w:pPr>
              <w:adjustRightInd w:val="0"/>
              <w:snapToGrid w:val="0"/>
              <w:jc w:val="left"/>
              <w:rPr>
                <w:b/>
                <w:color w:val="000000"/>
                <w:sz w:val="24"/>
              </w:rPr>
            </w:pPr>
            <w:r>
              <w:rPr>
                <w:b/>
                <w:color w:val="000000"/>
                <w:sz w:val="24"/>
              </w:rPr>
              <w:t>数量</w:t>
            </w:r>
          </w:p>
        </w:tc>
        <w:tc>
          <w:tcPr>
            <w:tcW w:w="572" w:type="pct"/>
            <w:gridSpan w:val="2"/>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1</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2</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3</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4</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tcPr>
          <w:p>
            <w:pPr>
              <w:jc w:val="right"/>
              <w:rPr>
                <w:b/>
                <w:sz w:val="24"/>
              </w:rPr>
            </w:pPr>
            <w:r>
              <w:rPr>
                <w:b/>
                <w:sz w:val="24"/>
              </w:rPr>
              <w:t>总价（元）</w:t>
            </w:r>
          </w:p>
        </w:tc>
        <w:tc>
          <w:tcPr>
            <w:tcW w:w="569" w:type="pct"/>
            <w:gridSpan w:val="2"/>
            <w:vAlign w:val="center"/>
          </w:tcPr>
          <w:p>
            <w:pPr>
              <w:adjustRightInd w:val="0"/>
              <w:snapToGrid w:val="0"/>
              <w:jc w:val="left"/>
              <w:rPr>
                <w:color w:val="000000"/>
                <w:sz w:val="24"/>
              </w:rPr>
            </w:pPr>
          </w:p>
        </w:tc>
      </w:tr>
    </w:tbl>
    <w:p>
      <w:pPr>
        <w:tabs>
          <w:tab w:val="left" w:pos="1800"/>
          <w:tab w:val="left" w:pos="5580"/>
        </w:tabs>
        <w:jc w:val="left"/>
        <w:rPr>
          <w:rFonts w:ascii="宋体" w:hAnsi="宋体"/>
          <w:b/>
          <w:color w:val="000000"/>
          <w:sz w:val="36"/>
          <w:szCs w:val="36"/>
        </w:rPr>
      </w:pPr>
    </w:p>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3" w:name="_Toc127151562"/>
      <w:bookmarkStart w:id="734" w:name="_Toc264969252"/>
      <w:bookmarkStart w:id="735" w:name="_Toc195842927"/>
      <w:bookmarkStart w:id="736" w:name="_Toc265228400"/>
      <w:bookmarkStart w:id="737" w:name="_Toc150774765"/>
      <w:bookmarkStart w:id="738" w:name="_Toc226309806"/>
      <w:bookmarkStart w:id="739" w:name="_Toc226965835"/>
      <w:bookmarkStart w:id="740" w:name="_Toc305158830"/>
      <w:bookmarkStart w:id="741" w:name="_Toc305158904"/>
      <w:bookmarkStart w:id="742" w:name="_Toc142311062"/>
      <w:bookmarkStart w:id="743" w:name="_Toc226965752"/>
      <w:bookmarkStart w:id="744" w:name="_Toc150480798"/>
      <w:bookmarkStart w:id="745" w:name="_Toc226337258"/>
      <w:bookmarkStart w:id="746" w:name="_Toc127151561"/>
      <w:bookmarkStart w:id="747" w:name="_Toc265228399"/>
      <w:bookmarkStart w:id="748" w:name="_Toc305158829"/>
      <w:bookmarkStart w:id="749" w:name="_Toc226337257"/>
      <w:bookmarkStart w:id="750" w:name="_Toc195842926"/>
      <w:bookmarkStart w:id="751" w:name="_Toc226965834"/>
      <w:bookmarkStart w:id="752" w:name="_Toc264969251"/>
      <w:bookmarkStart w:id="753" w:name="_Toc150774764"/>
      <w:bookmarkStart w:id="754" w:name="_Toc305158903"/>
      <w:bookmarkStart w:id="755" w:name="_Toc226965751"/>
      <w:bookmarkStart w:id="756" w:name="_Toc142311061"/>
      <w:bookmarkStart w:id="757" w:name="_Toc150480797"/>
      <w:bookmarkStart w:id="758" w:name="_Toc226309805"/>
      <w:r>
        <w:rPr>
          <w:rFonts w:hint="eastAsia" w:ascii="宋体" w:hAnsi="宋体"/>
          <w:color w:val="000000"/>
          <w:sz w:val="24"/>
          <w:szCs w:val="20"/>
        </w:rPr>
        <w:t>5</w:t>
      </w:r>
      <w:r>
        <w:rPr>
          <w:rFonts w:ascii="宋体" w:hAnsi="宋体"/>
          <w:color w:val="000000"/>
          <w:sz w:val="24"/>
          <w:szCs w:val="20"/>
        </w:rPr>
        <w:t xml:space="preserve">  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5"/>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15"/>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b/>
                <w:sz w:val="24"/>
                <w:lang w:eastAsia="zh-CN"/>
              </w:rPr>
            </w:pPr>
            <w:r>
              <w:rPr>
                <w:b/>
                <w:sz w:val="24"/>
                <w:lang w:eastAsia="zh-CN"/>
              </w:rPr>
              <w:t>占</w:t>
            </w:r>
            <w:r>
              <w:rPr>
                <w:rFonts w:hint="eastAsia"/>
                <w:b/>
                <w:sz w:val="24"/>
                <w:lang w:eastAsia="zh-CN"/>
              </w:rPr>
              <w:t>响应报价</w:t>
            </w:r>
          </w:p>
          <w:p>
            <w:pPr>
              <w:pStyle w:val="254"/>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、安装调试及培训方案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2461F9E"/>
    <w:multiLevelType w:val="multilevel"/>
    <w:tmpl w:val="22461F9E"/>
    <w:lvl w:ilvl="0" w:tentative="0">
      <w:start w:val="1"/>
      <w:numFmt w:val="japaneseCounting"/>
      <w:lvlText w:val="%1、"/>
      <w:lvlJc w:val="left"/>
      <w:pPr>
        <w:ind w:left="420" w:hanging="420"/>
      </w:pPr>
      <w:rPr>
        <w:rFonts w:hint="default" w:ascii="宋体" w:hAnsi="宋体" w:cs="宋体"/>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634502"/>
    <w:multiLevelType w:val="singleLevel"/>
    <w:tmpl w:val="63634502"/>
    <w:lvl w:ilvl="0" w:tentative="0">
      <w:start w:val="1"/>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1"/>
  </w:num>
  <w:num w:numId="12">
    <w:abstractNumId w:val="15"/>
  </w:num>
  <w:num w:numId="13">
    <w:abstractNumId w:val="12"/>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0F4"/>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1E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77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DB3BAC"/>
    <w:rsid w:val="039B4674"/>
    <w:rsid w:val="03CF1D81"/>
    <w:rsid w:val="03D54514"/>
    <w:rsid w:val="04E76A39"/>
    <w:rsid w:val="05046312"/>
    <w:rsid w:val="050B015A"/>
    <w:rsid w:val="06B15458"/>
    <w:rsid w:val="06B36054"/>
    <w:rsid w:val="08E95A46"/>
    <w:rsid w:val="08F64DC1"/>
    <w:rsid w:val="0ACB4F8A"/>
    <w:rsid w:val="0B660C1A"/>
    <w:rsid w:val="0BDC31C7"/>
    <w:rsid w:val="0C111AB4"/>
    <w:rsid w:val="0C260F5E"/>
    <w:rsid w:val="0C744089"/>
    <w:rsid w:val="0EA43C9D"/>
    <w:rsid w:val="108D4A90"/>
    <w:rsid w:val="11937230"/>
    <w:rsid w:val="1218482D"/>
    <w:rsid w:val="12C25655"/>
    <w:rsid w:val="147B3A1F"/>
    <w:rsid w:val="14906B65"/>
    <w:rsid w:val="16E757FC"/>
    <w:rsid w:val="17F93E0B"/>
    <w:rsid w:val="19D011E4"/>
    <w:rsid w:val="1A3F2538"/>
    <w:rsid w:val="1C455CA5"/>
    <w:rsid w:val="1C67088B"/>
    <w:rsid w:val="1CF25113"/>
    <w:rsid w:val="1D1400E0"/>
    <w:rsid w:val="1D2C69D2"/>
    <w:rsid w:val="1F02073C"/>
    <w:rsid w:val="1FC63C3B"/>
    <w:rsid w:val="2006452E"/>
    <w:rsid w:val="20582725"/>
    <w:rsid w:val="20635A57"/>
    <w:rsid w:val="21654BDE"/>
    <w:rsid w:val="21BF509F"/>
    <w:rsid w:val="220A23E4"/>
    <w:rsid w:val="2249746C"/>
    <w:rsid w:val="22932EB2"/>
    <w:rsid w:val="23923363"/>
    <w:rsid w:val="239E00B4"/>
    <w:rsid w:val="23E64310"/>
    <w:rsid w:val="24150AFD"/>
    <w:rsid w:val="245078F0"/>
    <w:rsid w:val="251E74A4"/>
    <w:rsid w:val="26555BF8"/>
    <w:rsid w:val="26963E40"/>
    <w:rsid w:val="26CA27B2"/>
    <w:rsid w:val="26F50752"/>
    <w:rsid w:val="270B2E3E"/>
    <w:rsid w:val="27843CE5"/>
    <w:rsid w:val="28247630"/>
    <w:rsid w:val="28F32B26"/>
    <w:rsid w:val="29957F18"/>
    <w:rsid w:val="2AC416EF"/>
    <w:rsid w:val="2B564267"/>
    <w:rsid w:val="2E39347F"/>
    <w:rsid w:val="2E6945A7"/>
    <w:rsid w:val="2F983E1B"/>
    <w:rsid w:val="2FCA7487"/>
    <w:rsid w:val="315A6669"/>
    <w:rsid w:val="32127A3F"/>
    <w:rsid w:val="32923F98"/>
    <w:rsid w:val="32CD6EEC"/>
    <w:rsid w:val="32EB653A"/>
    <w:rsid w:val="33561FB2"/>
    <w:rsid w:val="3403387D"/>
    <w:rsid w:val="34E546E9"/>
    <w:rsid w:val="37B55E99"/>
    <w:rsid w:val="3A6C30A4"/>
    <w:rsid w:val="3BCB6780"/>
    <w:rsid w:val="3C5F238F"/>
    <w:rsid w:val="3C9B4A65"/>
    <w:rsid w:val="3DF140B8"/>
    <w:rsid w:val="3E091E23"/>
    <w:rsid w:val="3EA515C9"/>
    <w:rsid w:val="3F381EE7"/>
    <w:rsid w:val="404E15B7"/>
    <w:rsid w:val="41C0641A"/>
    <w:rsid w:val="41EE565D"/>
    <w:rsid w:val="429D124A"/>
    <w:rsid w:val="42CD0A98"/>
    <w:rsid w:val="42F44377"/>
    <w:rsid w:val="431A0C09"/>
    <w:rsid w:val="451A46E7"/>
    <w:rsid w:val="468061AE"/>
    <w:rsid w:val="46C61E77"/>
    <w:rsid w:val="480E2158"/>
    <w:rsid w:val="48FB5623"/>
    <w:rsid w:val="4A15577F"/>
    <w:rsid w:val="4B5A4840"/>
    <w:rsid w:val="4B65373A"/>
    <w:rsid w:val="4B977429"/>
    <w:rsid w:val="4C190579"/>
    <w:rsid w:val="4C4D4AF8"/>
    <w:rsid w:val="4C910630"/>
    <w:rsid w:val="4CD37D3E"/>
    <w:rsid w:val="4CE23492"/>
    <w:rsid w:val="4D00163A"/>
    <w:rsid w:val="4D231458"/>
    <w:rsid w:val="4DEB53B0"/>
    <w:rsid w:val="4E33358C"/>
    <w:rsid w:val="4F0F5BE3"/>
    <w:rsid w:val="4F2A164C"/>
    <w:rsid w:val="4F4C553B"/>
    <w:rsid w:val="503827BA"/>
    <w:rsid w:val="51502341"/>
    <w:rsid w:val="51CF68DD"/>
    <w:rsid w:val="52422029"/>
    <w:rsid w:val="52CC40DE"/>
    <w:rsid w:val="54B025BC"/>
    <w:rsid w:val="55040901"/>
    <w:rsid w:val="55E80D0A"/>
    <w:rsid w:val="5643722D"/>
    <w:rsid w:val="565F7902"/>
    <w:rsid w:val="56DF05DE"/>
    <w:rsid w:val="56F70118"/>
    <w:rsid w:val="57FC6189"/>
    <w:rsid w:val="59116B65"/>
    <w:rsid w:val="595B6AA6"/>
    <w:rsid w:val="5B69102B"/>
    <w:rsid w:val="5E193A9C"/>
    <w:rsid w:val="5E4E2182"/>
    <w:rsid w:val="5EC7698C"/>
    <w:rsid w:val="5F073306"/>
    <w:rsid w:val="5F5F73B9"/>
    <w:rsid w:val="642C622B"/>
    <w:rsid w:val="65321667"/>
    <w:rsid w:val="65D67696"/>
    <w:rsid w:val="66FC119E"/>
    <w:rsid w:val="6838144E"/>
    <w:rsid w:val="6853399D"/>
    <w:rsid w:val="68AA7398"/>
    <w:rsid w:val="69011DBE"/>
    <w:rsid w:val="694903B8"/>
    <w:rsid w:val="6A325A85"/>
    <w:rsid w:val="6E1B2C7E"/>
    <w:rsid w:val="6E7D2524"/>
    <w:rsid w:val="6F97D24A"/>
    <w:rsid w:val="7062381E"/>
    <w:rsid w:val="707B2F14"/>
    <w:rsid w:val="716C1CE5"/>
    <w:rsid w:val="71E909FE"/>
    <w:rsid w:val="728959E5"/>
    <w:rsid w:val="72D11816"/>
    <w:rsid w:val="742C597A"/>
    <w:rsid w:val="74BF53EA"/>
    <w:rsid w:val="74EE0377"/>
    <w:rsid w:val="75395CBA"/>
    <w:rsid w:val="767C665B"/>
    <w:rsid w:val="768914CC"/>
    <w:rsid w:val="77575522"/>
    <w:rsid w:val="77A56AD2"/>
    <w:rsid w:val="77AA766B"/>
    <w:rsid w:val="79444E26"/>
    <w:rsid w:val="7A2F22B2"/>
    <w:rsid w:val="7BC506FF"/>
    <w:rsid w:val="7BD438AB"/>
    <w:rsid w:val="7CB50DA1"/>
    <w:rsid w:val="7D5661EE"/>
    <w:rsid w:val="7EA53C58"/>
    <w:rsid w:val="7EFD4DC3"/>
    <w:rsid w:val="7F1E197E"/>
    <w:rsid w:val="7F97D7F2"/>
    <w:rsid w:val="A6FEB8E8"/>
    <w:rsid w:val="B3EF115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2">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 w:val="21"/>
    </w:rPr>
  </w:style>
  <w:style w:type="paragraph" w:styleId="3">
    <w:name w:val="Body Text Indent"/>
    <w:basedOn w:val="1"/>
    <w:link w:val="65"/>
    <w:qFormat/>
    <w:uiPriority w:val="0"/>
    <w:pPr>
      <w:spacing w:line="360" w:lineRule="auto"/>
      <w:ind w:firstLine="570"/>
    </w:pPr>
    <w:rPr>
      <w:sz w:val="24"/>
    </w:rPr>
  </w:style>
  <w:style w:type="paragraph" w:styleId="6">
    <w:name w:val="Normal Indent"/>
    <w:basedOn w:val="1"/>
    <w:link w:val="5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1"/>
    <w:qFormat/>
    <w:uiPriority w:val="0"/>
    <w:pPr>
      <w:shd w:val="clear" w:color="auto" w:fill="000080"/>
    </w:pPr>
  </w:style>
  <w:style w:type="paragraph" w:styleId="16">
    <w:name w:val="annotation text"/>
    <w:basedOn w:val="1"/>
    <w:link w:val="62"/>
    <w:qFormat/>
    <w:uiPriority w:val="99"/>
    <w:pPr>
      <w:jc w:val="left"/>
    </w:pPr>
  </w:style>
  <w:style w:type="paragraph" w:styleId="17">
    <w:name w:val="Body Text 3"/>
    <w:basedOn w:val="1"/>
    <w:link w:val="63"/>
    <w:qFormat/>
    <w:uiPriority w:val="0"/>
    <w:pPr>
      <w:spacing w:after="120"/>
    </w:pPr>
    <w:rPr>
      <w:sz w:val="16"/>
      <w:szCs w:val="16"/>
    </w:rPr>
  </w:style>
  <w:style w:type="paragraph" w:styleId="18">
    <w:name w:val="Body Text"/>
    <w:basedOn w:val="1"/>
    <w:next w:val="1"/>
    <w:link w:val="64"/>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8"/>
    <w:qFormat/>
    <w:uiPriority w:val="0"/>
    <w:rPr>
      <w:rFonts w:hint="eastAsia" w:ascii="宋体" w:hAnsi="Courier New"/>
      <w:szCs w:val="20"/>
    </w:rPr>
  </w:style>
  <w:style w:type="paragraph" w:styleId="23">
    <w:name w:val="Date"/>
    <w:basedOn w:val="1"/>
    <w:next w:val="1"/>
    <w:link w:val="70"/>
    <w:qFormat/>
    <w:uiPriority w:val="0"/>
    <w:pPr>
      <w:ind w:left="100" w:leftChars="2500"/>
    </w:pPr>
    <w:rPr>
      <w:rFonts w:ascii="仿宋_GB2312" w:hAnsi="宋体" w:eastAsia="仿宋_GB2312"/>
      <w:color w:val="000000"/>
      <w:sz w:val="24"/>
    </w:rPr>
  </w:style>
  <w:style w:type="paragraph" w:styleId="24">
    <w:name w:val="Body Text Indent 2"/>
    <w:basedOn w:val="1"/>
    <w:link w:val="71"/>
    <w:qFormat/>
    <w:uiPriority w:val="99"/>
    <w:pPr>
      <w:ind w:firstLine="480" w:firstLineChars="200"/>
    </w:pPr>
    <w:rPr>
      <w:rFonts w:ascii="仿宋_GB2312" w:eastAsia="仿宋_GB2312"/>
      <w:sz w:val="24"/>
    </w:rPr>
  </w:style>
  <w:style w:type="paragraph" w:styleId="25">
    <w:name w:val="Balloon Text"/>
    <w:basedOn w:val="1"/>
    <w:link w:val="72"/>
    <w:qFormat/>
    <w:uiPriority w:val="0"/>
    <w:rPr>
      <w:sz w:val="18"/>
      <w:szCs w:val="18"/>
    </w:rPr>
  </w:style>
  <w:style w:type="paragraph" w:styleId="26">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2"/>
    <w:qFormat/>
    <w:uiPriority w:val="0"/>
    <w:pPr>
      <w:jc w:val="center"/>
      <w:outlineLvl w:val="0"/>
    </w:pPr>
    <w:rPr>
      <w:b/>
      <w:sz w:val="32"/>
      <w:szCs w:val="20"/>
    </w:rPr>
  </w:style>
  <w:style w:type="paragraph" w:styleId="37">
    <w:name w:val="annotation subject"/>
    <w:basedOn w:val="16"/>
    <w:next w:val="16"/>
    <w:link w:val="83"/>
    <w:qFormat/>
    <w:uiPriority w:val="0"/>
    <w:rPr>
      <w:b/>
      <w:bCs/>
    </w:rPr>
  </w:style>
  <w:style w:type="paragraph" w:styleId="38">
    <w:name w:val="Body Text First Indent"/>
    <w:basedOn w:val="18"/>
    <w:next w:val="1"/>
    <w:qFormat/>
    <w:uiPriority w:val="0"/>
    <w:pPr>
      <w:spacing w:line="360" w:lineRule="auto"/>
      <w:ind w:firstLine="420"/>
    </w:pPr>
    <w:rPr>
      <w:szCs w:val="20"/>
    </w:rPr>
  </w:style>
  <w:style w:type="table" w:styleId="40">
    <w:name w:val="Table Grid"/>
    <w:basedOn w:val="3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1">
    <w:name w:val="Medium Grid 1 Accent 2"/>
    <w:basedOn w:val="3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3">
    <w:name w:val="Strong"/>
    <w:qFormat/>
    <w:uiPriority w:val="22"/>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qFormat/>
    <w:uiPriority w:val="99"/>
    <w:rPr>
      <w:color w:val="0000FF"/>
      <w:u w:val="single"/>
    </w:rPr>
  </w:style>
  <w:style w:type="character" w:styleId="48">
    <w:name w:val="annotation reference"/>
    <w:basedOn w:val="42"/>
    <w:qFormat/>
    <w:uiPriority w:val="99"/>
    <w:rPr>
      <w:sz w:val="21"/>
      <w:szCs w:val="21"/>
    </w:rPr>
  </w:style>
  <w:style w:type="character" w:styleId="49">
    <w:name w:val="HTML Cite"/>
    <w:qFormat/>
    <w:uiPriority w:val="0"/>
    <w:rPr>
      <w:i/>
      <w:iCs/>
    </w:rPr>
  </w:style>
  <w:style w:type="character" w:customStyle="1" w:styleId="50">
    <w:name w:val="标题 1 Char"/>
    <w:link w:val="4"/>
    <w:qFormat/>
    <w:uiPriority w:val="0"/>
    <w:rPr>
      <w:rFonts w:ascii="宋体"/>
      <w:b/>
      <w:kern w:val="44"/>
      <w:sz w:val="32"/>
    </w:rPr>
  </w:style>
  <w:style w:type="character" w:customStyle="1" w:styleId="51">
    <w:name w:val="标题 2 Char1"/>
    <w:link w:val="5"/>
    <w:qFormat/>
    <w:uiPriority w:val="0"/>
    <w:rPr>
      <w:rFonts w:ascii="Arial" w:hAnsi="Arial" w:eastAsia="黑体"/>
      <w:b/>
      <w:sz w:val="30"/>
      <w:lang w:val="en-US" w:eastAsia="zh-CN" w:bidi="ar-SA"/>
    </w:rPr>
  </w:style>
  <w:style w:type="character" w:customStyle="1" w:styleId="52">
    <w:name w:val="正文缩进 Char1"/>
    <w:link w:val="6"/>
    <w:qFormat/>
    <w:uiPriority w:val="0"/>
    <w:rPr>
      <w:rFonts w:ascii="宋体" w:eastAsia="宋体"/>
      <w:kern w:val="2"/>
      <w:sz w:val="24"/>
      <w:szCs w:val="24"/>
      <w:lang w:val="en-US" w:eastAsia="zh-CN" w:bidi="ar-SA"/>
    </w:rPr>
  </w:style>
  <w:style w:type="character" w:customStyle="1" w:styleId="53">
    <w:name w:val="标题 3 Char1"/>
    <w:link w:val="7"/>
    <w:qFormat/>
    <w:uiPriority w:val="0"/>
    <w:rPr>
      <w:rFonts w:ascii="宋体" w:eastAsia="宋体"/>
      <w:b/>
      <w:sz w:val="24"/>
      <w:u w:val="single"/>
      <w:lang w:val="en-US" w:eastAsia="zh-CN" w:bidi="ar-SA"/>
    </w:rPr>
  </w:style>
  <w:style w:type="character" w:customStyle="1" w:styleId="54">
    <w:name w:val="标题 4 Char"/>
    <w:link w:val="8"/>
    <w:qFormat/>
    <w:uiPriority w:val="0"/>
    <w:rPr>
      <w:rFonts w:ascii="Arial" w:hAnsi="Arial" w:eastAsia="黑体"/>
      <w:b/>
      <w:sz w:val="28"/>
    </w:rPr>
  </w:style>
  <w:style w:type="character" w:customStyle="1" w:styleId="55">
    <w:name w:val="标题 5 Char"/>
    <w:link w:val="9"/>
    <w:qFormat/>
    <w:uiPriority w:val="0"/>
    <w:rPr>
      <w:b/>
      <w:sz w:val="28"/>
    </w:rPr>
  </w:style>
  <w:style w:type="character" w:customStyle="1" w:styleId="56">
    <w:name w:val="标题 6 Char"/>
    <w:link w:val="10"/>
    <w:qFormat/>
    <w:uiPriority w:val="0"/>
    <w:rPr>
      <w:rFonts w:ascii="Arial" w:hAnsi="Arial" w:eastAsia="黑体"/>
      <w:b/>
      <w:sz w:val="24"/>
    </w:rPr>
  </w:style>
  <w:style w:type="character" w:customStyle="1" w:styleId="57">
    <w:name w:val="标题 7 Char"/>
    <w:link w:val="11"/>
    <w:qFormat/>
    <w:uiPriority w:val="0"/>
    <w:rPr>
      <w:b/>
      <w:sz w:val="24"/>
    </w:rPr>
  </w:style>
  <w:style w:type="character" w:customStyle="1" w:styleId="58">
    <w:name w:val="标题 8 Char"/>
    <w:link w:val="12"/>
    <w:qFormat/>
    <w:uiPriority w:val="0"/>
    <w:rPr>
      <w:rFonts w:ascii="Arial" w:hAnsi="Arial" w:eastAsia="黑体"/>
      <w:sz w:val="24"/>
    </w:rPr>
  </w:style>
  <w:style w:type="character" w:customStyle="1" w:styleId="59">
    <w:name w:val="标题 9 Char"/>
    <w:link w:val="13"/>
    <w:qFormat/>
    <w:uiPriority w:val="0"/>
    <w:rPr>
      <w:rFonts w:ascii="Arial" w:hAnsi="Arial" w:eastAsia="黑体"/>
      <w:sz w:val="21"/>
    </w:rPr>
  </w:style>
  <w:style w:type="paragraph" w:customStyle="1" w:styleId="60">
    <w:name w:val="目录 71"/>
    <w:basedOn w:val="1"/>
    <w:next w:val="1"/>
    <w:qFormat/>
    <w:uiPriority w:val="0"/>
    <w:pPr>
      <w:ind w:left="2520" w:leftChars="1200"/>
    </w:pPr>
  </w:style>
  <w:style w:type="character" w:customStyle="1" w:styleId="61">
    <w:name w:val="文档结构图 Char"/>
    <w:link w:val="15"/>
    <w:qFormat/>
    <w:uiPriority w:val="0"/>
    <w:rPr>
      <w:kern w:val="2"/>
      <w:sz w:val="21"/>
      <w:szCs w:val="24"/>
      <w:shd w:val="clear" w:color="auto" w:fill="000080"/>
    </w:rPr>
  </w:style>
  <w:style w:type="character" w:customStyle="1" w:styleId="62">
    <w:name w:val="批注文字 Char1"/>
    <w:link w:val="16"/>
    <w:qFormat/>
    <w:uiPriority w:val="99"/>
    <w:rPr>
      <w:kern w:val="2"/>
      <w:sz w:val="21"/>
      <w:szCs w:val="24"/>
    </w:rPr>
  </w:style>
  <w:style w:type="character" w:customStyle="1" w:styleId="63">
    <w:name w:val="正文文本 3 Char"/>
    <w:link w:val="17"/>
    <w:qFormat/>
    <w:uiPriority w:val="0"/>
    <w:rPr>
      <w:kern w:val="2"/>
      <w:sz w:val="16"/>
      <w:szCs w:val="16"/>
    </w:rPr>
  </w:style>
  <w:style w:type="character" w:customStyle="1" w:styleId="64">
    <w:name w:val="正文文本 Char1"/>
    <w:link w:val="18"/>
    <w:qFormat/>
    <w:uiPriority w:val="0"/>
    <w:rPr>
      <w:rFonts w:ascii="宋体" w:hAnsi="宋体"/>
      <w:kern w:val="2"/>
      <w:sz w:val="24"/>
      <w:szCs w:val="24"/>
    </w:rPr>
  </w:style>
  <w:style w:type="character" w:customStyle="1" w:styleId="65">
    <w:name w:val="正文文本缩进 Char2"/>
    <w:link w:val="3"/>
    <w:qFormat/>
    <w:uiPriority w:val="0"/>
    <w:rPr>
      <w:rFonts w:eastAsia="宋体"/>
      <w:kern w:val="2"/>
      <w:sz w:val="24"/>
      <w:szCs w:val="24"/>
      <w:lang w:val="en-US" w:eastAsia="zh-CN" w:bidi="ar-SA"/>
    </w:rPr>
  </w:style>
  <w:style w:type="paragraph" w:customStyle="1" w:styleId="66">
    <w:name w:val="目录 51"/>
    <w:basedOn w:val="1"/>
    <w:next w:val="1"/>
    <w:qFormat/>
    <w:uiPriority w:val="0"/>
    <w:pPr>
      <w:ind w:left="1680" w:leftChars="800"/>
    </w:pPr>
  </w:style>
  <w:style w:type="paragraph" w:customStyle="1" w:styleId="67">
    <w:name w:val="目录 31"/>
    <w:basedOn w:val="1"/>
    <w:next w:val="1"/>
    <w:qFormat/>
    <w:uiPriority w:val="39"/>
    <w:pPr>
      <w:ind w:left="840" w:leftChars="400"/>
    </w:pPr>
  </w:style>
  <w:style w:type="character" w:customStyle="1" w:styleId="68">
    <w:name w:val="纯文本 Char2"/>
    <w:link w:val="22"/>
    <w:qFormat/>
    <w:uiPriority w:val="99"/>
    <w:rPr>
      <w:rFonts w:hint="eastAsia" w:ascii="宋体" w:hAnsi="Courier New" w:eastAsia="宋体" w:cs="宋体"/>
      <w:kern w:val="2"/>
      <w:sz w:val="21"/>
    </w:rPr>
  </w:style>
  <w:style w:type="paragraph" w:customStyle="1" w:styleId="69">
    <w:name w:val="目录 81"/>
    <w:basedOn w:val="1"/>
    <w:next w:val="1"/>
    <w:qFormat/>
    <w:uiPriority w:val="0"/>
    <w:pPr>
      <w:ind w:left="2940" w:leftChars="1400"/>
    </w:pPr>
  </w:style>
  <w:style w:type="character" w:customStyle="1" w:styleId="70">
    <w:name w:val="日期 Char"/>
    <w:link w:val="23"/>
    <w:qFormat/>
    <w:uiPriority w:val="0"/>
    <w:rPr>
      <w:rFonts w:ascii="仿宋_GB2312" w:hAnsi="宋体" w:eastAsia="仿宋_GB2312"/>
      <w:color w:val="000000"/>
      <w:kern w:val="2"/>
      <w:sz w:val="24"/>
      <w:szCs w:val="24"/>
    </w:rPr>
  </w:style>
  <w:style w:type="character" w:customStyle="1" w:styleId="71">
    <w:name w:val="正文文本缩进 2 Char1"/>
    <w:link w:val="24"/>
    <w:qFormat/>
    <w:uiPriority w:val="0"/>
    <w:rPr>
      <w:rFonts w:ascii="仿宋_GB2312" w:eastAsia="仿宋_GB2312"/>
      <w:kern w:val="2"/>
      <w:sz w:val="24"/>
      <w:szCs w:val="24"/>
    </w:rPr>
  </w:style>
  <w:style w:type="character" w:customStyle="1" w:styleId="72">
    <w:name w:val="批注框文本 Char"/>
    <w:link w:val="25"/>
    <w:qFormat/>
    <w:uiPriority w:val="0"/>
    <w:rPr>
      <w:kern w:val="2"/>
      <w:sz w:val="18"/>
      <w:szCs w:val="18"/>
    </w:rPr>
  </w:style>
  <w:style w:type="character" w:customStyle="1" w:styleId="73">
    <w:name w:val="页脚 Char1"/>
    <w:link w:val="26"/>
    <w:qFormat/>
    <w:uiPriority w:val="99"/>
    <w:rPr>
      <w:rFonts w:ascii="宋体" w:eastAsia="宋体"/>
      <w:sz w:val="18"/>
      <w:lang w:val="en-US" w:eastAsia="zh-CN" w:bidi="ar-SA"/>
    </w:rPr>
  </w:style>
  <w:style w:type="character" w:customStyle="1" w:styleId="74">
    <w:name w:val="页眉 Char1"/>
    <w:link w:val="27"/>
    <w:qFormat/>
    <w:uiPriority w:val="0"/>
    <w:rPr>
      <w:rFonts w:eastAsia="宋体"/>
      <w:kern w:val="2"/>
      <w:sz w:val="18"/>
      <w:szCs w:val="18"/>
      <w:lang w:val="en-US" w:eastAsia="zh-CN" w:bidi="ar-SA"/>
    </w:rPr>
  </w:style>
  <w:style w:type="paragraph" w:customStyle="1" w:styleId="75">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6">
    <w:name w:val="目录 41"/>
    <w:basedOn w:val="1"/>
    <w:next w:val="1"/>
    <w:qFormat/>
    <w:uiPriority w:val="0"/>
    <w:pPr>
      <w:ind w:left="1260" w:leftChars="600"/>
    </w:pPr>
  </w:style>
  <w:style w:type="paragraph" w:customStyle="1" w:styleId="77">
    <w:name w:val="目录 61"/>
    <w:basedOn w:val="1"/>
    <w:next w:val="1"/>
    <w:qFormat/>
    <w:uiPriority w:val="0"/>
    <w:pPr>
      <w:ind w:left="2100" w:leftChars="1000"/>
    </w:pPr>
  </w:style>
  <w:style w:type="character" w:customStyle="1" w:styleId="78">
    <w:name w:val="正文文本缩进 3 Char"/>
    <w:link w:val="29"/>
    <w:qFormat/>
    <w:uiPriority w:val="0"/>
    <w:rPr>
      <w:rFonts w:ascii="宋体"/>
      <w:sz w:val="24"/>
    </w:rPr>
  </w:style>
  <w:style w:type="paragraph" w:customStyle="1" w:styleId="79">
    <w:name w:val="目录 21"/>
    <w:basedOn w:val="1"/>
    <w:next w:val="1"/>
    <w:qFormat/>
    <w:uiPriority w:val="39"/>
    <w:pPr>
      <w:tabs>
        <w:tab w:val="right" w:leader="dot" w:pos="8937"/>
      </w:tabs>
      <w:spacing w:line="312" w:lineRule="auto"/>
      <w:ind w:left="420" w:leftChars="200"/>
    </w:pPr>
  </w:style>
  <w:style w:type="paragraph" w:customStyle="1" w:styleId="80">
    <w:name w:val="目录 91"/>
    <w:basedOn w:val="1"/>
    <w:next w:val="1"/>
    <w:qFormat/>
    <w:uiPriority w:val="0"/>
    <w:pPr>
      <w:ind w:left="3360" w:leftChars="1600"/>
    </w:pPr>
  </w:style>
  <w:style w:type="character" w:customStyle="1" w:styleId="81">
    <w:name w:val="HTML 预设格式 Char"/>
    <w:link w:val="33"/>
    <w:qFormat/>
    <w:uiPriority w:val="0"/>
    <w:rPr>
      <w:rFonts w:ascii="宋体" w:hAnsi="宋体" w:cs="宋体"/>
      <w:sz w:val="24"/>
      <w:szCs w:val="24"/>
    </w:rPr>
  </w:style>
  <w:style w:type="character" w:customStyle="1" w:styleId="82">
    <w:name w:val="标题 Char1"/>
    <w:link w:val="36"/>
    <w:qFormat/>
    <w:uiPriority w:val="0"/>
    <w:rPr>
      <w:b/>
      <w:kern w:val="2"/>
      <w:sz w:val="32"/>
    </w:rPr>
  </w:style>
  <w:style w:type="character" w:customStyle="1" w:styleId="83">
    <w:name w:val="批注主题 Char"/>
    <w:link w:val="37"/>
    <w:qFormat/>
    <w:uiPriority w:val="0"/>
    <w:rPr>
      <w:rFonts w:ascii="Times New Roman" w:hAnsi="Times New Roman" w:eastAsia="宋体" w:cs="Times New Roman"/>
      <w:b/>
      <w:bCs/>
      <w:kern w:val="2"/>
      <w:sz w:val="21"/>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paragraph" w:customStyle="1" w:styleId="85">
    <w:name w:val="正文首行缩进 21"/>
    <w:basedOn w:val="3"/>
    <w:link w:val="86"/>
    <w:qFormat/>
    <w:uiPriority w:val="0"/>
    <w:pPr>
      <w:spacing w:after="120" w:line="480" w:lineRule="exact"/>
      <w:ind w:left="420" w:leftChars="200" w:firstLine="420" w:firstLineChars="200"/>
    </w:pPr>
    <w:rPr>
      <w:szCs w:val="20"/>
    </w:rPr>
  </w:style>
  <w:style w:type="character" w:customStyle="1" w:styleId="86">
    <w:name w:val="正文首行缩进 2 Char1"/>
    <w:link w:val="85"/>
    <w:qFormat/>
    <w:uiPriority w:val="0"/>
    <w:rPr>
      <w:rFonts w:eastAsia="宋体"/>
      <w:kern w:val="2"/>
      <w:sz w:val="24"/>
      <w:szCs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qFormat/>
    <w:uiPriority w:val="34"/>
    <w:rPr>
      <w:rFonts w:ascii="Calibri" w:hAnsi="Calibri" w:eastAsia="宋体"/>
      <w:kern w:val="2"/>
      <w:sz w:val="21"/>
      <w:szCs w:val="22"/>
      <w:lang w:val="en-US" w:eastAsia="zh-CN" w:bidi="ar-SA"/>
    </w:rPr>
  </w:style>
  <w:style w:type="paragraph" w:customStyle="1" w:styleId="102">
    <w:name w:val="列出段落1"/>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35"/>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1"/>
    <w:basedOn w:val="1"/>
    <w:qFormat/>
    <w:uiPriority w:val="0"/>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4"/>
    <w:qFormat/>
    <w:uiPriority w:val="0"/>
    <w:pPr>
      <w:jc w:val="left"/>
    </w:pPr>
    <w:rPr>
      <w:sz w:val="24"/>
      <w:szCs w:val="24"/>
    </w:rPr>
  </w:style>
  <w:style w:type="paragraph" w:customStyle="1" w:styleId="210">
    <w:name w:val="正文小标题"/>
    <w:basedOn w:val="1"/>
    <w:next w:val="6"/>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6"/>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0"/>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0"/>
    <w:rPr>
      <w:rFonts w:ascii="Calibri" w:hAnsi="Calibri" w:eastAsia="宋体"/>
      <w:kern w:val="2"/>
      <w:sz w:val="21"/>
      <w:szCs w:val="22"/>
      <w:lang w:val="en-US" w:eastAsia="zh-CN" w:bidi="ar-SA"/>
    </w:rPr>
  </w:style>
  <w:style w:type="character" w:customStyle="1" w:styleId="231">
    <w:name w:val="页眉 Char"/>
    <w:qFormat/>
    <w:uiPriority w:val="99"/>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0"/>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0"/>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5">
    <w:name w:val="正文首行缩进 2 Char"/>
    <w:qFormat/>
    <w:uiPriority w:val="99"/>
    <w:rPr>
      <w:kern w:val="2"/>
      <w:sz w:val="21"/>
      <w:szCs w:val="24"/>
    </w:rPr>
  </w:style>
  <w:style w:type="character" w:customStyle="1" w:styleId="256">
    <w:name w:val="纯文本 Char"/>
    <w:qFormat/>
    <w:uiPriority w:val="0"/>
    <w:rPr>
      <w:rFonts w:ascii="宋体" w:hAnsi="Courier New"/>
      <w:kern w:val="2"/>
      <w:sz w:val="21"/>
    </w:rPr>
  </w:style>
  <w:style w:type="character" w:customStyle="1" w:styleId="257">
    <w:name w:val="正文文本 Char"/>
    <w:qFormat/>
    <w:uiPriority w:val="0"/>
    <w:rPr>
      <w:rFonts w:ascii="宋体" w:hAnsi="宋体"/>
      <w:kern w:val="2"/>
      <w:sz w:val="24"/>
      <w:szCs w:val="24"/>
    </w:rPr>
  </w:style>
  <w:style w:type="character" w:customStyle="1" w:styleId="258">
    <w:name w:val="正文文本缩进 2 Char"/>
    <w:qFormat/>
    <w:uiPriority w:val="99"/>
    <w:rPr>
      <w:rFonts w:ascii="仿宋_GB2312" w:eastAsia="仿宋_GB2312"/>
      <w:kern w:val="2"/>
      <w:sz w:val="24"/>
      <w:szCs w:val="24"/>
    </w:rPr>
  </w:style>
  <w:style w:type="character" w:customStyle="1" w:styleId="259">
    <w:name w:val="style11"/>
    <w:qFormat/>
    <w:uiPriority w:val="0"/>
    <w:rPr>
      <w:color w:val="000000"/>
      <w:sz w:val="18"/>
      <w:szCs w:val="18"/>
    </w:rPr>
  </w:style>
  <w:style w:type="character" w:customStyle="1" w:styleId="260">
    <w:name w:val="标题 1 字符"/>
    <w:qFormat/>
    <w:uiPriority w:val="0"/>
    <w:rPr>
      <w:rFonts w:ascii="宋体"/>
      <w:b/>
      <w:kern w:val="44"/>
      <w:sz w:val="32"/>
    </w:rPr>
  </w:style>
  <w:style w:type="character" w:customStyle="1" w:styleId="261">
    <w:name w:val="标题 2 字符"/>
    <w:qFormat/>
    <w:uiPriority w:val="0"/>
    <w:rPr>
      <w:rFonts w:ascii="Arial" w:hAnsi="Arial" w:eastAsia="黑体"/>
      <w:b/>
      <w:sz w:val="30"/>
      <w:lang w:val="en-US" w:eastAsia="zh-CN" w:bidi="ar-SA"/>
    </w:rPr>
  </w:style>
  <w:style w:type="character" w:customStyle="1" w:styleId="262">
    <w:name w:val="正文缩进 字符"/>
    <w:qFormat/>
    <w:uiPriority w:val="0"/>
    <w:rPr>
      <w:rFonts w:ascii="宋体" w:eastAsia="宋体"/>
      <w:kern w:val="2"/>
      <w:sz w:val="24"/>
      <w:szCs w:val="24"/>
      <w:lang w:val="en-US" w:eastAsia="zh-CN" w:bidi="ar-SA"/>
    </w:rPr>
  </w:style>
  <w:style w:type="character" w:customStyle="1" w:styleId="263">
    <w:name w:val="标题 3 字符"/>
    <w:qFormat/>
    <w:uiPriority w:val="0"/>
    <w:rPr>
      <w:rFonts w:ascii="宋体" w:eastAsia="宋体"/>
      <w:b/>
      <w:sz w:val="24"/>
      <w:u w:val="single"/>
      <w:lang w:val="en-US" w:eastAsia="zh-CN" w:bidi="ar-SA"/>
    </w:rPr>
  </w:style>
  <w:style w:type="character" w:customStyle="1" w:styleId="264">
    <w:name w:val="标题 4 字符"/>
    <w:qFormat/>
    <w:uiPriority w:val="0"/>
    <w:rPr>
      <w:rFonts w:ascii="Arial" w:hAnsi="Arial" w:eastAsia="黑体"/>
      <w:b/>
      <w:sz w:val="28"/>
    </w:rPr>
  </w:style>
  <w:style w:type="character" w:customStyle="1" w:styleId="265">
    <w:name w:val="标题 5 字符"/>
    <w:qFormat/>
    <w:uiPriority w:val="0"/>
    <w:rPr>
      <w:b/>
      <w:sz w:val="28"/>
    </w:rPr>
  </w:style>
  <w:style w:type="character" w:customStyle="1" w:styleId="266">
    <w:name w:val="标题 6 字符"/>
    <w:qFormat/>
    <w:uiPriority w:val="0"/>
    <w:rPr>
      <w:rFonts w:ascii="Arial" w:hAnsi="Arial" w:eastAsia="黑体"/>
      <w:b/>
      <w:sz w:val="24"/>
    </w:rPr>
  </w:style>
  <w:style w:type="character" w:customStyle="1" w:styleId="267">
    <w:name w:val="标题 7 字符"/>
    <w:qFormat/>
    <w:uiPriority w:val="0"/>
    <w:rPr>
      <w:b/>
      <w:sz w:val="24"/>
    </w:rPr>
  </w:style>
  <w:style w:type="character" w:customStyle="1" w:styleId="268">
    <w:name w:val="标题 8 字符"/>
    <w:qFormat/>
    <w:uiPriority w:val="0"/>
    <w:rPr>
      <w:rFonts w:ascii="Arial" w:hAnsi="Arial" w:eastAsia="黑体"/>
      <w:sz w:val="24"/>
    </w:rPr>
  </w:style>
  <w:style w:type="character" w:customStyle="1" w:styleId="269">
    <w:name w:val="标题 9 字符"/>
    <w:qFormat/>
    <w:uiPriority w:val="0"/>
    <w:rPr>
      <w:rFonts w:ascii="Arial" w:hAnsi="Arial" w:eastAsia="黑体"/>
      <w:sz w:val="21"/>
    </w:rPr>
  </w:style>
  <w:style w:type="character" w:customStyle="1" w:styleId="270">
    <w:name w:val="文档结构图 字符"/>
    <w:qFormat/>
    <w:uiPriority w:val="0"/>
    <w:rPr>
      <w:kern w:val="2"/>
      <w:sz w:val="21"/>
      <w:szCs w:val="24"/>
      <w:shd w:val="clear" w:color="auto" w:fill="000080"/>
    </w:rPr>
  </w:style>
  <w:style w:type="character" w:customStyle="1" w:styleId="271">
    <w:name w:val="批注文字 字符1"/>
    <w:qFormat/>
    <w:uiPriority w:val="99"/>
    <w:rPr>
      <w:kern w:val="2"/>
      <w:sz w:val="21"/>
      <w:szCs w:val="24"/>
    </w:rPr>
  </w:style>
  <w:style w:type="character" w:customStyle="1" w:styleId="272">
    <w:name w:val="正文文本 3 字符"/>
    <w:qFormat/>
    <w:uiPriority w:val="0"/>
    <w:rPr>
      <w:kern w:val="2"/>
      <w:sz w:val="16"/>
      <w:szCs w:val="16"/>
    </w:rPr>
  </w:style>
  <w:style w:type="character" w:customStyle="1" w:styleId="273">
    <w:name w:val="正文文本 字符"/>
    <w:qFormat/>
    <w:uiPriority w:val="0"/>
    <w:rPr>
      <w:rFonts w:ascii="宋体" w:hAnsi="宋体"/>
      <w:kern w:val="2"/>
      <w:sz w:val="24"/>
      <w:szCs w:val="24"/>
    </w:rPr>
  </w:style>
  <w:style w:type="character" w:customStyle="1" w:styleId="274">
    <w:name w:val="正文文本缩进 字符"/>
    <w:qFormat/>
    <w:uiPriority w:val="0"/>
    <w:rPr>
      <w:rFonts w:eastAsia="宋体"/>
      <w:kern w:val="2"/>
      <w:sz w:val="24"/>
      <w:szCs w:val="24"/>
      <w:lang w:val="en-US" w:eastAsia="zh-CN" w:bidi="ar-SA"/>
    </w:rPr>
  </w:style>
  <w:style w:type="character" w:customStyle="1" w:styleId="275">
    <w:name w:val="纯文本 字符2"/>
    <w:qFormat/>
    <w:uiPriority w:val="0"/>
    <w:rPr>
      <w:rFonts w:hint="eastAsia" w:ascii="宋体" w:hAnsi="Courier New" w:eastAsia="宋体" w:cs="宋体"/>
      <w:kern w:val="2"/>
      <w:sz w:val="21"/>
    </w:rPr>
  </w:style>
  <w:style w:type="character" w:customStyle="1" w:styleId="276">
    <w:name w:val="日期 字符"/>
    <w:qFormat/>
    <w:uiPriority w:val="0"/>
    <w:rPr>
      <w:rFonts w:ascii="仿宋_GB2312" w:hAnsi="宋体" w:eastAsia="仿宋_GB2312"/>
      <w:color w:val="000000"/>
      <w:kern w:val="2"/>
      <w:sz w:val="24"/>
      <w:szCs w:val="24"/>
    </w:rPr>
  </w:style>
  <w:style w:type="character" w:customStyle="1" w:styleId="277">
    <w:name w:val="正文文本缩进 2 字符"/>
    <w:qFormat/>
    <w:uiPriority w:val="0"/>
    <w:rPr>
      <w:rFonts w:ascii="仿宋_GB2312" w:eastAsia="仿宋_GB2312"/>
      <w:kern w:val="2"/>
      <w:sz w:val="24"/>
      <w:szCs w:val="24"/>
    </w:rPr>
  </w:style>
  <w:style w:type="character" w:customStyle="1" w:styleId="278">
    <w:name w:val="批注框文本 字符"/>
    <w:qFormat/>
    <w:uiPriority w:val="0"/>
    <w:rPr>
      <w:kern w:val="2"/>
      <w:sz w:val="18"/>
      <w:szCs w:val="18"/>
    </w:rPr>
  </w:style>
  <w:style w:type="character" w:customStyle="1" w:styleId="279">
    <w:name w:val="页脚 字符"/>
    <w:qFormat/>
    <w:uiPriority w:val="99"/>
    <w:rPr>
      <w:rFonts w:ascii="宋体" w:eastAsia="宋体"/>
      <w:sz w:val="18"/>
      <w:lang w:val="en-US" w:eastAsia="zh-CN" w:bidi="ar-SA"/>
    </w:rPr>
  </w:style>
  <w:style w:type="character" w:customStyle="1" w:styleId="280">
    <w:name w:val="页眉 字符"/>
    <w:qFormat/>
    <w:uiPriority w:val="0"/>
    <w:rPr>
      <w:rFonts w:eastAsia="宋体"/>
      <w:kern w:val="2"/>
      <w:sz w:val="18"/>
      <w:szCs w:val="18"/>
      <w:lang w:val="en-US" w:eastAsia="zh-CN" w:bidi="ar-SA"/>
    </w:rPr>
  </w:style>
  <w:style w:type="character" w:customStyle="1" w:styleId="281">
    <w:name w:val="正文文本缩进 3 字符"/>
    <w:qFormat/>
    <w:uiPriority w:val="0"/>
    <w:rPr>
      <w:rFonts w:ascii="宋体"/>
      <w:sz w:val="24"/>
    </w:rPr>
  </w:style>
  <w:style w:type="character" w:customStyle="1" w:styleId="282">
    <w:name w:val="HTML 预设格式 字符"/>
    <w:qFormat/>
    <w:uiPriority w:val="0"/>
    <w:rPr>
      <w:rFonts w:ascii="宋体" w:hAnsi="宋体" w:cs="宋体"/>
      <w:sz w:val="24"/>
      <w:szCs w:val="24"/>
    </w:rPr>
  </w:style>
  <w:style w:type="character" w:customStyle="1" w:styleId="283">
    <w:name w:val="标题 字符"/>
    <w:qFormat/>
    <w:uiPriority w:val="0"/>
    <w:rPr>
      <w:b/>
      <w:kern w:val="2"/>
      <w:sz w:val="32"/>
    </w:rPr>
  </w:style>
  <w:style w:type="character" w:customStyle="1" w:styleId="284">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5">
    <w:name w:val="正文文本首行缩进 2 字符"/>
    <w:qFormat/>
    <w:uiPriority w:val="0"/>
    <w:rPr>
      <w:rFonts w:eastAsia="宋体"/>
      <w:kern w:val="2"/>
      <w:sz w:val="24"/>
      <w:szCs w:val="24"/>
      <w:lang w:val="en-US" w:eastAsia="zh-CN" w:bidi="ar-SA"/>
    </w:rPr>
  </w:style>
  <w:style w:type="paragraph" w:customStyle="1" w:styleId="2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7">
    <w:name w:val="Plain Text1"/>
    <w:basedOn w:val="1"/>
    <w:qFormat/>
    <w:uiPriority w:val="99"/>
    <w:pPr>
      <w:adjustRightInd w:val="0"/>
      <w:jc w:val="left"/>
    </w:pPr>
    <w:rPr>
      <w:rFonts w:ascii="宋体" w:hAnsi="Courier New" w:eastAsia="等线"/>
      <w:sz w:val="24"/>
      <w:szCs w:val="20"/>
    </w:rPr>
  </w:style>
  <w:style w:type="paragraph" w:customStyle="1" w:styleId="288">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89">
    <w:name w:val="font21"/>
    <w:basedOn w:val="42"/>
    <w:qFormat/>
    <w:uiPriority w:val="99"/>
    <w:rPr>
      <w:rFonts w:ascii="宋体" w:hAnsi="宋体" w:eastAsia="宋体" w:cs="宋体"/>
      <w:color w:val="000000"/>
      <w:sz w:val="18"/>
      <w:szCs w:val="18"/>
      <w:u w:val="none"/>
    </w:rPr>
  </w:style>
  <w:style w:type="character" w:customStyle="1" w:styleId="290">
    <w:name w:val="font41"/>
    <w:basedOn w:val="42"/>
    <w:qFormat/>
    <w:uiPriority w:val="99"/>
    <w:rPr>
      <w:rFonts w:ascii="宋体" w:hAnsi="宋体" w:eastAsia="宋体" w:cs="宋体"/>
      <w:color w:val="000000"/>
      <w:sz w:val="18"/>
      <w:szCs w:val="18"/>
      <w:u w:val="none"/>
    </w:rPr>
  </w:style>
  <w:style w:type="character" w:customStyle="1" w:styleId="291">
    <w:name w:val="font122"/>
    <w:basedOn w:val="42"/>
    <w:qFormat/>
    <w:uiPriority w:val="99"/>
    <w:rPr>
      <w:rFonts w:ascii="微软雅黑" w:hAnsi="微软雅黑" w:eastAsia="微软雅黑" w:cs="微软雅黑"/>
      <w:b/>
      <w:bCs/>
      <w:color w:val="000000"/>
      <w:sz w:val="18"/>
      <w:szCs w:val="18"/>
      <w:u w:val="none"/>
    </w:rPr>
  </w:style>
  <w:style w:type="character" w:customStyle="1" w:styleId="292">
    <w:name w:val="font81"/>
    <w:basedOn w:val="42"/>
    <w:qFormat/>
    <w:uiPriority w:val="99"/>
    <w:rPr>
      <w:rFonts w:ascii="宋体" w:hAnsi="宋体" w:eastAsia="宋体" w:cs="宋体"/>
      <w:b/>
      <w:bCs/>
      <w:color w:val="000000"/>
      <w:sz w:val="18"/>
      <w:szCs w:val="18"/>
      <w:u w:val="none"/>
    </w:rPr>
  </w:style>
  <w:style w:type="character" w:customStyle="1" w:styleId="293">
    <w:name w:val="font131"/>
    <w:basedOn w:val="42"/>
    <w:qFormat/>
    <w:uiPriority w:val="99"/>
    <w:rPr>
      <w:rFonts w:ascii="Calibri" w:hAnsi="Calibri" w:cs="Calibri"/>
      <w:color w:val="FF0000"/>
      <w:sz w:val="18"/>
      <w:szCs w:val="18"/>
      <w:u w:val="none"/>
    </w:rPr>
  </w:style>
  <w:style w:type="character" w:customStyle="1" w:styleId="294">
    <w:name w:val="font101"/>
    <w:basedOn w:val="42"/>
    <w:qFormat/>
    <w:uiPriority w:val="99"/>
    <w:rPr>
      <w:rFonts w:ascii="宋体" w:hAnsi="宋体" w:eastAsia="宋体" w:cs="宋体"/>
      <w:color w:val="FF0000"/>
      <w:sz w:val="18"/>
      <w:szCs w:val="18"/>
      <w:u w:val="none"/>
    </w:rPr>
  </w:style>
  <w:style w:type="character" w:customStyle="1" w:styleId="295">
    <w:name w:val="font91"/>
    <w:basedOn w:val="42"/>
    <w:qFormat/>
    <w:uiPriority w:val="99"/>
    <w:rPr>
      <w:rFonts w:ascii="宋体" w:hAnsi="宋体" w:eastAsia="宋体" w:cs="宋体"/>
      <w:color w:val="FF0000"/>
      <w:sz w:val="18"/>
      <w:szCs w:val="18"/>
      <w:u w:val="none"/>
    </w:rPr>
  </w:style>
  <w:style w:type="character" w:customStyle="1" w:styleId="296">
    <w:name w:val="font31"/>
    <w:basedOn w:val="42"/>
    <w:qFormat/>
    <w:uiPriority w:val="99"/>
    <w:rPr>
      <w:rFonts w:ascii="宋体" w:hAnsi="宋体" w:eastAsia="宋体" w:cs="宋体"/>
      <w:color w:val="000000"/>
      <w:sz w:val="18"/>
      <w:szCs w:val="18"/>
      <w:u w:val="none"/>
    </w:rPr>
  </w:style>
  <w:style w:type="character" w:customStyle="1" w:styleId="297">
    <w:name w:val="font141"/>
    <w:basedOn w:val="42"/>
    <w:qFormat/>
    <w:uiPriority w:val="99"/>
    <w:rPr>
      <w:rFonts w:ascii="Arial" w:hAnsi="Arial" w:cs="Arial"/>
      <w:color w:val="000000"/>
      <w:sz w:val="18"/>
      <w:szCs w:val="18"/>
      <w:u w:val="none"/>
    </w:rPr>
  </w:style>
  <w:style w:type="paragraph" w:customStyle="1" w:styleId="298">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99">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0">
    <w:name w:val="普通文字"/>
    <w:basedOn w:val="1"/>
    <w:qFormat/>
    <w:uiPriority w:val="0"/>
    <w:pPr>
      <w:spacing w:line="351" w:lineRule="atLeast"/>
      <w:ind w:firstLine="419"/>
      <w:textAlignment w:val="baseline"/>
    </w:pPr>
    <w:rPr>
      <w:rFonts w:ascii="宋体"/>
      <w:color w:val="000000"/>
      <w:u w:color="000000"/>
    </w:rPr>
  </w:style>
  <w:style w:type="character" w:customStyle="1" w:styleId="301">
    <w:name w:val="font01"/>
    <w:qFormat/>
    <w:uiPriority w:val="0"/>
    <w:rPr>
      <w:rFonts w:hint="eastAsia" w:ascii="宋体" w:hAnsi="宋体" w:eastAsia="宋体" w:cs="宋体"/>
      <w:color w:val="000000"/>
      <w:sz w:val="21"/>
      <w:szCs w:val="21"/>
      <w:u w:val="none"/>
    </w:rPr>
  </w:style>
  <w:style w:type="paragraph" w:customStyle="1" w:styleId="302">
    <w:name w:val="表格样式 2"/>
    <w:qFormat/>
    <w:uiPriority w:val="0"/>
    <w:rPr>
      <w:rFonts w:ascii="Helvetica Neue" w:hAnsi="Helvetica Neue" w:eastAsia="Arial Unicode MS" w:cs="Arial Unicode MS"/>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74</Pages>
  <Words>35124</Words>
  <Characters>38713</Characters>
  <Lines>296</Lines>
  <Paragraphs>83</Paragraphs>
  <TotalTime>1</TotalTime>
  <ScaleCrop>false</ScaleCrop>
  <LinksUpToDate>false</LinksUpToDate>
  <CharactersWithSpaces>39533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2022-11-08T02:34:00Z</dcterms:created>
  <dc:creator>尹皓</dc:creator>
  <cp:lastModifiedBy>周若晴</cp:lastModifiedBy>
  <cp:lastPrinted>2020-04-02T11:13:00Z</cp:lastPrinted>
  <dcterms:modified xsi:type="dcterms:W3CDTF">2022-11-08T03:31:39Z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