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b/>
          <w:bCs/>
          <w:color w:val="000000" w:themeColor="text1"/>
          <w:sz w:val="72"/>
          <w:szCs w:val="72"/>
          <w14:textFill>
            <w14:solidFill>
              <w14:schemeClr w14:val="tx1"/>
            </w14:solidFill>
          </w14:textFill>
        </w:rPr>
      </w:pPr>
    </w:p>
    <w:p>
      <w:pPr>
        <w:spacing w:line="360" w:lineRule="auto"/>
        <w:jc w:val="center"/>
        <w:rPr>
          <w:rFonts w:ascii="宋体" w:hAnsi="宋体" w:cs="宋体"/>
          <w:b/>
          <w:bCs/>
          <w:color w:val="000000" w:themeColor="text1"/>
          <w:sz w:val="52"/>
          <w:szCs w:val="48"/>
          <w14:textFill>
            <w14:solidFill>
              <w14:schemeClr w14:val="tx1"/>
            </w14:solidFill>
          </w14:textFill>
        </w:rPr>
      </w:pPr>
      <w:bookmarkStart w:id="0" w:name="_Hlk71275692"/>
      <w:r>
        <w:rPr>
          <w:rFonts w:hint="eastAsia" w:ascii="宋体" w:hAnsi="宋体" w:cs="宋体"/>
          <w:b/>
          <w:bCs/>
          <w:color w:val="000000" w:themeColor="text1"/>
          <w:sz w:val="52"/>
          <w:szCs w:val="48"/>
          <w14:textFill>
            <w14:solidFill>
              <w14:schemeClr w14:val="tx1"/>
            </w14:solidFill>
          </w14:textFill>
        </w:rPr>
        <w:t>北京交通大学机车轮驱跑合试验台</w:t>
      </w:r>
    </w:p>
    <w:p>
      <w:pPr>
        <w:spacing w:line="360" w:lineRule="auto"/>
        <w:jc w:val="center"/>
        <w:rPr>
          <w:rFonts w:ascii="宋体" w:hAnsi="宋体" w:cs="宋体"/>
          <w:b/>
          <w:bCs/>
          <w:color w:val="000000" w:themeColor="text1"/>
          <w:sz w:val="52"/>
          <w:szCs w:val="48"/>
          <w14:textFill>
            <w14:solidFill>
              <w14:schemeClr w14:val="tx1"/>
            </w14:solidFill>
          </w14:textFill>
        </w:rPr>
      </w:pPr>
      <w:r>
        <w:rPr>
          <w:rFonts w:hint="eastAsia" w:ascii="宋体" w:hAnsi="宋体" w:cs="宋体"/>
          <w:b/>
          <w:bCs/>
          <w:color w:val="000000" w:themeColor="text1"/>
          <w:sz w:val="52"/>
          <w:szCs w:val="48"/>
          <w14:textFill>
            <w14:solidFill>
              <w14:schemeClr w14:val="tx1"/>
            </w14:solidFill>
          </w14:textFill>
        </w:rPr>
        <w:t>零配件加工</w:t>
      </w:r>
    </w:p>
    <w:bookmarkEnd w:id="0"/>
    <w:p>
      <w:pPr>
        <w:spacing w:line="360" w:lineRule="auto"/>
        <w:jc w:val="center"/>
        <w:rPr>
          <w:rFonts w:ascii="宋体" w:hAnsi="宋体" w:cs="宋体"/>
          <w:b/>
          <w:bCs/>
          <w:color w:val="000000" w:themeColor="text1"/>
          <w:sz w:val="48"/>
          <w:szCs w:val="48"/>
          <w14:textFill>
            <w14:solidFill>
              <w14:schemeClr w14:val="tx1"/>
            </w14:solidFill>
          </w14:textFill>
        </w:rPr>
      </w:pPr>
    </w:p>
    <w:p>
      <w:pPr>
        <w:jc w:val="center"/>
        <w:rPr>
          <w:rFonts w:ascii="宋体"/>
          <w:b/>
          <w:color w:val="000000" w:themeColor="text1"/>
          <w:sz w:val="52"/>
          <w:szCs w:val="52"/>
          <w14:textFill>
            <w14:solidFill>
              <w14:schemeClr w14:val="tx1"/>
            </w14:solidFill>
          </w14:textFill>
        </w:rPr>
      </w:pPr>
      <w:r>
        <w:rPr>
          <w:rFonts w:hint="eastAsia" w:ascii="宋体"/>
          <w:b/>
          <w:color w:val="000000" w:themeColor="text1"/>
          <w:sz w:val="52"/>
          <w:szCs w:val="52"/>
          <w14:textFill>
            <w14:solidFill>
              <w14:schemeClr w14:val="tx1"/>
            </w14:solidFill>
          </w14:textFill>
        </w:rPr>
        <w:t>竞争性磋商文件</w:t>
      </w:r>
    </w:p>
    <w:p>
      <w:pPr>
        <w:spacing w:line="360" w:lineRule="auto"/>
        <w:jc w:val="center"/>
        <w:rPr>
          <w:b/>
          <w:color w:val="000000" w:themeColor="text1"/>
          <w:sz w:val="48"/>
          <w:szCs w:val="21"/>
          <w14:textFill>
            <w14:solidFill>
              <w14:schemeClr w14:val="tx1"/>
            </w14:solidFill>
          </w14:textFill>
        </w:rPr>
      </w:pPr>
    </w:p>
    <w:p>
      <w:pPr>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采购编号：</w:t>
      </w:r>
      <w:r>
        <w:rPr>
          <w:rFonts w:ascii="宋体" w:hAnsi="宋体" w:cs="宋体"/>
          <w:b/>
          <w:bCs/>
          <w:color w:val="000000" w:themeColor="text1"/>
          <w:sz w:val="32"/>
          <w:szCs w:val="32"/>
          <w14:textFill>
            <w14:solidFill>
              <w14:schemeClr w14:val="tx1"/>
            </w14:solidFill>
          </w14:textFill>
        </w:rPr>
        <w:t>BMCC-ZC23-0</w:t>
      </w:r>
      <w:r>
        <w:rPr>
          <w:rFonts w:hint="eastAsia" w:ascii="宋体" w:hAnsi="宋体" w:cs="宋体"/>
          <w:b/>
          <w:bCs/>
          <w:color w:val="000000" w:themeColor="text1"/>
          <w:sz w:val="32"/>
          <w:szCs w:val="32"/>
          <w14:textFill>
            <w14:solidFill>
              <w14:schemeClr w14:val="tx1"/>
            </w14:solidFill>
          </w14:textFill>
        </w:rPr>
        <w:t>407</w:t>
      </w:r>
    </w:p>
    <w:p>
      <w:pPr>
        <w:spacing w:line="360" w:lineRule="auto"/>
        <w:jc w:val="center"/>
        <w:rPr>
          <w:b/>
          <w:color w:val="000000" w:themeColor="text1"/>
          <w:sz w:val="52"/>
          <w14:textFill>
            <w14:solidFill>
              <w14:schemeClr w14:val="tx1"/>
            </w14:solidFill>
          </w14:textFill>
        </w:rPr>
      </w:pPr>
      <w:r>
        <w:rPr>
          <w:rFonts w:hint="eastAsia"/>
          <w:b/>
          <w:color w:val="000000" w:themeColor="text1"/>
          <w:sz w:val="52"/>
          <w14:textFill>
            <w14:solidFill>
              <w14:schemeClr w14:val="tx1"/>
            </w14:solidFill>
          </w14:textFill>
        </w:rPr>
        <w:t>第一册</w:t>
      </w:r>
    </w:p>
    <w:p>
      <w:pPr>
        <w:spacing w:line="360" w:lineRule="auto"/>
        <w:jc w:val="center"/>
        <w:rPr>
          <w:b/>
          <w:color w:val="000000" w:themeColor="text1"/>
          <w:sz w:val="52"/>
          <w14:textFill>
            <w14:solidFill>
              <w14:schemeClr w14:val="tx1"/>
            </w14:solidFill>
          </w14:textFill>
        </w:rPr>
      </w:pPr>
      <w:r>
        <w:rPr>
          <w:rFonts w:ascii="宋体" w:hAnsi="宋体"/>
          <w:b/>
          <w:color w:val="000000" w:themeColor="text1"/>
          <w:sz w:val="52"/>
          <w14:textFill>
            <w14:solidFill>
              <w14:schemeClr w14:val="tx1"/>
            </w14:solidFill>
          </w14:textFill>
        </w:rPr>
        <w:drawing>
          <wp:inline distT="0" distB="0" distL="0" distR="0">
            <wp:extent cx="3435350" cy="2419350"/>
            <wp:effectExtent l="0" t="0" r="0" b="0"/>
            <wp:docPr id="2" name="图片 2"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明德致信-LOG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35350" cy="2419350"/>
                    </a:xfrm>
                    <a:prstGeom prst="rect">
                      <a:avLst/>
                    </a:prstGeom>
                    <a:noFill/>
                    <a:ln>
                      <a:noFill/>
                    </a:ln>
                  </pic:spPr>
                </pic:pic>
              </a:graphicData>
            </a:graphic>
          </wp:inline>
        </w:drawing>
      </w:r>
    </w:p>
    <w:p>
      <w:pPr>
        <w:spacing w:after="240" w:afterLines="100"/>
        <w:jc w:val="center"/>
        <w:rPr>
          <w:rFonts w:ascii="宋体"/>
          <w:b/>
          <w:color w:val="000000" w:themeColor="text1"/>
          <w:sz w:val="30"/>
          <w:szCs w:val="30"/>
          <w14:textFill>
            <w14:solidFill>
              <w14:schemeClr w14:val="tx1"/>
            </w14:solidFill>
          </w14:textFill>
        </w:rPr>
      </w:pPr>
      <w:r>
        <w:rPr>
          <w:rFonts w:hint="eastAsia" w:ascii="宋体"/>
          <w:b/>
          <w:color w:val="000000" w:themeColor="text1"/>
          <w:sz w:val="30"/>
          <w:szCs w:val="30"/>
          <w14:textFill>
            <w14:solidFill>
              <w14:schemeClr w14:val="tx1"/>
            </w14:solidFill>
          </w14:textFill>
        </w:rPr>
        <w:t>北京明德致信咨询有限公司</w:t>
      </w:r>
    </w:p>
    <w:p>
      <w:pPr>
        <w:spacing w:line="360" w:lineRule="auto"/>
        <w:jc w:val="center"/>
        <w:rPr>
          <w:b/>
          <w:color w:val="000000" w:themeColor="text1"/>
          <w:sz w:val="36"/>
          <w14:textFill>
            <w14:solidFill>
              <w14:schemeClr w14:val="tx1"/>
            </w14:solidFill>
          </w14:textFill>
        </w:rPr>
      </w:pPr>
      <w:r>
        <w:rPr>
          <w:rFonts w:hint="eastAsia" w:ascii="宋体"/>
          <w:b/>
          <w:color w:val="000000" w:themeColor="text1"/>
          <w:sz w:val="28"/>
          <w:szCs w:val="28"/>
          <w14:textFill>
            <w14:solidFill>
              <w14:schemeClr w14:val="tx1"/>
            </w14:solidFill>
          </w14:textFill>
        </w:rPr>
        <w:t>202</w:t>
      </w:r>
      <w:r>
        <w:rPr>
          <w:rFonts w:ascii="宋体"/>
          <w:b/>
          <w:color w:val="000000" w:themeColor="text1"/>
          <w:sz w:val="28"/>
          <w:szCs w:val="28"/>
          <w14:textFill>
            <w14:solidFill>
              <w14:schemeClr w14:val="tx1"/>
            </w14:solidFill>
          </w14:textFill>
        </w:rPr>
        <w:t>3</w:t>
      </w:r>
      <w:r>
        <w:rPr>
          <w:rFonts w:hint="eastAsia" w:ascii="宋体"/>
          <w:b/>
          <w:color w:val="000000" w:themeColor="text1"/>
          <w:sz w:val="28"/>
          <w:szCs w:val="28"/>
          <w14:textFill>
            <w14:solidFill>
              <w14:schemeClr w14:val="tx1"/>
            </w14:solidFill>
          </w14:textFill>
        </w:rPr>
        <w:t>年7月</w:t>
      </w:r>
    </w:p>
    <w:p>
      <w:pPr>
        <w:spacing w:line="360" w:lineRule="auto"/>
        <w:jc w:val="center"/>
        <w:rPr>
          <w:b/>
          <w:color w:val="000000" w:themeColor="text1"/>
          <w:sz w:val="36"/>
          <w14:textFill>
            <w14:solidFill>
              <w14:schemeClr w14:val="tx1"/>
            </w14:solidFill>
          </w14:textFill>
        </w:rPr>
        <w:sectPr>
          <w:headerReference r:id="rId4" w:type="first"/>
          <w:headerReference r:id="rId3" w:type="default"/>
          <w:footerReference r:id="rId5" w:type="default"/>
          <w:footerReference r:id="rId6" w:type="even"/>
          <w:pgSz w:w="11905" w:h="16837"/>
          <w:pgMar w:top="1588" w:right="1105" w:bottom="1418" w:left="1336" w:header="720" w:footer="992" w:gutter="284"/>
          <w:pgNumType w:start="0"/>
          <w:cols w:space="720" w:num="1"/>
          <w:titlePg/>
          <w:docGrid w:linePitch="312" w:charSpace="6757"/>
        </w:sectPr>
      </w:pPr>
    </w:p>
    <w:p>
      <w:pPr>
        <w:pStyle w:val="20"/>
        <w:spacing w:line="360" w:lineRule="auto"/>
        <w:jc w:val="center"/>
        <w:rPr>
          <w:rFonts w:ascii="Times New Roman" w:hAnsi="Times New Roman"/>
          <w:b/>
          <w:bCs/>
          <w:color w:val="000000" w:themeColor="text1"/>
          <w:sz w:val="28"/>
          <w14:textFill>
            <w14:solidFill>
              <w14:schemeClr w14:val="tx1"/>
            </w14:solidFill>
          </w14:textFill>
        </w:rPr>
      </w:pPr>
      <w:r>
        <w:rPr>
          <w:rFonts w:hint="eastAsia" w:ascii="Times New Roman" w:hAnsi="Times New Roman"/>
          <w:b/>
          <w:bCs/>
          <w:color w:val="000000" w:themeColor="text1"/>
          <w:sz w:val="28"/>
          <w14:textFill>
            <w14:solidFill>
              <w14:schemeClr w14:val="tx1"/>
            </w14:solidFill>
          </w14:textFill>
        </w:rPr>
        <w:t>目     录</w:t>
      </w:r>
    </w:p>
    <w:p>
      <w:pPr>
        <w:pStyle w:val="27"/>
        <w:rPr>
          <w:rFonts w:asciiTheme="minorHAnsi" w:hAnsiTheme="minorHAnsi" w:eastAsiaTheme="minorEastAsia" w:cstheme="minorBidi"/>
          <w:b w:val="0"/>
          <w:sz w:val="21"/>
          <w:szCs w:val="22"/>
          <w14:ligatures w14:val="standardContextual"/>
        </w:rPr>
      </w:pPr>
      <w:r>
        <w:rPr>
          <w:rFonts w:hint="eastAsia" w:ascii="Times New Roman" w:hAnsi="Times New Roman" w:eastAsia="宋体"/>
          <w:color w:val="000000" w:themeColor="text1"/>
          <w14:textFill>
            <w14:solidFill>
              <w14:schemeClr w14:val="tx1"/>
            </w14:solidFill>
          </w14:textFill>
        </w:rPr>
        <w:fldChar w:fldCharType="begin"/>
      </w:r>
      <w:r>
        <w:rPr>
          <w:rFonts w:hint="eastAsia" w:ascii="Times New Roman" w:hAnsi="Times New Roman" w:eastAsia="宋体"/>
          <w:color w:val="000000" w:themeColor="text1"/>
          <w14:textFill>
            <w14:solidFill>
              <w14:schemeClr w14:val="tx1"/>
            </w14:solidFill>
          </w14:textFill>
        </w:rPr>
        <w:instrText xml:space="preserve"> TOC \o \h \z </w:instrText>
      </w:r>
      <w:r>
        <w:rPr>
          <w:rFonts w:hint="eastAsia" w:ascii="Times New Roman" w:hAnsi="Times New Roman" w:eastAsia="宋体"/>
          <w:color w:val="000000" w:themeColor="text1"/>
          <w14:textFill>
            <w14:solidFill>
              <w14:schemeClr w14:val="tx1"/>
            </w14:solidFill>
          </w14:textFill>
        </w:rPr>
        <w:fldChar w:fldCharType="separate"/>
      </w:r>
      <w:r>
        <w:fldChar w:fldCharType="begin"/>
      </w:r>
      <w:r>
        <w:instrText xml:space="preserve"> HYPERLINK \l "_Toc139531367" </w:instrText>
      </w:r>
      <w:r>
        <w:fldChar w:fldCharType="separate"/>
      </w:r>
      <w:r>
        <w:rPr>
          <w:rStyle w:val="46"/>
          <w:rFonts w:ascii="Times New Roman"/>
        </w:rPr>
        <w:t>第一章  供应商须知</w:t>
      </w:r>
      <w:r>
        <w:tab/>
      </w:r>
      <w:r>
        <w:fldChar w:fldCharType="begin"/>
      </w:r>
      <w:r>
        <w:instrText xml:space="preserve"> PAGEREF _Toc139531367 \h </w:instrText>
      </w:r>
      <w:r>
        <w:fldChar w:fldCharType="separate"/>
      </w:r>
      <w:r>
        <w:t>3</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"_Toc139531368" </w:instrText>
      </w:r>
      <w:r>
        <w:fldChar w:fldCharType="separate"/>
      </w:r>
      <w:r>
        <w:rPr>
          <w:rStyle w:val="46"/>
        </w:rPr>
        <w:t>一  说  明</w:t>
      </w:r>
      <w:r>
        <w:tab/>
      </w:r>
      <w:r>
        <w:fldChar w:fldCharType="begin"/>
      </w:r>
      <w:r>
        <w:instrText xml:space="preserve"> PAGEREF _Toc139531368 \h </w:instrText>
      </w:r>
      <w:r>
        <w:fldChar w:fldCharType="separate"/>
      </w:r>
      <w:r>
        <w:t>3</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"_Toc139531369" </w:instrText>
      </w:r>
      <w:r>
        <w:fldChar w:fldCharType="separate"/>
      </w:r>
      <w:r>
        <w:rPr>
          <w:rStyle w:val="46"/>
          <w:rFonts w:ascii="Times New Roman"/>
        </w:rPr>
        <w:t>1.</w:t>
      </w:r>
      <w:r>
        <w:rPr>
          <w:rFonts w:asciiTheme="minorHAnsi" w:hAnsiTheme="minorHAnsi" w:eastAsiaTheme="minorEastAsia" w:cstheme="minorBidi"/>
          <w:sz w:val="21"/>
          <w:szCs w:val="22"/>
          <w14:ligatures w14:val="standardContextual"/>
        </w:rPr>
        <w:tab/>
      </w:r>
      <w:r>
        <w:rPr>
          <w:rStyle w:val="46"/>
          <w:rFonts w:ascii="Times New Roman"/>
        </w:rPr>
        <w:t>采购单位及合格的供应商</w:t>
      </w:r>
      <w:r>
        <w:tab/>
      </w:r>
      <w:r>
        <w:fldChar w:fldCharType="begin"/>
      </w:r>
      <w:r>
        <w:instrText xml:space="preserve"> PAGEREF _Toc139531369 \h </w:instrText>
      </w:r>
      <w:r>
        <w:fldChar w:fldCharType="separate"/>
      </w:r>
      <w:r>
        <w:t>3</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"_Toc139531370" </w:instrText>
      </w:r>
      <w:r>
        <w:fldChar w:fldCharType="separate"/>
      </w:r>
      <w:r>
        <w:rPr>
          <w:rStyle w:val="46"/>
          <w:rFonts w:ascii="Times New Roman"/>
        </w:rPr>
        <w:t>2.</w:t>
      </w:r>
      <w:r>
        <w:rPr>
          <w:rFonts w:asciiTheme="minorHAnsi" w:hAnsiTheme="minorHAnsi" w:eastAsiaTheme="minorEastAsia" w:cstheme="minorBidi"/>
          <w:sz w:val="21"/>
          <w:szCs w:val="22"/>
          <w14:ligatures w14:val="standardContextual"/>
        </w:rPr>
        <w:tab/>
      </w:r>
      <w:r>
        <w:rPr>
          <w:rStyle w:val="46"/>
          <w:rFonts w:ascii="Times New Roman"/>
        </w:rPr>
        <w:t>资金来源</w:t>
      </w:r>
      <w:r>
        <w:tab/>
      </w:r>
      <w:r>
        <w:fldChar w:fldCharType="begin"/>
      </w:r>
      <w:r>
        <w:instrText xml:space="preserve"> PAGEREF _Toc139531370 \h </w:instrText>
      </w:r>
      <w:r>
        <w:fldChar w:fldCharType="separate"/>
      </w:r>
      <w:r>
        <w:t>4</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"_Toc139531371" </w:instrText>
      </w:r>
      <w:r>
        <w:fldChar w:fldCharType="separate"/>
      </w:r>
      <w:r>
        <w:rPr>
          <w:rStyle w:val="46"/>
          <w:rFonts w:ascii="Times New Roman"/>
        </w:rPr>
        <w:t>3.</w:t>
      </w:r>
      <w:r>
        <w:rPr>
          <w:rFonts w:asciiTheme="minorHAnsi" w:hAnsiTheme="minorHAnsi" w:eastAsiaTheme="minorEastAsia" w:cstheme="minorBidi"/>
          <w:sz w:val="21"/>
          <w:szCs w:val="22"/>
          <w14:ligatures w14:val="standardContextual"/>
        </w:rPr>
        <w:tab/>
      </w:r>
      <w:r>
        <w:rPr>
          <w:rStyle w:val="46"/>
          <w:rFonts w:ascii="Times New Roman"/>
        </w:rPr>
        <w:t>磋商费用</w:t>
      </w:r>
      <w:r>
        <w:tab/>
      </w:r>
      <w:r>
        <w:fldChar w:fldCharType="begin"/>
      </w:r>
      <w:r>
        <w:instrText xml:space="preserve"> PAGEREF _Toc139531371 \h </w:instrText>
      </w:r>
      <w:r>
        <w:fldChar w:fldCharType="separate"/>
      </w:r>
      <w:r>
        <w:t>4</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"_Toc139531372" </w:instrText>
      </w:r>
      <w:r>
        <w:fldChar w:fldCharType="separate"/>
      </w:r>
      <w:r>
        <w:rPr>
          <w:rStyle w:val="46"/>
        </w:rPr>
        <w:t>二  磋商文件</w:t>
      </w:r>
      <w:r>
        <w:tab/>
      </w:r>
      <w:r>
        <w:fldChar w:fldCharType="begin"/>
      </w:r>
      <w:r>
        <w:instrText xml:space="preserve"> PAGEREF _Toc139531372 \h </w:instrText>
      </w:r>
      <w:r>
        <w:fldChar w:fldCharType="separate"/>
      </w:r>
      <w:r>
        <w:t>4</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"_Toc139531373" </w:instrText>
      </w:r>
      <w:r>
        <w:fldChar w:fldCharType="separate"/>
      </w:r>
      <w:r>
        <w:rPr>
          <w:rStyle w:val="46"/>
          <w:rFonts w:ascii="Times New Roman"/>
        </w:rPr>
        <w:t>4.</w:t>
      </w:r>
      <w:r>
        <w:rPr>
          <w:rFonts w:asciiTheme="minorHAnsi" w:hAnsiTheme="minorHAnsi" w:eastAsiaTheme="minorEastAsia" w:cstheme="minorBidi"/>
          <w:sz w:val="21"/>
          <w:szCs w:val="22"/>
          <w14:ligatures w14:val="standardContextual"/>
        </w:rPr>
        <w:tab/>
      </w:r>
      <w:r>
        <w:rPr>
          <w:rStyle w:val="46"/>
          <w:rFonts w:ascii="Times New Roman"/>
        </w:rPr>
        <w:t>磋商文件构成</w:t>
      </w:r>
      <w:r>
        <w:tab/>
      </w:r>
      <w:r>
        <w:fldChar w:fldCharType="begin"/>
      </w:r>
      <w:r>
        <w:instrText xml:space="preserve"> PAGEREF _Toc139531373 \h </w:instrText>
      </w:r>
      <w:r>
        <w:fldChar w:fldCharType="separate"/>
      </w:r>
      <w:r>
        <w:t>4</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"_Toc139531374" </w:instrText>
      </w:r>
      <w:r>
        <w:fldChar w:fldCharType="separate"/>
      </w:r>
      <w:r>
        <w:rPr>
          <w:rStyle w:val="46"/>
          <w:rFonts w:ascii="Times New Roman"/>
        </w:rPr>
        <w:t>5.</w:t>
      </w:r>
      <w:r>
        <w:rPr>
          <w:rFonts w:asciiTheme="minorHAnsi" w:hAnsiTheme="minorHAnsi" w:eastAsiaTheme="minorEastAsia" w:cstheme="minorBidi"/>
          <w:sz w:val="21"/>
          <w:szCs w:val="22"/>
          <w14:ligatures w14:val="standardContextual"/>
        </w:rPr>
        <w:tab/>
      </w:r>
      <w:r>
        <w:rPr>
          <w:rStyle w:val="46"/>
          <w:rFonts w:ascii="Times New Roman"/>
        </w:rPr>
        <w:t>供应商要求对磋商文件的澄清</w:t>
      </w:r>
      <w:r>
        <w:tab/>
      </w:r>
      <w:r>
        <w:fldChar w:fldCharType="begin"/>
      </w:r>
      <w:r>
        <w:instrText xml:space="preserve"> PAGEREF _Toc139531374 \h </w:instrText>
      </w:r>
      <w:r>
        <w:fldChar w:fldCharType="separate"/>
      </w:r>
      <w:r>
        <w:t>4</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"_Toc139531375" </w:instrText>
      </w:r>
      <w:r>
        <w:fldChar w:fldCharType="separate"/>
      </w:r>
      <w:r>
        <w:rPr>
          <w:rStyle w:val="46"/>
          <w:rFonts w:ascii="Times New Roman"/>
        </w:rPr>
        <w:t>6.</w:t>
      </w:r>
      <w:r>
        <w:rPr>
          <w:rFonts w:asciiTheme="minorHAnsi" w:hAnsiTheme="minorHAnsi" w:eastAsiaTheme="minorEastAsia" w:cstheme="minorBidi"/>
          <w:sz w:val="21"/>
          <w:szCs w:val="22"/>
          <w14:ligatures w14:val="standardContextual"/>
        </w:rPr>
        <w:tab/>
      </w:r>
      <w:r>
        <w:rPr>
          <w:rStyle w:val="46"/>
          <w:rFonts w:ascii="Times New Roman"/>
        </w:rPr>
        <w:t>采购单位对磋商文件的澄清或修改</w:t>
      </w:r>
      <w:r>
        <w:tab/>
      </w:r>
      <w:r>
        <w:fldChar w:fldCharType="begin"/>
      </w:r>
      <w:r>
        <w:instrText xml:space="preserve"> PAGEREF _Toc139531375 \h </w:instrText>
      </w:r>
      <w:r>
        <w:fldChar w:fldCharType="separate"/>
      </w:r>
      <w:r>
        <w:t>4</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"_Toc139531376" </w:instrText>
      </w:r>
      <w:r>
        <w:fldChar w:fldCharType="separate"/>
      </w:r>
      <w:r>
        <w:rPr>
          <w:rStyle w:val="46"/>
        </w:rPr>
        <w:t>三  磋商响应文件的编制</w:t>
      </w:r>
      <w:r>
        <w:tab/>
      </w:r>
      <w:r>
        <w:fldChar w:fldCharType="begin"/>
      </w:r>
      <w:r>
        <w:instrText xml:space="preserve"> PAGEREF _Toc139531376 \h </w:instrText>
      </w:r>
      <w:r>
        <w:fldChar w:fldCharType="separate"/>
      </w:r>
      <w:r>
        <w:t>5</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"_Toc139531377" </w:instrText>
      </w:r>
      <w:r>
        <w:fldChar w:fldCharType="separate"/>
      </w:r>
      <w:r>
        <w:rPr>
          <w:rStyle w:val="46"/>
          <w:rFonts w:ascii="Times New Roman"/>
        </w:rPr>
        <w:t>7.</w:t>
      </w:r>
      <w:r>
        <w:rPr>
          <w:rFonts w:asciiTheme="minorHAnsi" w:hAnsiTheme="minorHAnsi" w:eastAsiaTheme="minorEastAsia" w:cstheme="minorBidi"/>
          <w:sz w:val="21"/>
          <w:szCs w:val="22"/>
          <w14:ligatures w14:val="standardContextual"/>
        </w:rPr>
        <w:tab/>
      </w:r>
      <w:r>
        <w:rPr>
          <w:rStyle w:val="46"/>
          <w:rFonts w:ascii="Times New Roman"/>
        </w:rPr>
        <w:t>磋商范围及磋商响应文件中计量单位的使用</w:t>
      </w:r>
      <w:r>
        <w:tab/>
      </w:r>
      <w:r>
        <w:fldChar w:fldCharType="begin"/>
      </w:r>
      <w:r>
        <w:instrText xml:space="preserve"> PAGEREF _Toc139531377 \h </w:instrText>
      </w:r>
      <w:r>
        <w:fldChar w:fldCharType="separate"/>
      </w:r>
      <w:r>
        <w:t>5</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"_Toc139531378" </w:instrText>
      </w:r>
      <w:r>
        <w:fldChar w:fldCharType="separate"/>
      </w:r>
      <w:r>
        <w:rPr>
          <w:rStyle w:val="46"/>
          <w:rFonts w:ascii="Times New Roman"/>
        </w:rPr>
        <w:t>8.</w:t>
      </w:r>
      <w:r>
        <w:rPr>
          <w:rFonts w:asciiTheme="minorHAnsi" w:hAnsiTheme="minorHAnsi" w:eastAsiaTheme="minorEastAsia" w:cstheme="minorBidi"/>
          <w:sz w:val="21"/>
          <w:szCs w:val="22"/>
          <w14:ligatures w14:val="standardContextual"/>
        </w:rPr>
        <w:tab/>
      </w:r>
      <w:r>
        <w:rPr>
          <w:rStyle w:val="46"/>
          <w:rFonts w:ascii="Times New Roman"/>
        </w:rPr>
        <w:t>首次磋商响应文件构成</w:t>
      </w:r>
      <w:r>
        <w:tab/>
      </w:r>
      <w:r>
        <w:fldChar w:fldCharType="begin"/>
      </w:r>
      <w:r>
        <w:instrText xml:space="preserve"> PAGEREF _Toc139531378 \h </w:instrText>
      </w:r>
      <w:r>
        <w:fldChar w:fldCharType="separate"/>
      </w:r>
      <w:r>
        <w:t>5</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"_Toc139531379" </w:instrText>
      </w:r>
      <w:r>
        <w:fldChar w:fldCharType="separate"/>
      </w:r>
      <w:r>
        <w:rPr>
          <w:rStyle w:val="46"/>
          <w:rFonts w:ascii="Times New Roman"/>
        </w:rPr>
        <w:t>9.</w:t>
      </w:r>
      <w:r>
        <w:rPr>
          <w:rFonts w:asciiTheme="minorHAnsi" w:hAnsiTheme="minorHAnsi" w:eastAsiaTheme="minorEastAsia" w:cstheme="minorBidi"/>
          <w:sz w:val="21"/>
          <w:szCs w:val="22"/>
          <w14:ligatures w14:val="standardContextual"/>
        </w:rPr>
        <w:tab/>
      </w:r>
      <w:r>
        <w:rPr>
          <w:rStyle w:val="46"/>
          <w:rFonts w:ascii="Times New Roman"/>
        </w:rPr>
        <w:t>证明服务的合格性和符合磋商文件规定的文件</w:t>
      </w:r>
      <w:r>
        <w:tab/>
      </w:r>
      <w:r>
        <w:fldChar w:fldCharType="begin"/>
      </w:r>
      <w:r>
        <w:instrText xml:space="preserve"> PAGEREF _Toc139531379 \h </w:instrText>
      </w:r>
      <w:r>
        <w:fldChar w:fldCharType="separate"/>
      </w:r>
      <w:r>
        <w:t>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"_Toc139531380" </w:instrText>
      </w:r>
      <w:r>
        <w:fldChar w:fldCharType="separate"/>
      </w:r>
      <w:r>
        <w:rPr>
          <w:rStyle w:val="46"/>
          <w:rFonts w:ascii="Times New Roman"/>
        </w:rPr>
        <w:t>10.</w:t>
      </w:r>
      <w:r>
        <w:rPr>
          <w:rFonts w:asciiTheme="minorHAnsi" w:hAnsiTheme="minorHAnsi" w:eastAsiaTheme="minorEastAsia" w:cstheme="minorBidi"/>
          <w:sz w:val="21"/>
          <w:szCs w:val="22"/>
          <w14:ligatures w14:val="standardContextual"/>
        </w:rPr>
        <w:tab/>
      </w:r>
      <w:r>
        <w:rPr>
          <w:rStyle w:val="46"/>
          <w:rFonts w:ascii="Times New Roman"/>
        </w:rPr>
        <w:t>磋商响应报价</w:t>
      </w:r>
      <w:r>
        <w:tab/>
      </w:r>
      <w:r>
        <w:fldChar w:fldCharType="begin"/>
      </w:r>
      <w:r>
        <w:instrText xml:space="preserve"> PAGEREF _Toc139531380 \h </w:instrText>
      </w:r>
      <w:r>
        <w:fldChar w:fldCharType="separate"/>
      </w:r>
      <w:r>
        <w:t>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"_Toc139531381" </w:instrText>
      </w:r>
      <w:r>
        <w:fldChar w:fldCharType="separate"/>
      </w:r>
      <w:r>
        <w:rPr>
          <w:rStyle w:val="46"/>
          <w:rFonts w:ascii="Times New Roman"/>
        </w:rPr>
        <w:t>11.</w:t>
      </w:r>
      <w:r>
        <w:rPr>
          <w:rFonts w:asciiTheme="minorHAnsi" w:hAnsiTheme="minorHAnsi" w:eastAsiaTheme="minorEastAsia" w:cstheme="minorBidi"/>
          <w:sz w:val="21"/>
          <w:szCs w:val="22"/>
          <w14:ligatures w14:val="standardContextual"/>
        </w:rPr>
        <w:tab/>
      </w:r>
      <w:r>
        <w:rPr>
          <w:rStyle w:val="46"/>
          <w:rFonts w:ascii="Times New Roman"/>
        </w:rPr>
        <w:t>磋商保证金</w:t>
      </w:r>
      <w:r>
        <w:tab/>
      </w:r>
      <w:r>
        <w:fldChar w:fldCharType="begin"/>
      </w:r>
      <w:r>
        <w:instrText xml:space="preserve"> PAGEREF _Toc139531381 \h </w:instrText>
      </w:r>
      <w:r>
        <w:fldChar w:fldCharType="separate"/>
      </w:r>
      <w:r>
        <w:t>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"_Toc139531382" </w:instrText>
      </w:r>
      <w:r>
        <w:fldChar w:fldCharType="separate"/>
      </w:r>
      <w:r>
        <w:rPr>
          <w:rStyle w:val="46"/>
          <w:rFonts w:ascii="Times New Roman"/>
        </w:rPr>
        <w:t>12.</w:t>
      </w:r>
      <w:r>
        <w:rPr>
          <w:rFonts w:asciiTheme="minorHAnsi" w:hAnsiTheme="minorHAnsi" w:eastAsiaTheme="minorEastAsia" w:cstheme="minorBidi"/>
          <w:sz w:val="21"/>
          <w:szCs w:val="22"/>
          <w14:ligatures w14:val="standardContextual"/>
        </w:rPr>
        <w:tab/>
      </w:r>
      <w:r>
        <w:rPr>
          <w:rStyle w:val="46"/>
          <w:rFonts w:ascii="Times New Roman"/>
        </w:rPr>
        <w:t>最终磋商响应文件有效期</w:t>
      </w:r>
      <w:r>
        <w:tab/>
      </w:r>
      <w:r>
        <w:fldChar w:fldCharType="begin"/>
      </w:r>
      <w:r>
        <w:instrText xml:space="preserve"> PAGEREF _Toc139531382 \h </w:instrText>
      </w:r>
      <w:r>
        <w:fldChar w:fldCharType="separate"/>
      </w:r>
      <w:r>
        <w:t>7</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"_Toc139531383" </w:instrText>
      </w:r>
      <w:r>
        <w:fldChar w:fldCharType="separate"/>
      </w:r>
      <w:r>
        <w:rPr>
          <w:rStyle w:val="46"/>
          <w:rFonts w:ascii="Times New Roman"/>
        </w:rPr>
        <w:t>13.</w:t>
      </w:r>
      <w:r>
        <w:rPr>
          <w:rFonts w:asciiTheme="minorHAnsi" w:hAnsiTheme="minorHAnsi" w:eastAsiaTheme="minorEastAsia" w:cstheme="minorBidi"/>
          <w:sz w:val="21"/>
          <w:szCs w:val="22"/>
          <w14:ligatures w14:val="standardContextual"/>
        </w:rPr>
        <w:tab/>
      </w:r>
      <w:r>
        <w:rPr>
          <w:rStyle w:val="46"/>
          <w:rFonts w:ascii="Times New Roman"/>
        </w:rPr>
        <w:t>磋商响应文件的签署及规定</w:t>
      </w:r>
      <w:r>
        <w:tab/>
      </w:r>
      <w:r>
        <w:fldChar w:fldCharType="begin"/>
      </w:r>
      <w:r>
        <w:instrText xml:space="preserve"> PAGEREF _Toc139531383 \h </w:instrText>
      </w:r>
      <w:r>
        <w:fldChar w:fldCharType="separate"/>
      </w:r>
      <w:r>
        <w:t>7</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"_Toc139531384" </w:instrText>
      </w:r>
      <w:r>
        <w:fldChar w:fldCharType="separate"/>
      </w:r>
      <w:r>
        <w:rPr>
          <w:rStyle w:val="46"/>
        </w:rPr>
        <w:t>四  首次磋商响应文件的递交</w:t>
      </w:r>
      <w:r>
        <w:tab/>
      </w:r>
      <w:r>
        <w:fldChar w:fldCharType="begin"/>
      </w:r>
      <w:r>
        <w:instrText xml:space="preserve"> PAGEREF _Toc139531384 \h </w:instrText>
      </w:r>
      <w:r>
        <w:fldChar w:fldCharType="separate"/>
      </w:r>
      <w:r>
        <w:t>8</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"_Toc139531385" </w:instrText>
      </w:r>
      <w:r>
        <w:fldChar w:fldCharType="separate"/>
      </w:r>
      <w:r>
        <w:rPr>
          <w:rStyle w:val="46"/>
          <w:rFonts w:ascii="Times New Roman"/>
        </w:rPr>
        <w:t>14.</w:t>
      </w:r>
      <w:r>
        <w:rPr>
          <w:rFonts w:asciiTheme="minorHAnsi" w:hAnsiTheme="minorHAnsi" w:eastAsiaTheme="minorEastAsia" w:cstheme="minorBidi"/>
          <w:sz w:val="21"/>
          <w:szCs w:val="22"/>
          <w14:ligatures w14:val="standardContextual"/>
        </w:rPr>
        <w:tab/>
      </w:r>
      <w:r>
        <w:rPr>
          <w:rStyle w:val="46"/>
          <w:rFonts w:ascii="Times New Roman"/>
        </w:rPr>
        <w:t>首次磋商响应文件的密封和标记</w:t>
      </w:r>
      <w:r>
        <w:tab/>
      </w:r>
      <w:r>
        <w:fldChar w:fldCharType="begin"/>
      </w:r>
      <w:r>
        <w:instrText xml:space="preserve"> PAGEREF _Toc139531385 \h </w:instrText>
      </w:r>
      <w:r>
        <w:fldChar w:fldCharType="separate"/>
      </w:r>
      <w:r>
        <w:t>8</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"_Toc139531386" </w:instrText>
      </w:r>
      <w:r>
        <w:fldChar w:fldCharType="separate"/>
      </w:r>
      <w:r>
        <w:rPr>
          <w:rStyle w:val="46"/>
          <w:rFonts w:ascii="Times New Roman"/>
        </w:rPr>
        <w:t>15.</w:t>
      </w:r>
      <w:r>
        <w:rPr>
          <w:rFonts w:asciiTheme="minorHAnsi" w:hAnsiTheme="minorHAnsi" w:eastAsiaTheme="minorEastAsia" w:cstheme="minorBidi"/>
          <w:sz w:val="21"/>
          <w:szCs w:val="22"/>
          <w14:ligatures w14:val="standardContextual"/>
        </w:rPr>
        <w:tab/>
      </w:r>
      <w:r>
        <w:rPr>
          <w:rStyle w:val="46"/>
          <w:rFonts w:ascii="Times New Roman"/>
        </w:rPr>
        <w:t>递交首次磋商响应文件截止期</w:t>
      </w:r>
      <w:r>
        <w:tab/>
      </w:r>
      <w:r>
        <w:fldChar w:fldCharType="begin"/>
      </w:r>
      <w:r>
        <w:instrText xml:space="preserve"> PAGEREF _Toc139531386 \h </w:instrText>
      </w:r>
      <w:r>
        <w:fldChar w:fldCharType="separate"/>
      </w:r>
      <w:r>
        <w:t>8</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"_Toc139531387" </w:instrText>
      </w:r>
      <w:r>
        <w:fldChar w:fldCharType="separate"/>
      </w:r>
      <w:r>
        <w:rPr>
          <w:rStyle w:val="46"/>
          <w:rFonts w:ascii="Times New Roman"/>
        </w:rPr>
        <w:t>16.</w:t>
      </w:r>
      <w:r>
        <w:rPr>
          <w:rFonts w:asciiTheme="minorHAnsi" w:hAnsiTheme="minorHAnsi" w:eastAsiaTheme="minorEastAsia" w:cstheme="minorBidi"/>
          <w:sz w:val="21"/>
          <w:szCs w:val="22"/>
          <w14:ligatures w14:val="standardContextual"/>
        </w:rPr>
        <w:tab/>
      </w:r>
      <w:r>
        <w:rPr>
          <w:rStyle w:val="46"/>
          <w:rFonts w:ascii="Times New Roman"/>
        </w:rPr>
        <w:t>首次磋商响应文件的修改、补充与撤回</w:t>
      </w:r>
      <w:r>
        <w:tab/>
      </w:r>
      <w:r>
        <w:fldChar w:fldCharType="begin"/>
      </w:r>
      <w:r>
        <w:instrText xml:space="preserve"> PAGEREF _Toc139531387 \h </w:instrText>
      </w:r>
      <w:r>
        <w:fldChar w:fldCharType="separate"/>
      </w:r>
      <w:r>
        <w:t>9</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"_Toc139531388" </w:instrText>
      </w:r>
      <w:r>
        <w:fldChar w:fldCharType="separate"/>
      </w:r>
      <w:r>
        <w:rPr>
          <w:rStyle w:val="46"/>
        </w:rPr>
        <w:t>五  磋商</w:t>
      </w:r>
      <w:r>
        <w:tab/>
      </w:r>
      <w:r>
        <w:fldChar w:fldCharType="begin"/>
      </w:r>
      <w:r>
        <w:instrText xml:space="preserve"> PAGEREF _Toc139531388 \h </w:instrText>
      </w:r>
      <w:r>
        <w:fldChar w:fldCharType="separate"/>
      </w:r>
      <w:r>
        <w:t>9</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"_Toc139531389" </w:instrText>
      </w:r>
      <w:r>
        <w:fldChar w:fldCharType="separate"/>
      </w:r>
      <w:r>
        <w:rPr>
          <w:rStyle w:val="46"/>
          <w:rFonts w:ascii="Times New Roman"/>
        </w:rPr>
        <w:t>17.</w:t>
      </w:r>
      <w:r>
        <w:rPr>
          <w:rFonts w:asciiTheme="minorHAnsi" w:hAnsiTheme="minorHAnsi" w:eastAsiaTheme="minorEastAsia" w:cstheme="minorBidi"/>
          <w:sz w:val="21"/>
          <w:szCs w:val="22"/>
          <w14:ligatures w14:val="standardContextual"/>
        </w:rPr>
        <w:tab/>
      </w:r>
      <w:r>
        <w:rPr>
          <w:rStyle w:val="46"/>
          <w:rFonts w:ascii="Times New Roman"/>
        </w:rPr>
        <w:t>首次磋商响应文件的递交</w:t>
      </w:r>
      <w:r>
        <w:tab/>
      </w:r>
      <w:r>
        <w:fldChar w:fldCharType="begin"/>
      </w:r>
      <w:r>
        <w:instrText xml:space="preserve"> PAGEREF _Toc139531389 \h </w:instrText>
      </w:r>
      <w:r>
        <w:fldChar w:fldCharType="separate"/>
      </w:r>
      <w:r>
        <w:t>9</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"_Toc139531390" </w:instrText>
      </w:r>
      <w:r>
        <w:fldChar w:fldCharType="separate"/>
      </w:r>
      <w:r>
        <w:rPr>
          <w:rStyle w:val="46"/>
          <w:rFonts w:ascii="Times New Roman"/>
        </w:rPr>
        <w:t>18.</w:t>
      </w:r>
      <w:r>
        <w:rPr>
          <w:rFonts w:asciiTheme="minorHAnsi" w:hAnsiTheme="minorHAnsi" w:eastAsiaTheme="minorEastAsia" w:cstheme="minorBidi"/>
          <w:sz w:val="21"/>
          <w:szCs w:val="22"/>
          <w14:ligatures w14:val="standardContextual"/>
        </w:rPr>
        <w:tab/>
      </w:r>
      <w:r>
        <w:rPr>
          <w:rStyle w:val="46"/>
          <w:rFonts w:ascii="Times New Roman"/>
        </w:rPr>
        <w:t>组建磋商小组</w:t>
      </w:r>
      <w:r>
        <w:tab/>
      </w:r>
      <w:r>
        <w:fldChar w:fldCharType="begin"/>
      </w:r>
      <w:r>
        <w:instrText xml:space="preserve"> PAGEREF _Toc139531390 \h </w:instrText>
      </w:r>
      <w:r>
        <w:fldChar w:fldCharType="separate"/>
      </w:r>
      <w:r>
        <w:t>9</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"_Toc139531391" </w:instrText>
      </w:r>
      <w:r>
        <w:fldChar w:fldCharType="separate"/>
      </w:r>
      <w:r>
        <w:rPr>
          <w:rStyle w:val="46"/>
          <w:rFonts w:ascii="Times New Roman"/>
        </w:rPr>
        <w:t>19.</w:t>
      </w:r>
      <w:r>
        <w:rPr>
          <w:rFonts w:asciiTheme="minorHAnsi" w:hAnsiTheme="minorHAnsi" w:eastAsiaTheme="minorEastAsia" w:cstheme="minorBidi"/>
          <w:sz w:val="21"/>
          <w:szCs w:val="22"/>
          <w14:ligatures w14:val="standardContextual"/>
        </w:rPr>
        <w:tab/>
      </w:r>
      <w:r>
        <w:rPr>
          <w:rStyle w:val="46"/>
          <w:rFonts w:ascii="Times New Roman"/>
        </w:rPr>
        <w:t>首次磋商响应文件的初审和澄清</w:t>
      </w:r>
      <w:r>
        <w:tab/>
      </w:r>
      <w:r>
        <w:fldChar w:fldCharType="begin"/>
      </w:r>
      <w:r>
        <w:instrText xml:space="preserve"> PAGEREF _Toc139531391 \h </w:instrText>
      </w:r>
      <w:r>
        <w:fldChar w:fldCharType="separate"/>
      </w:r>
      <w:r>
        <w:t>9</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"_Toc139531392" </w:instrText>
      </w:r>
      <w:r>
        <w:fldChar w:fldCharType="separate"/>
      </w:r>
      <w:r>
        <w:rPr>
          <w:rStyle w:val="46"/>
          <w:rFonts w:ascii="Times New Roman"/>
        </w:rPr>
        <w:t>20.</w:t>
      </w:r>
      <w:r>
        <w:rPr>
          <w:rFonts w:asciiTheme="minorHAnsi" w:hAnsiTheme="minorHAnsi" w:eastAsiaTheme="minorEastAsia" w:cstheme="minorBidi"/>
          <w:sz w:val="21"/>
          <w:szCs w:val="22"/>
          <w14:ligatures w14:val="standardContextual"/>
        </w:rPr>
        <w:tab/>
      </w:r>
      <w:r>
        <w:rPr>
          <w:rStyle w:val="46"/>
          <w:rFonts w:ascii="Times New Roman"/>
        </w:rPr>
        <w:t>磋商程序和要求</w:t>
      </w:r>
      <w:r>
        <w:tab/>
      </w:r>
      <w:r>
        <w:fldChar w:fldCharType="begin"/>
      </w:r>
      <w:r>
        <w:instrText xml:space="preserve"> PAGEREF _Toc139531392 \h </w:instrText>
      </w:r>
      <w:r>
        <w:fldChar w:fldCharType="separate"/>
      </w:r>
      <w:r>
        <w:t>10</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"_Toc139531393" </w:instrText>
      </w:r>
      <w:r>
        <w:fldChar w:fldCharType="separate"/>
      </w:r>
      <w:r>
        <w:rPr>
          <w:rStyle w:val="46"/>
          <w:rFonts w:ascii="Times New Roman"/>
        </w:rPr>
        <w:t>21.</w:t>
      </w:r>
      <w:r>
        <w:rPr>
          <w:rFonts w:asciiTheme="minorHAnsi" w:hAnsiTheme="minorHAnsi" w:eastAsiaTheme="minorEastAsia" w:cstheme="minorBidi"/>
          <w:sz w:val="21"/>
          <w:szCs w:val="22"/>
          <w14:ligatures w14:val="standardContextual"/>
        </w:rPr>
        <w:tab/>
      </w:r>
      <w:r>
        <w:rPr>
          <w:rStyle w:val="46"/>
          <w:rFonts w:ascii="Times New Roman"/>
        </w:rPr>
        <w:t>比较与评价</w:t>
      </w:r>
      <w:r>
        <w:tab/>
      </w:r>
      <w:r>
        <w:fldChar w:fldCharType="begin"/>
      </w:r>
      <w:r>
        <w:instrText xml:space="preserve"> PAGEREF _Toc139531393 \h </w:instrText>
      </w:r>
      <w:r>
        <w:fldChar w:fldCharType="separate"/>
      </w:r>
      <w:r>
        <w:t>11</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"_Toc139531394" </w:instrText>
      </w:r>
      <w:r>
        <w:fldChar w:fldCharType="separate"/>
      </w:r>
      <w:r>
        <w:rPr>
          <w:rStyle w:val="46"/>
          <w:rFonts w:ascii="Times New Roman"/>
        </w:rPr>
        <w:t>22.</w:t>
      </w:r>
      <w:r>
        <w:rPr>
          <w:rFonts w:asciiTheme="minorHAnsi" w:hAnsiTheme="minorHAnsi" w:eastAsiaTheme="minorEastAsia" w:cstheme="minorBidi"/>
          <w:sz w:val="21"/>
          <w:szCs w:val="22"/>
          <w14:ligatures w14:val="standardContextual"/>
        </w:rPr>
        <w:tab/>
      </w:r>
      <w:r>
        <w:rPr>
          <w:rStyle w:val="46"/>
          <w:rFonts w:ascii="Times New Roman"/>
        </w:rPr>
        <w:t>评审过程及保密原则</w:t>
      </w:r>
      <w:r>
        <w:tab/>
      </w:r>
      <w:r>
        <w:fldChar w:fldCharType="begin"/>
      </w:r>
      <w:r>
        <w:instrText xml:space="preserve"> PAGEREF _Toc139531394 \h </w:instrText>
      </w:r>
      <w:r>
        <w:fldChar w:fldCharType="separate"/>
      </w:r>
      <w:r>
        <w:t>15</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"_Toc139531395" </w:instrText>
      </w:r>
      <w:r>
        <w:fldChar w:fldCharType="separate"/>
      </w:r>
      <w:r>
        <w:rPr>
          <w:rStyle w:val="46"/>
        </w:rPr>
        <w:t>六  确定成交</w:t>
      </w:r>
      <w:r>
        <w:tab/>
      </w:r>
      <w:r>
        <w:fldChar w:fldCharType="begin"/>
      </w:r>
      <w:r>
        <w:instrText xml:space="preserve"> PAGEREF _Toc139531395 \h </w:instrText>
      </w:r>
      <w:r>
        <w:fldChar w:fldCharType="separate"/>
      </w:r>
      <w:r>
        <w:t>16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"_Toc139531396" </w:instrText>
      </w:r>
      <w:r>
        <w:fldChar w:fldCharType="separate"/>
      </w:r>
      <w:r>
        <w:rPr>
          <w:rStyle w:val="46"/>
          <w:rFonts w:ascii="Times New Roman"/>
        </w:rPr>
        <w:t>23.</w:t>
      </w:r>
      <w:r>
        <w:rPr>
          <w:rFonts w:asciiTheme="minorHAnsi" w:hAnsiTheme="minorHAnsi" w:eastAsiaTheme="minorEastAsia" w:cstheme="minorBidi"/>
          <w:sz w:val="21"/>
          <w:szCs w:val="22"/>
          <w14:ligatures w14:val="standardContextual"/>
        </w:rPr>
        <w:tab/>
      </w:r>
      <w:r>
        <w:rPr>
          <w:rStyle w:val="46"/>
          <w:rFonts w:ascii="Times New Roman"/>
        </w:rPr>
        <w:t>成交候选供应商的确定原则及标准</w:t>
      </w:r>
      <w:r>
        <w:tab/>
      </w:r>
      <w:r>
        <w:fldChar w:fldCharType="begin"/>
      </w:r>
      <w:r>
        <w:instrText xml:space="preserve"> PAGEREF _Toc139531396 \h </w:instrText>
      </w:r>
      <w:r>
        <w:fldChar w:fldCharType="separate"/>
      </w:r>
      <w:r>
        <w:t>16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"_Toc139531397" </w:instrText>
      </w:r>
      <w:r>
        <w:fldChar w:fldCharType="separate"/>
      </w:r>
      <w:r>
        <w:rPr>
          <w:rStyle w:val="46"/>
          <w:rFonts w:ascii="Times New Roman"/>
        </w:rPr>
        <w:t>24.</w:t>
      </w:r>
      <w:r>
        <w:rPr>
          <w:rFonts w:asciiTheme="minorHAnsi" w:hAnsiTheme="minorHAnsi" w:eastAsiaTheme="minorEastAsia" w:cstheme="minorBidi"/>
          <w:sz w:val="21"/>
          <w:szCs w:val="22"/>
          <w14:ligatures w14:val="standardContextual"/>
        </w:rPr>
        <w:tab/>
      </w:r>
      <w:r>
        <w:rPr>
          <w:rStyle w:val="46"/>
          <w:rFonts w:ascii="Times New Roman"/>
        </w:rPr>
        <w:t>确定成交供应商</w:t>
      </w:r>
      <w:r>
        <w:tab/>
      </w:r>
      <w:r>
        <w:fldChar w:fldCharType="begin"/>
      </w:r>
      <w:r>
        <w:instrText xml:space="preserve"> PAGEREF _Toc139531397 \h </w:instrText>
      </w:r>
      <w:r>
        <w:fldChar w:fldCharType="separate"/>
      </w:r>
      <w:r>
        <w:t>16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"_Toc139531398" </w:instrText>
      </w:r>
      <w:r>
        <w:fldChar w:fldCharType="separate"/>
      </w:r>
      <w:r>
        <w:rPr>
          <w:rStyle w:val="46"/>
          <w:rFonts w:ascii="Times New Roman"/>
        </w:rPr>
        <w:t>25.</w:t>
      </w:r>
      <w:r>
        <w:rPr>
          <w:rFonts w:asciiTheme="minorHAnsi" w:hAnsiTheme="minorHAnsi" w:eastAsiaTheme="minorEastAsia" w:cstheme="minorBidi"/>
          <w:sz w:val="21"/>
          <w:szCs w:val="22"/>
          <w14:ligatures w14:val="standardContextual"/>
        </w:rPr>
        <w:tab/>
      </w:r>
      <w:r>
        <w:rPr>
          <w:rStyle w:val="46"/>
          <w:rFonts w:ascii="Times New Roman"/>
        </w:rPr>
        <w:t>接受和拒绝任何所有响应的权利</w:t>
      </w:r>
      <w:r>
        <w:tab/>
      </w:r>
      <w:r>
        <w:fldChar w:fldCharType="begin"/>
      </w:r>
      <w:r>
        <w:instrText xml:space="preserve"> PAGEREF _Toc139531398 \h </w:instrText>
      </w:r>
      <w:r>
        <w:fldChar w:fldCharType="separate"/>
      </w:r>
      <w:r>
        <w:t>16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"_Toc139531399" </w:instrText>
      </w:r>
      <w:r>
        <w:fldChar w:fldCharType="separate"/>
      </w:r>
      <w:r>
        <w:rPr>
          <w:rStyle w:val="46"/>
          <w:rFonts w:ascii="Times New Roman"/>
        </w:rPr>
        <w:t>26.</w:t>
      </w:r>
      <w:r>
        <w:rPr>
          <w:rFonts w:asciiTheme="minorHAnsi" w:hAnsiTheme="minorHAnsi" w:eastAsiaTheme="minorEastAsia" w:cstheme="minorBidi"/>
          <w:sz w:val="21"/>
          <w:szCs w:val="22"/>
          <w14:ligatures w14:val="standardContextual"/>
        </w:rPr>
        <w:tab/>
      </w:r>
      <w:r>
        <w:rPr>
          <w:rStyle w:val="46"/>
          <w:rFonts w:ascii="Times New Roman"/>
        </w:rPr>
        <w:t>成交通知书</w:t>
      </w:r>
      <w:r>
        <w:tab/>
      </w:r>
      <w:r>
        <w:fldChar w:fldCharType="begin"/>
      </w:r>
      <w:r>
        <w:instrText xml:space="preserve"> PAGEREF _Toc139531399 \h </w:instrText>
      </w:r>
      <w:r>
        <w:fldChar w:fldCharType="separate"/>
      </w:r>
      <w:r>
        <w:t>16</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"_Toc139531400" </w:instrText>
      </w:r>
      <w:r>
        <w:fldChar w:fldCharType="separate"/>
      </w:r>
      <w:r>
        <w:rPr>
          <w:rStyle w:val="46"/>
          <w:rFonts w:ascii="Times New Roman"/>
        </w:rPr>
        <w:t>27.</w:t>
      </w:r>
      <w:r>
        <w:rPr>
          <w:rFonts w:asciiTheme="minorHAnsi" w:hAnsiTheme="minorHAnsi" w:eastAsiaTheme="minorEastAsia" w:cstheme="minorBidi"/>
          <w:sz w:val="21"/>
          <w:szCs w:val="22"/>
          <w14:ligatures w14:val="standardContextual"/>
        </w:rPr>
        <w:tab/>
      </w:r>
      <w:r>
        <w:rPr>
          <w:rStyle w:val="46"/>
          <w:rFonts w:ascii="Times New Roman"/>
        </w:rPr>
        <w:t>签订合同</w:t>
      </w:r>
      <w:r>
        <w:tab/>
      </w:r>
      <w:r>
        <w:fldChar w:fldCharType="begin"/>
      </w:r>
      <w:r>
        <w:instrText xml:space="preserve"> PAGEREF _Toc139531400 \h </w:instrText>
      </w:r>
      <w:r>
        <w:fldChar w:fldCharType="separate"/>
      </w:r>
      <w:r>
        <w:t>17</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"_Toc139531401" </w:instrText>
      </w:r>
      <w:r>
        <w:fldChar w:fldCharType="separate"/>
      </w:r>
      <w:r>
        <w:rPr>
          <w:rStyle w:val="46"/>
          <w:rFonts w:ascii="Times New Roman"/>
        </w:rPr>
        <w:t>28.</w:t>
      </w:r>
      <w:r>
        <w:rPr>
          <w:rFonts w:asciiTheme="minorHAnsi" w:hAnsiTheme="minorHAnsi" w:eastAsiaTheme="minorEastAsia" w:cstheme="minorBidi"/>
          <w:sz w:val="21"/>
          <w:szCs w:val="22"/>
          <w14:ligatures w14:val="standardContextual"/>
        </w:rPr>
        <w:tab/>
      </w:r>
      <w:r>
        <w:rPr>
          <w:rStyle w:val="46"/>
          <w:rFonts w:ascii="Times New Roman"/>
        </w:rPr>
        <w:t>履约保证金</w:t>
      </w:r>
      <w:r>
        <w:tab/>
      </w:r>
      <w:r>
        <w:fldChar w:fldCharType="begin"/>
      </w:r>
      <w:r>
        <w:instrText xml:space="preserve"> PAGEREF _Toc139531401 \h </w:instrText>
      </w:r>
      <w:r>
        <w:fldChar w:fldCharType="separate"/>
      </w:r>
      <w:r>
        <w:t>17</w:t>
      </w:r>
      <w:r>
        <w:fldChar w:fldCharType="end"/>
      </w:r>
      <w:r>
        <w:fldChar w:fldCharType="end"/>
      </w:r>
    </w:p>
    <w:p>
      <w:pPr>
        <w:pStyle w:val="19"/>
        <w:rPr>
          <w:rFonts w:asciiTheme="minorHAnsi" w:hAnsiTheme="minorHAnsi" w:eastAsiaTheme="minorEastAsia" w:cstheme="minorBidi"/>
          <w:sz w:val="21"/>
          <w:szCs w:val="22"/>
          <w14:ligatures w14:val="standardContextual"/>
        </w:rPr>
      </w:pPr>
      <w:r>
        <w:fldChar w:fldCharType="begin"/>
      </w:r>
      <w:r>
        <w:instrText xml:space="preserve"> HYPERLINK \l "_Toc139531402" </w:instrText>
      </w:r>
      <w:r>
        <w:fldChar w:fldCharType="separate"/>
      </w:r>
      <w:r>
        <w:rPr>
          <w:rStyle w:val="46"/>
          <w:rFonts w:ascii="Times New Roman"/>
        </w:rPr>
        <w:t>29.</w:t>
      </w:r>
      <w:r>
        <w:rPr>
          <w:rFonts w:asciiTheme="minorHAnsi" w:hAnsiTheme="minorHAnsi" w:eastAsiaTheme="minorEastAsia" w:cstheme="minorBidi"/>
          <w:sz w:val="21"/>
          <w:szCs w:val="22"/>
          <w14:ligatures w14:val="standardContextual"/>
        </w:rPr>
        <w:tab/>
      </w:r>
      <w:r>
        <w:rPr>
          <w:rStyle w:val="46"/>
          <w:rFonts w:ascii="Times New Roman"/>
        </w:rPr>
        <w:t>质疑</w:t>
      </w:r>
      <w:r>
        <w:tab/>
      </w:r>
      <w:r>
        <w:fldChar w:fldCharType="begin"/>
      </w:r>
      <w:r>
        <w:instrText xml:space="preserve"> PAGEREF _Toc139531402 \h </w:instrText>
      </w:r>
      <w:r>
        <w:fldChar w:fldCharType="separate"/>
      </w:r>
      <w:r>
        <w:t>17</w:t>
      </w:r>
      <w:r>
        <w:fldChar w:fldCharType="end"/>
      </w:r>
      <w:r>
        <w:fldChar w:fldCharType="end"/>
      </w:r>
    </w:p>
    <w:p>
      <w:pPr>
        <w:pStyle w:val="27"/>
        <w:rPr>
          <w:rFonts w:asciiTheme="minorHAnsi" w:hAnsiTheme="minorHAnsi" w:eastAsiaTheme="minorEastAsia" w:cstheme="minorBidi"/>
          <w:b w:val="0"/>
          <w:sz w:val="21"/>
          <w:szCs w:val="22"/>
          <w14:ligatures w14:val="standardContextual"/>
        </w:rPr>
      </w:pPr>
      <w:r>
        <w:fldChar w:fldCharType="begin"/>
      </w:r>
      <w:r>
        <w:instrText xml:space="preserve"> HYPERLINK \l "_Toc139531403" </w:instrText>
      </w:r>
      <w:r>
        <w:fldChar w:fldCharType="separate"/>
      </w:r>
      <w:r>
        <w:rPr>
          <w:rStyle w:val="46"/>
        </w:rPr>
        <w:t>第二章  合同格式及主要条款</w:t>
      </w:r>
      <w:r>
        <w:tab/>
      </w:r>
      <w:r>
        <w:fldChar w:fldCharType="begin"/>
      </w:r>
      <w:r>
        <w:instrText xml:space="preserve"> PAGEREF _Toc139531403 \h </w:instrText>
      </w:r>
      <w:r>
        <w:fldChar w:fldCharType="separate"/>
      </w:r>
      <w:r>
        <w:t>19</w:t>
      </w:r>
      <w:r>
        <w:fldChar w:fldCharType="end"/>
      </w:r>
      <w:r>
        <w:fldChar w:fldCharType="end"/>
      </w:r>
    </w:p>
    <w:p>
      <w:pPr>
        <w:pStyle w:val="27"/>
        <w:rPr>
          <w:rFonts w:asciiTheme="minorHAnsi" w:hAnsiTheme="minorHAnsi" w:eastAsiaTheme="minorEastAsia" w:cstheme="minorBidi"/>
          <w:b w:val="0"/>
          <w:sz w:val="21"/>
          <w:szCs w:val="22"/>
          <w14:ligatures w14:val="standardContextual"/>
        </w:rPr>
      </w:pPr>
      <w:r>
        <w:fldChar w:fldCharType="begin"/>
      </w:r>
      <w:r>
        <w:instrText xml:space="preserve"> HYPERLINK \l "_Toc139531404" </w:instrText>
      </w:r>
      <w:r>
        <w:fldChar w:fldCharType="separate"/>
      </w:r>
      <w:r>
        <w:rPr>
          <w:rStyle w:val="46"/>
          <w:rFonts w:ascii="Times New Roman"/>
        </w:rPr>
        <w:t>第三章  附件——磋商响应文件格式</w:t>
      </w:r>
      <w:r>
        <w:tab/>
      </w:r>
      <w:r>
        <w:fldChar w:fldCharType="begin"/>
      </w:r>
      <w:r>
        <w:instrText xml:space="preserve"> PAGEREF _Toc139531404 \h </w:instrText>
      </w:r>
      <w:r>
        <w:fldChar w:fldCharType="separate"/>
      </w:r>
      <w:r>
        <w:t>25</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"_Toc139531405" </w:instrText>
      </w:r>
      <w:r>
        <w:fldChar w:fldCharType="separate"/>
      </w:r>
      <w:r>
        <w:rPr>
          <w:rStyle w:val="46"/>
        </w:rPr>
        <w:t>附件1  磋商首次响应书</w:t>
      </w:r>
      <w:r>
        <w:tab/>
      </w:r>
      <w:r>
        <w:fldChar w:fldCharType="begin"/>
      </w:r>
      <w:r>
        <w:instrText xml:space="preserve"> PAGEREF _Toc139531405 \h </w:instrText>
      </w:r>
      <w:r>
        <w:fldChar w:fldCharType="separate"/>
      </w:r>
      <w:r>
        <w:t>26</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"_Toc139531406" </w:instrText>
      </w:r>
      <w:r>
        <w:fldChar w:fldCharType="separate"/>
      </w:r>
      <w:r>
        <w:rPr>
          <w:rStyle w:val="46"/>
        </w:rPr>
        <w:t>附件2  首次响应一览表</w:t>
      </w:r>
      <w:r>
        <w:tab/>
      </w:r>
      <w:r>
        <w:fldChar w:fldCharType="begin"/>
      </w:r>
      <w:r>
        <w:instrText xml:space="preserve"> PAGEREF _Toc139531406 \h </w:instrText>
      </w:r>
      <w:r>
        <w:fldChar w:fldCharType="separate"/>
      </w:r>
      <w:r>
        <w:t>28</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"_Toc139531407" </w:instrText>
      </w:r>
      <w:r>
        <w:fldChar w:fldCharType="separate"/>
      </w:r>
      <w:r>
        <w:rPr>
          <w:rStyle w:val="46"/>
        </w:rPr>
        <w:t>附件3  分项报价表</w:t>
      </w:r>
      <w:r>
        <w:tab/>
      </w:r>
      <w:r>
        <w:fldChar w:fldCharType="begin"/>
      </w:r>
      <w:r>
        <w:instrText xml:space="preserve"> PAGEREF _Toc139531407 \h </w:instrText>
      </w:r>
      <w:r>
        <w:fldChar w:fldCharType="separate"/>
      </w:r>
      <w:r>
        <w:t>29</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"_Toc139531408" </w:instrText>
      </w:r>
      <w:r>
        <w:fldChar w:fldCharType="separate"/>
      </w:r>
      <w:r>
        <w:rPr>
          <w:rStyle w:val="46"/>
        </w:rPr>
        <w:t>附件4 技术参数偏离表</w:t>
      </w:r>
      <w:r>
        <w:tab/>
      </w:r>
      <w:r>
        <w:fldChar w:fldCharType="begin"/>
      </w:r>
      <w:r>
        <w:instrText xml:space="preserve"> PAGEREF _Toc139531408 \h </w:instrText>
      </w:r>
      <w:r>
        <w:fldChar w:fldCharType="separate"/>
      </w:r>
      <w:r>
        <w:t>30</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"_Toc139531409" </w:instrText>
      </w:r>
      <w:r>
        <w:fldChar w:fldCharType="separate"/>
      </w:r>
      <w:r>
        <w:rPr>
          <w:rStyle w:val="46"/>
        </w:rPr>
        <w:t>附件5  商务条款偏离表</w:t>
      </w:r>
      <w:r>
        <w:tab/>
      </w:r>
      <w:r>
        <w:fldChar w:fldCharType="begin"/>
      </w:r>
      <w:r>
        <w:instrText xml:space="preserve"> PAGEREF _Toc139531409 \h </w:instrText>
      </w:r>
      <w:r>
        <w:fldChar w:fldCharType="separate"/>
      </w:r>
      <w:r>
        <w:t>31</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"_Toc139531410" </w:instrText>
      </w:r>
      <w:r>
        <w:fldChar w:fldCharType="separate"/>
      </w:r>
      <w:r>
        <w:rPr>
          <w:rStyle w:val="46"/>
        </w:rPr>
        <w:t>附件6  资格证明文件（格式）</w:t>
      </w:r>
      <w:r>
        <w:tab/>
      </w:r>
      <w:r>
        <w:fldChar w:fldCharType="begin"/>
      </w:r>
      <w:r>
        <w:instrText xml:space="preserve"> PAGEREF _Toc139531410 \h </w:instrText>
      </w:r>
      <w:r>
        <w:fldChar w:fldCharType="separate"/>
      </w:r>
      <w:r>
        <w:t>32</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"_Toc139531411" </w:instrText>
      </w:r>
      <w:r>
        <w:fldChar w:fldCharType="separate"/>
      </w:r>
      <w:r>
        <w:rPr>
          <w:rStyle w:val="46"/>
        </w:rPr>
        <w:t>附件7  业绩证明文件及人员配备</w:t>
      </w:r>
      <w:r>
        <w:tab/>
      </w:r>
      <w:r>
        <w:fldChar w:fldCharType="begin"/>
      </w:r>
      <w:r>
        <w:instrText xml:space="preserve"> PAGEREF _Toc139531411 \h </w:instrText>
      </w:r>
      <w:r>
        <w:fldChar w:fldCharType="separate"/>
      </w:r>
      <w:r>
        <w:t>44</w:t>
      </w:r>
      <w:r>
        <w:fldChar w:fldCharType="end"/>
      </w:r>
      <w:r>
        <w:fldChar w:fldCharType="end"/>
      </w:r>
    </w:p>
    <w:p>
      <w:pPr>
        <w:pStyle w:val="31"/>
        <w:tabs>
          <w:tab w:val="right" w:leader="dot" w:pos="8937"/>
        </w:tabs>
        <w:rPr>
          <w:rFonts w:asciiTheme="minorHAnsi" w:hAnsiTheme="minorHAnsi" w:eastAsiaTheme="minorEastAsia" w:cstheme="minorBidi"/>
          <w:szCs w:val="22"/>
          <w14:ligatures w14:val="standardContextual"/>
        </w:rPr>
      </w:pPr>
      <w:r>
        <w:fldChar w:fldCharType="begin"/>
      </w:r>
      <w:r>
        <w:instrText xml:space="preserve"> HYPERLINK \l "_Toc139531412" </w:instrText>
      </w:r>
      <w:r>
        <w:fldChar w:fldCharType="separate"/>
      </w:r>
      <w:r>
        <w:rPr>
          <w:rStyle w:val="46"/>
        </w:rPr>
        <w:t>附件8  磋商文件要求的和供应商认为必要的其他文件</w:t>
      </w:r>
      <w:r>
        <w:tab/>
      </w:r>
      <w:r>
        <w:fldChar w:fldCharType="begin"/>
      </w:r>
      <w:r>
        <w:instrText xml:space="preserve"> PAGEREF _Toc139531412 \h </w:instrText>
      </w:r>
      <w:r>
        <w:fldChar w:fldCharType="separate"/>
      </w:r>
      <w:r>
        <w:t>45</w:t>
      </w:r>
      <w:r>
        <w:fldChar w:fldCharType="end"/>
      </w:r>
      <w:r>
        <w:fldChar w:fldCharType="end"/>
      </w:r>
    </w:p>
    <w:p>
      <w:pPr>
        <w:pStyle w:val="27"/>
        <w:rPr>
          <w:rFonts w:asciiTheme="minorHAnsi" w:hAnsiTheme="minorHAnsi" w:eastAsiaTheme="minorEastAsia" w:cstheme="minorBidi"/>
          <w:b w:val="0"/>
          <w:sz w:val="21"/>
          <w:szCs w:val="22"/>
          <w14:ligatures w14:val="standardContextual"/>
        </w:rPr>
      </w:pPr>
      <w:r>
        <w:fldChar w:fldCharType="begin"/>
      </w:r>
      <w:r>
        <w:instrText xml:space="preserve"> HYPERLINK \l "_Toc139531413" </w:instrText>
      </w:r>
      <w:r>
        <w:fldChar w:fldCharType="separate"/>
      </w:r>
      <w:r>
        <w:rPr>
          <w:rStyle w:val="46"/>
          <w:rFonts w:ascii="Times New Roman"/>
        </w:rPr>
        <w:t>第四章  磋 商 邀 请</w:t>
      </w:r>
      <w:r>
        <w:tab/>
      </w:r>
      <w:r>
        <w:fldChar w:fldCharType="begin"/>
      </w:r>
      <w:r>
        <w:instrText xml:space="preserve"> PAGEREF _Toc139531413 \h </w:instrText>
      </w:r>
      <w:r>
        <w:fldChar w:fldCharType="separate"/>
      </w:r>
      <w:r>
        <w:t>47</w:t>
      </w:r>
      <w:r>
        <w:fldChar w:fldCharType="end"/>
      </w:r>
      <w:r>
        <w:fldChar w:fldCharType="end"/>
      </w:r>
    </w:p>
    <w:p>
      <w:pPr>
        <w:pStyle w:val="27"/>
        <w:rPr>
          <w:rFonts w:asciiTheme="minorHAnsi" w:hAnsiTheme="minorHAnsi" w:eastAsiaTheme="minorEastAsia" w:cstheme="minorBidi"/>
          <w:b w:val="0"/>
          <w:sz w:val="21"/>
          <w:szCs w:val="22"/>
          <w14:ligatures w14:val="standardContextual"/>
        </w:rPr>
      </w:pPr>
      <w:r>
        <w:fldChar w:fldCharType="begin"/>
      </w:r>
      <w:r>
        <w:instrText xml:space="preserve"> HYPERLINK \l "_Toc139531414" </w:instrText>
      </w:r>
      <w:r>
        <w:fldChar w:fldCharType="separate"/>
      </w:r>
      <w:r>
        <w:rPr>
          <w:rStyle w:val="46"/>
          <w:rFonts w:ascii="Times New Roman"/>
        </w:rPr>
        <w:t>第五章  供应商须知资料表</w:t>
      </w:r>
      <w:r>
        <w:tab/>
      </w:r>
      <w:r>
        <w:fldChar w:fldCharType="begin"/>
      </w:r>
      <w:r>
        <w:instrText xml:space="preserve"> PAGEREF _Toc139531414 \h </w:instrText>
      </w:r>
      <w:r>
        <w:fldChar w:fldCharType="separate"/>
      </w:r>
      <w:r>
        <w:t>50</w:t>
      </w:r>
      <w:r>
        <w:fldChar w:fldCharType="end"/>
      </w:r>
      <w:r>
        <w:fldChar w:fldCharType="end"/>
      </w:r>
    </w:p>
    <w:p>
      <w:pPr>
        <w:pStyle w:val="27"/>
        <w:rPr>
          <w:rFonts w:asciiTheme="minorHAnsi" w:hAnsiTheme="minorHAnsi" w:eastAsiaTheme="minorEastAsia" w:cstheme="minorBidi"/>
          <w:b w:val="0"/>
          <w:sz w:val="21"/>
          <w:szCs w:val="22"/>
          <w14:ligatures w14:val="standardContextual"/>
        </w:rPr>
      </w:pPr>
      <w:r>
        <w:fldChar w:fldCharType="begin"/>
      </w:r>
      <w:r>
        <w:instrText xml:space="preserve"> HYPERLINK \l "_Toc139531415" </w:instrText>
      </w:r>
      <w:r>
        <w:fldChar w:fldCharType="separate"/>
      </w:r>
      <w:r>
        <w:rPr>
          <w:rStyle w:val="46"/>
          <w:rFonts w:ascii="Times New Roman"/>
        </w:rPr>
        <w:t>第六章  货物需求一览表及技术需求</w:t>
      </w:r>
      <w:r>
        <w:tab/>
      </w:r>
      <w:r>
        <w:fldChar w:fldCharType="begin"/>
      </w:r>
      <w:r>
        <w:instrText xml:space="preserve"> PAGEREF _Toc139531415 \h </w:instrText>
      </w:r>
      <w:r>
        <w:fldChar w:fldCharType="separate"/>
      </w:r>
      <w:r>
        <w:t>51</w:t>
      </w:r>
      <w:r>
        <w:fldChar w:fldCharType="end"/>
      </w:r>
      <w:r>
        <w:fldChar w:fldCharType="end"/>
      </w:r>
    </w:p>
    <w:p>
      <w:pPr>
        <w:pStyle w:val="27"/>
        <w:rPr>
          <w:rFonts w:ascii="Times New Roman" w:hAnsi="Times New Roman" w:eastAsia="宋体"/>
          <w:color w:val="000000" w:themeColor="text1"/>
          <w14:textFill>
            <w14:solidFill>
              <w14:schemeClr w14:val="tx1"/>
            </w14:solidFill>
          </w14:textFill>
        </w:rPr>
        <w:sectPr>
          <w:footerReference r:id="rId8" w:type="first"/>
          <w:footerReference r:id="rId7" w:type="even"/>
          <w:type w:val="nextColumn"/>
          <w:pgSz w:w="11907" w:h="16840"/>
          <w:pgMar w:top="1758" w:right="1701" w:bottom="1588" w:left="1259" w:header="851" w:footer="851" w:gutter="0"/>
          <w:cols w:space="720" w:num="1"/>
          <w:titlePg/>
          <w:docGrid w:linePitch="462" w:charSpace="0"/>
        </w:sectPr>
      </w:pPr>
      <w:r>
        <w:rPr>
          <w:rFonts w:hint="eastAsia" w:ascii="Times New Roman" w:hAnsi="Times New Roman" w:eastAsia="宋体"/>
          <w:color w:val="000000" w:themeColor="text1"/>
          <w14:textFill>
            <w14:solidFill>
              <w14:schemeClr w14:val="tx1"/>
            </w14:solidFill>
          </w14:textFill>
        </w:rPr>
        <w:fldChar w:fldCharType="end"/>
      </w:r>
      <w:bookmarkStart w:id="1" w:name="_Toc133916648"/>
      <w:bookmarkStart w:id="2" w:name="_Toc133737773"/>
      <w:bookmarkStart w:id="3" w:name="_Toc133737862"/>
    </w:p>
    <w:p>
      <w:pPr>
        <w:pStyle w:val="2"/>
        <w:keepNext w:val="0"/>
        <w:keepLines w:val="0"/>
        <w:spacing w:before="0" w:after="0" w:line="360" w:lineRule="auto"/>
        <w:rPr>
          <w:rFonts w:ascii="Times New Roman"/>
          <w:color w:val="000000" w:themeColor="text1"/>
          <w14:textFill>
            <w14:solidFill>
              <w14:schemeClr w14:val="tx1"/>
            </w14:solidFill>
          </w14:textFill>
        </w:rPr>
      </w:pPr>
      <w:bookmarkStart w:id="4" w:name="_Toc139531367"/>
      <w:r>
        <w:rPr>
          <w:rFonts w:hint="eastAsia" w:ascii="Times New Roman"/>
          <w:color w:val="000000" w:themeColor="text1"/>
          <w14:textFill>
            <w14:solidFill>
              <w14:schemeClr w14:val="tx1"/>
            </w14:solidFill>
          </w14:textFill>
        </w:rPr>
        <w:t>第一章  供应商须知</w:t>
      </w:r>
      <w:bookmarkEnd w:id="1"/>
      <w:bookmarkEnd w:id="2"/>
      <w:bookmarkEnd w:id="3"/>
      <w:bookmarkEnd w:id="4"/>
    </w:p>
    <w:p>
      <w:pPr>
        <w:spacing w:line="360" w:lineRule="auto"/>
        <w:rPr>
          <w:b/>
          <w:color w:val="000000" w:themeColor="text1"/>
          <w:sz w:val="24"/>
          <w14:textFill>
            <w14:solidFill>
              <w14:schemeClr w14:val="tx1"/>
            </w14:solidFill>
          </w14:textFill>
        </w:rPr>
      </w:pP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5" w:name="_Toc438203835"/>
      <w:bookmarkStart w:id="6" w:name="_Toc133916649"/>
      <w:bookmarkStart w:id="7" w:name="_Toc133737863"/>
      <w:bookmarkStart w:id="8" w:name="_Toc529733167"/>
      <w:bookmarkStart w:id="9" w:name="_Toc427315014"/>
      <w:bookmarkStart w:id="10" w:name="_Toc67860202"/>
      <w:bookmarkStart w:id="11" w:name="_Toc139531368"/>
      <w:bookmarkStart w:id="12" w:name="_Toc520356143"/>
      <w:bookmarkStart w:id="13" w:name="_Toc133737774"/>
      <w:r>
        <w:rPr>
          <w:rFonts w:hint="eastAsia" w:ascii="Times New Roman" w:hAnsi="Times New Roman" w:eastAsia="宋体"/>
          <w:color w:val="000000" w:themeColor="text1"/>
          <w:sz w:val="28"/>
          <w14:textFill>
            <w14:solidFill>
              <w14:schemeClr w14:val="tx1"/>
            </w14:solidFill>
          </w14:textFill>
        </w:rPr>
        <w:t>一  说  明</w:t>
      </w:r>
      <w:bookmarkEnd w:id="5"/>
      <w:bookmarkEnd w:id="6"/>
      <w:bookmarkEnd w:id="7"/>
      <w:bookmarkEnd w:id="8"/>
      <w:bookmarkEnd w:id="9"/>
      <w:bookmarkEnd w:id="10"/>
      <w:bookmarkEnd w:id="11"/>
      <w:bookmarkEnd w:id="12"/>
      <w:bookmarkEnd w:id="13"/>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14" w:name="_Toc277153090"/>
      <w:bookmarkStart w:id="15" w:name="_Toc529733168"/>
      <w:bookmarkStart w:id="16" w:name="_Toc427315015"/>
      <w:bookmarkStart w:id="17" w:name="_Toc133737864"/>
      <w:bookmarkStart w:id="18" w:name="_Toc139531369"/>
      <w:bookmarkStart w:id="19" w:name="_Toc438203836"/>
      <w:bookmarkStart w:id="20" w:name="_Toc67860203"/>
      <w:bookmarkStart w:id="21" w:name="_Toc133737775"/>
      <w:bookmarkStart w:id="22" w:name="_Toc155238587"/>
      <w:bookmarkStart w:id="23" w:name="_Toc277942465"/>
      <w:bookmarkStart w:id="24" w:name="_Toc133916650"/>
      <w:bookmarkStart w:id="25" w:name="_Toc520356144"/>
      <w:r>
        <w:rPr>
          <w:rFonts w:hint="eastAsia" w:ascii="Times New Roman"/>
          <w:color w:val="000000" w:themeColor="text1"/>
          <w:u w:val="none"/>
          <w14:textFill>
            <w14:solidFill>
              <w14:schemeClr w14:val="tx1"/>
            </w14:solidFill>
          </w14:textFill>
        </w:rPr>
        <w:t>1.</w:t>
      </w:r>
      <w:r>
        <w:rPr>
          <w:rFonts w:hint="eastAsia" w:ascii="Times New Roman"/>
          <w:color w:val="000000" w:themeColor="text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采购单位及合格的供应商</w:t>
      </w:r>
      <w:bookmarkEnd w:id="14"/>
      <w:bookmarkEnd w:id="15"/>
      <w:bookmarkEnd w:id="16"/>
      <w:bookmarkEnd w:id="17"/>
      <w:bookmarkEnd w:id="18"/>
      <w:bookmarkEnd w:id="19"/>
      <w:bookmarkEnd w:id="20"/>
      <w:bookmarkEnd w:id="21"/>
      <w:bookmarkEnd w:id="22"/>
      <w:bookmarkEnd w:id="23"/>
      <w:bookmarkEnd w:id="24"/>
      <w:bookmarkEnd w:id="25"/>
    </w:p>
    <w:p>
      <w:pPr>
        <w:numPr>
          <w:ilvl w:val="1"/>
          <w:numId w:val="2"/>
        </w:numPr>
        <w:spacing w:before="120"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采购单位：系指采购人及其委托的采购代理机构。本项目的采购单位：北京交通大学；本项目的采购代理机构：北京明德致信咨询有限公司。</w:t>
      </w:r>
      <w:r>
        <w:rPr>
          <w:rFonts w:ascii="宋体" w:hAnsi="宋体"/>
          <w:color w:val="000000" w:themeColor="text1"/>
          <w14:textFill>
            <w14:solidFill>
              <w14:schemeClr w14:val="tx1"/>
            </w14:solidFill>
          </w14:textFill>
        </w:rPr>
        <w:t xml:space="preserve"> </w:t>
      </w:r>
    </w:p>
    <w:p>
      <w:pPr>
        <w:spacing w:before="120" w:line="360" w:lineRule="auto"/>
        <w:ind w:left="743" w:hanging="743" w:hangingChars="35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满足以下条件的供应商是合格的供应商，可以参加本次竞争性磋商（后简称“磋商”）：</w:t>
      </w:r>
    </w:p>
    <w:p>
      <w:pPr>
        <w:spacing w:before="120" w:line="360" w:lineRule="auto"/>
        <w:ind w:left="900" w:hanging="9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1.2.1</w:t>
      </w:r>
      <w:r>
        <w:rPr>
          <w:rFonts w:ascii="宋体" w:hAnsi="宋体"/>
          <w:color w:val="000000" w:themeColor="text1"/>
          <w14:textFill>
            <w14:solidFill>
              <w14:schemeClr w14:val="tx1"/>
            </w14:solidFill>
          </w14:textFill>
        </w:rPr>
        <w:tab/>
      </w:r>
      <w:r>
        <w:rPr>
          <w:rFonts w:hint="eastAsia" w:ascii="宋体" w:hAnsi="宋体"/>
          <w:color w:val="000000" w:themeColor="text1"/>
          <w14:textFill>
            <w14:solidFill>
              <w14:schemeClr w14:val="tx1"/>
            </w14:solidFill>
          </w14:textFill>
        </w:rPr>
        <w:t>中华人民共和国境内具有独立承担民事责任能力的供应商，包括法人、其他组织或者自然人。</w:t>
      </w:r>
    </w:p>
    <w:p>
      <w:pPr>
        <w:spacing w:before="120" w:line="360" w:lineRule="auto"/>
        <w:ind w:left="900" w:hanging="9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 xml:space="preserve">.2.2   </w:t>
      </w:r>
      <w:r>
        <w:rPr>
          <w:rFonts w:hint="eastAsia" w:ascii="宋体" w:hAnsi="宋体"/>
          <w:color w:val="000000" w:themeColor="text1"/>
          <w14:textFill>
            <w14:solidFill>
              <w14:schemeClr w14:val="tx1"/>
            </w14:solidFill>
          </w14:textFill>
        </w:rPr>
        <w:t>本项目专门面向中小企业采购，即货物由中小企业生产且使用该中小企业商号或者注册商标；</w:t>
      </w:r>
    </w:p>
    <w:p>
      <w:pPr>
        <w:spacing w:before="120" w:line="360" w:lineRule="auto"/>
        <w:ind w:left="900" w:hanging="9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w:t>
      </w:r>
      <w:r>
        <w:rPr>
          <w:rFonts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ab/>
      </w:r>
      <w:r>
        <w:rPr>
          <w:rFonts w:hint="eastAsia" w:ascii="宋体" w:hAnsi="宋体"/>
          <w:color w:val="000000" w:themeColor="text1"/>
          <w14:textFill>
            <w14:solidFill>
              <w14:schemeClr w14:val="tx1"/>
            </w14:solidFill>
          </w14:textFill>
        </w:rPr>
        <w:t>遵守国家有关法律、法规、规章</w:t>
      </w:r>
      <w:r>
        <w:rPr>
          <w:rFonts w:ascii="宋体" w:hAnsi="宋体"/>
          <w:color w:val="000000" w:themeColor="text1"/>
          <w:szCs w:val="21"/>
          <w14:textFill>
            <w14:solidFill>
              <w14:schemeClr w14:val="tx1"/>
            </w14:solidFill>
          </w14:textFill>
        </w:rPr>
        <w:t>和政府采购有关的规章</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14:textFill>
            <w14:solidFill>
              <w14:schemeClr w14:val="tx1"/>
            </w14:solidFill>
          </w14:textFill>
        </w:rPr>
        <w:t>具有良好的商业信誉和健全的财务会计制度，具有依法缴纳税收和社会保障资金的良好记录，</w:t>
      </w:r>
      <w:r>
        <w:rPr>
          <w:rFonts w:hint="eastAsia" w:ascii="宋体" w:hAnsi="宋体"/>
          <w:color w:val="000000" w:themeColor="text1"/>
          <w:szCs w:val="21"/>
          <w14:textFill>
            <w14:solidFill>
              <w14:schemeClr w14:val="tx1"/>
            </w14:solidFill>
          </w14:textFill>
        </w:rPr>
        <w:t>参加政府采购活动近三年内</w:t>
      </w:r>
      <w:r>
        <w:rPr>
          <w:rFonts w:ascii="宋体" w:hAnsi="宋体"/>
          <w:color w:val="000000" w:themeColor="text1"/>
          <w:szCs w:val="21"/>
          <w14:textFill>
            <w14:solidFill>
              <w14:schemeClr w14:val="tx1"/>
            </w14:solidFill>
          </w14:textFill>
        </w:rPr>
        <w:t>（注册时间不足三年的按实际经营时间计算）</w:t>
      </w:r>
      <w:r>
        <w:rPr>
          <w:rFonts w:hint="eastAsia" w:ascii="宋体" w:hAnsi="宋体"/>
          <w:color w:val="000000" w:themeColor="text1"/>
          <w:szCs w:val="21"/>
          <w14:textFill>
            <w14:solidFill>
              <w14:schemeClr w14:val="tx1"/>
            </w14:solidFill>
          </w14:textFill>
        </w:rPr>
        <w:t>，在经营活动中没有重大违法记录。</w:t>
      </w:r>
    </w:p>
    <w:p>
      <w:pPr>
        <w:spacing w:before="120" w:line="360" w:lineRule="auto"/>
        <w:ind w:left="788" w:hanging="787" w:hangingChars="37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w:t>
      </w:r>
      <w:r>
        <w:rPr>
          <w:rFonts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ab/>
      </w:r>
      <w:r>
        <w:rPr>
          <w:rFonts w:hint="eastAsia" w:ascii="宋体" w:hAnsi="宋体"/>
          <w:color w:val="000000" w:themeColor="text1"/>
          <w14:textFill>
            <w14:solidFill>
              <w14:schemeClr w14:val="tx1"/>
            </w14:solidFill>
          </w14:textFill>
        </w:rPr>
        <w:t>单位负责人为同一人或者存在直接控股、管理关系的不同供应商，不得同时参加本项目同一包的磋商。为本项目某一包提供整体设计、规范编制或者项目管理、监理、检测等服务的供应商，不得再参加该包的磋商。</w:t>
      </w:r>
    </w:p>
    <w:p>
      <w:pPr>
        <w:spacing w:before="120" w:line="360" w:lineRule="auto"/>
        <w:ind w:left="788" w:hanging="787" w:hangingChars="37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w:t>
      </w:r>
      <w:r>
        <w:rPr>
          <w:rFonts w:ascii="宋体" w:hAnsi="宋体"/>
          <w:color w:val="000000" w:themeColor="text1"/>
          <w14:textFill>
            <w14:solidFill>
              <w14:schemeClr w14:val="tx1"/>
            </w14:solidFill>
          </w14:textFill>
        </w:rPr>
        <w:t>4</w:t>
      </w:r>
      <w:r>
        <w:rPr>
          <w:rFonts w:ascii="宋体" w:hAnsi="宋体"/>
          <w:color w:val="000000" w:themeColor="text1"/>
          <w14:textFill>
            <w14:solidFill>
              <w14:schemeClr w14:val="tx1"/>
            </w14:solidFill>
          </w14:textFill>
        </w:rPr>
        <w:tab/>
      </w:r>
      <w:r>
        <w:rPr>
          <w:rFonts w:hint="eastAsia" w:ascii="宋体" w:hAnsi="宋体"/>
          <w:color w:val="000000" w:themeColor="text1"/>
          <w14:textFill>
            <w14:solidFill>
              <w14:schemeClr w14:val="tx1"/>
            </w14:solidFill>
          </w14:textFill>
        </w:rPr>
        <w:t>通过“信用中国”网站（www.creditchina.gov.cn）和中国政府采购网（www.ccgp.gov.cn）查询信用记录（截止时点为递交磋商响应文件截止当日），被列入失信被执行人、重大税收违法案件当事人名单、政府采购严重违法失信行为记录名单的供应商，没有资格参加本项目的采购活动。</w:t>
      </w:r>
    </w:p>
    <w:p>
      <w:pPr>
        <w:spacing w:before="120" w:line="360" w:lineRule="auto"/>
        <w:ind w:left="900" w:hanging="900"/>
        <w:rPr>
          <w:rFonts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1.2.</w:t>
      </w:r>
      <w:r>
        <w:rPr>
          <w:rFonts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ab/>
      </w:r>
      <w:r>
        <w:rPr>
          <w:rFonts w:hint="eastAsia" w:ascii="宋体" w:hAnsi="宋体"/>
          <w:color w:val="000000" w:themeColor="text1"/>
          <w:szCs w:val="21"/>
          <w14:textFill>
            <w14:solidFill>
              <w14:schemeClr w14:val="tx1"/>
            </w14:solidFill>
          </w14:textFill>
        </w:rPr>
        <w:t>供应商须向采购代理机构按包购买磋商文件并登记备案，否则没有资格参加本次磋商。</w:t>
      </w:r>
    </w:p>
    <w:p>
      <w:pPr>
        <w:spacing w:before="120" w:line="360" w:lineRule="auto"/>
        <w:ind w:left="900" w:hanging="9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w:t>
      </w:r>
      <w:r>
        <w:rPr>
          <w:rFonts w:ascii="宋体" w:hAnsi="宋体"/>
          <w:color w:val="000000" w:themeColor="text1"/>
          <w:szCs w:val="21"/>
          <w14:textFill>
            <w14:solidFill>
              <w14:schemeClr w14:val="tx1"/>
            </w14:solidFill>
          </w14:textFill>
        </w:rPr>
        <w:t>6</w:t>
      </w:r>
      <w:r>
        <w:rPr>
          <w:rFonts w:ascii="宋体" w:hAnsi="宋体"/>
          <w:color w:val="000000" w:themeColor="text1"/>
          <w14:textFill>
            <w14:solidFill>
              <w14:schemeClr w14:val="tx1"/>
            </w14:solidFill>
          </w14:textFill>
        </w:rPr>
        <w:tab/>
      </w:r>
      <w:r>
        <w:rPr>
          <w:rFonts w:hint="eastAsia" w:ascii="宋体" w:hAnsi="宋体"/>
          <w:color w:val="000000" w:themeColor="text1"/>
          <w:szCs w:val="21"/>
          <w14:textFill>
            <w14:solidFill>
              <w14:schemeClr w14:val="tx1"/>
            </w14:solidFill>
          </w14:textFill>
        </w:rPr>
        <w:t>本项目不接受联合体。</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供应商在磋商过程中不得向采购单位提供、给予任何有价值的物品，影响其正常决策行为。一经发现，其供应商资格将被取消。</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采购单位在任何时候发现供应商提交的磋商响应文件内容有下列情形之一时，有权依法追究供应商的责任：</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1.4.1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提供虚假的资料。</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1.4.2</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在实质性方面失实。</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政府采购当事人之间不得相互串通参加磋商。</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6" w:name="_Toc133916651"/>
      <w:bookmarkStart w:id="27" w:name="_Toc133737776"/>
      <w:bookmarkStart w:id="28" w:name="_Toc133737865"/>
      <w:bookmarkStart w:id="29" w:name="_Toc427315016"/>
      <w:bookmarkStart w:id="30" w:name="_Toc529733169"/>
      <w:bookmarkStart w:id="31" w:name="_Toc438203837"/>
      <w:bookmarkStart w:id="32" w:name="_Toc277153091"/>
      <w:bookmarkStart w:id="33" w:name="_Toc277942466"/>
      <w:bookmarkStart w:id="34" w:name="_Toc155238588"/>
      <w:bookmarkStart w:id="35" w:name="_Toc139531370"/>
      <w:bookmarkStart w:id="36" w:name="_Toc67860204"/>
      <w:r>
        <w:rPr>
          <w:rFonts w:hint="eastAsia" w:ascii="Times New Roman"/>
          <w:color w:val="000000" w:themeColor="text1"/>
          <w:sz w:val="21"/>
          <w:u w:val="none"/>
          <w14:textFill>
            <w14:solidFill>
              <w14:schemeClr w14:val="tx1"/>
            </w14:solidFill>
          </w14:textFill>
        </w:rPr>
        <w:t>2.</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资金来源</w:t>
      </w:r>
      <w:bookmarkEnd w:id="26"/>
      <w:bookmarkEnd w:id="27"/>
      <w:bookmarkEnd w:id="28"/>
      <w:bookmarkEnd w:id="29"/>
      <w:bookmarkEnd w:id="30"/>
      <w:bookmarkEnd w:id="31"/>
      <w:bookmarkEnd w:id="32"/>
      <w:bookmarkEnd w:id="33"/>
      <w:bookmarkEnd w:id="34"/>
      <w:bookmarkEnd w:id="35"/>
      <w:bookmarkEnd w:id="36"/>
    </w:p>
    <w:p>
      <w:pPr>
        <w:spacing w:before="120" w:line="360" w:lineRule="auto"/>
        <w:ind w:left="897" w:hanging="89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采购人已经获得足以支付本次磋商后所签订的合同项下的款项（财政性资金）。</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7" w:name="_Toc529733170"/>
      <w:bookmarkStart w:id="38" w:name="_Toc277153092"/>
      <w:bookmarkStart w:id="39" w:name="_Toc277942467"/>
      <w:bookmarkStart w:id="40" w:name="_Toc67860205"/>
      <w:bookmarkStart w:id="41" w:name="_Toc520356145"/>
      <w:bookmarkStart w:id="42" w:name="_Toc133737777"/>
      <w:bookmarkStart w:id="43" w:name="_Toc427315017"/>
      <w:bookmarkStart w:id="44" w:name="_Toc133916652"/>
      <w:bookmarkStart w:id="45" w:name="_Toc438203838"/>
      <w:bookmarkStart w:id="46" w:name="_Toc139531371"/>
      <w:bookmarkStart w:id="47" w:name="_Toc155238589"/>
      <w:bookmarkStart w:id="48" w:name="_Toc133737866"/>
      <w:r>
        <w:rPr>
          <w:rFonts w:hint="eastAsia" w:ascii="Times New Roman"/>
          <w:color w:val="000000" w:themeColor="text1"/>
          <w:sz w:val="21"/>
          <w:u w:val="none"/>
          <w14:textFill>
            <w14:solidFill>
              <w14:schemeClr w14:val="tx1"/>
            </w14:solidFill>
          </w14:textFill>
        </w:rPr>
        <w:t>3.</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磋商费用</w:t>
      </w:r>
      <w:bookmarkEnd w:id="37"/>
      <w:bookmarkEnd w:id="38"/>
      <w:bookmarkEnd w:id="39"/>
      <w:bookmarkEnd w:id="40"/>
      <w:bookmarkEnd w:id="41"/>
      <w:bookmarkEnd w:id="42"/>
      <w:bookmarkEnd w:id="43"/>
      <w:bookmarkEnd w:id="44"/>
      <w:bookmarkEnd w:id="45"/>
      <w:bookmarkEnd w:id="46"/>
      <w:bookmarkEnd w:id="47"/>
      <w:bookmarkEnd w:id="48"/>
    </w:p>
    <w:p>
      <w:pPr>
        <w:spacing w:before="120" w:line="360" w:lineRule="auto"/>
        <w:ind w:left="785" w:hanging="783"/>
        <w:rPr>
          <w:color w:val="000000" w:themeColor="text1"/>
          <w14:textFill>
            <w14:solidFill>
              <w14:schemeClr w14:val="tx1"/>
            </w14:solidFill>
          </w14:textFill>
        </w:rPr>
      </w:pPr>
      <w:r>
        <w:rPr>
          <w:color w:val="000000" w:themeColor="text1"/>
          <w14:textFill>
            <w14:solidFill>
              <w14:schemeClr w14:val="tx1"/>
            </w14:solidFill>
          </w14:textFill>
        </w:rPr>
        <w:t>3.1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供应商应承担所有与准备和参加磋商有关的费用，不论磋商的结果如何，采购单位均无承担的义务和责任。</w:t>
      </w: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49" w:name="_Toc133916653"/>
      <w:bookmarkStart w:id="50" w:name="_Toc529733171"/>
      <w:bookmarkStart w:id="51" w:name="_Toc520356146"/>
      <w:bookmarkStart w:id="52" w:name="_Toc438203839"/>
      <w:bookmarkStart w:id="53" w:name="_Toc133737778"/>
      <w:bookmarkStart w:id="54" w:name="_Toc427315018"/>
      <w:bookmarkStart w:id="55" w:name="_Toc139531372"/>
      <w:bookmarkStart w:id="56" w:name="_Toc67860206"/>
      <w:bookmarkStart w:id="57" w:name="_Toc133737867"/>
      <w:r>
        <w:rPr>
          <w:rFonts w:hint="eastAsia" w:ascii="Times New Roman" w:hAnsi="Times New Roman" w:eastAsia="宋体"/>
          <w:color w:val="000000" w:themeColor="text1"/>
          <w:sz w:val="28"/>
          <w14:textFill>
            <w14:solidFill>
              <w14:schemeClr w14:val="tx1"/>
            </w14:solidFill>
          </w14:textFill>
        </w:rPr>
        <w:t>二  磋商文件</w:t>
      </w:r>
      <w:bookmarkEnd w:id="49"/>
      <w:bookmarkEnd w:id="50"/>
      <w:bookmarkEnd w:id="51"/>
      <w:bookmarkEnd w:id="52"/>
      <w:bookmarkEnd w:id="53"/>
      <w:bookmarkEnd w:id="54"/>
      <w:bookmarkEnd w:id="55"/>
      <w:bookmarkEnd w:id="56"/>
      <w:bookmarkEnd w:id="57"/>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58" w:name="_Toc427315019"/>
      <w:bookmarkStart w:id="59" w:name="_Toc438203840"/>
      <w:bookmarkStart w:id="60" w:name="_Toc67860207"/>
      <w:bookmarkStart w:id="61" w:name="_Toc277942469"/>
      <w:bookmarkStart w:id="62" w:name="_Toc133737779"/>
      <w:bookmarkStart w:id="63" w:name="_Toc155238591"/>
      <w:bookmarkStart w:id="64" w:name="_Toc139531373"/>
      <w:bookmarkStart w:id="65" w:name="_Toc529733172"/>
      <w:bookmarkStart w:id="66" w:name="_Toc277153094"/>
      <w:bookmarkStart w:id="67" w:name="_Toc133916654"/>
      <w:bookmarkStart w:id="68" w:name="_Toc133737868"/>
      <w:bookmarkStart w:id="69" w:name="_Toc520356147"/>
      <w:r>
        <w:rPr>
          <w:rFonts w:hint="eastAsia" w:ascii="Times New Roman"/>
          <w:color w:val="000000" w:themeColor="text1"/>
          <w:u w:val="none"/>
          <w14:textFill>
            <w14:solidFill>
              <w14:schemeClr w14:val="tx1"/>
            </w14:solidFill>
          </w14:textFill>
        </w:rPr>
        <w:t>4.</w:t>
      </w:r>
      <w:r>
        <w:rPr>
          <w:rFonts w:hint="eastAsia" w:ascii="Times New Roman"/>
          <w:color w:val="000000" w:themeColor="text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磋商文件构成</w:t>
      </w:r>
      <w:bookmarkEnd w:id="58"/>
      <w:bookmarkEnd w:id="59"/>
      <w:bookmarkEnd w:id="60"/>
      <w:bookmarkEnd w:id="61"/>
      <w:bookmarkEnd w:id="62"/>
      <w:bookmarkEnd w:id="63"/>
      <w:bookmarkEnd w:id="64"/>
      <w:bookmarkEnd w:id="65"/>
      <w:bookmarkEnd w:id="66"/>
      <w:bookmarkEnd w:id="67"/>
      <w:bookmarkEnd w:id="68"/>
      <w:bookmarkEnd w:id="69"/>
    </w:p>
    <w:p>
      <w:pPr>
        <w:tabs>
          <w:tab w:val="left" w:pos="900"/>
        </w:tabs>
        <w:spacing w:before="120" w:line="360" w:lineRule="auto"/>
        <w:ind w:left="895" w:hanging="895"/>
        <w:rPr>
          <w:color w:val="000000" w:themeColor="text1"/>
          <w14:textFill>
            <w14:solidFill>
              <w14:schemeClr w14:val="tx1"/>
            </w14:solidFill>
          </w14:textFill>
        </w:rPr>
      </w:pPr>
      <w:r>
        <w:rPr>
          <w:rFonts w:hint="eastAsia"/>
          <w:color w:val="000000" w:themeColor="text1"/>
          <w14:textFill>
            <w14:solidFill>
              <w14:schemeClr w14:val="tx1"/>
            </w14:solidFill>
          </w14:textFill>
        </w:rPr>
        <w:t>4.1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要求提供所需服务的内容及详细技术需求、供应商须知和合同条件等在磋商文件中均有说明。</w:t>
      </w:r>
    </w:p>
    <w:p>
      <w:pPr>
        <w:spacing w:line="360" w:lineRule="auto"/>
        <w:ind w:left="895" w:firstLine="5"/>
        <w:rPr>
          <w:color w:val="000000" w:themeColor="text1"/>
          <w14:textFill>
            <w14:solidFill>
              <w14:schemeClr w14:val="tx1"/>
            </w14:solidFill>
          </w14:textFill>
        </w:rPr>
      </w:pPr>
      <w:r>
        <w:rPr>
          <w:rFonts w:hint="eastAsia"/>
          <w:color w:val="000000" w:themeColor="text1"/>
          <w14:textFill>
            <w14:solidFill>
              <w14:schemeClr w14:val="tx1"/>
            </w14:solidFill>
          </w14:textFill>
        </w:rPr>
        <w:t>磋商文件共六章，其内容如下：</w:t>
      </w:r>
    </w:p>
    <w:p>
      <w:pPr>
        <w:spacing w:line="360" w:lineRule="auto"/>
        <w:ind w:left="895" w:firstLine="5"/>
        <w:rPr>
          <w:b/>
          <w:color w:val="000000" w:themeColor="text1"/>
          <w14:textFill>
            <w14:solidFill>
              <w14:schemeClr w14:val="tx1"/>
            </w14:solidFill>
          </w14:textFill>
        </w:rPr>
      </w:pPr>
      <w:r>
        <w:rPr>
          <w:rFonts w:hint="eastAsia"/>
          <w:b/>
          <w:color w:val="000000" w:themeColor="text1"/>
          <w14:textFill>
            <w14:solidFill>
              <w14:schemeClr w14:val="tx1"/>
            </w14:solidFill>
          </w14:textFill>
        </w:rPr>
        <w:t>第一册</w:t>
      </w:r>
    </w:p>
    <w:p>
      <w:pPr>
        <w:numPr>
          <w:ilvl w:val="0"/>
          <w:numId w:val="1"/>
        </w:numPr>
        <w:spacing w:line="360" w:lineRule="auto"/>
        <w:ind w:left="895" w:firstLine="5"/>
        <w:rPr>
          <w:color w:val="000000" w:themeColor="text1"/>
          <w14:textFill>
            <w14:solidFill>
              <w14:schemeClr w14:val="tx1"/>
            </w14:solidFill>
          </w14:textFill>
        </w:rPr>
      </w:pPr>
      <w:r>
        <w:rPr>
          <w:rFonts w:hint="eastAsia"/>
          <w:color w:val="000000" w:themeColor="text1"/>
          <w14:textFill>
            <w14:solidFill>
              <w14:schemeClr w14:val="tx1"/>
            </w14:solidFill>
          </w14:textFill>
        </w:rPr>
        <w:t>　供应商须知</w:t>
      </w:r>
    </w:p>
    <w:p>
      <w:pPr>
        <w:numPr>
          <w:ilvl w:val="0"/>
          <w:numId w:val="1"/>
        </w:numPr>
        <w:spacing w:line="360" w:lineRule="auto"/>
        <w:ind w:left="895" w:firstLine="5"/>
        <w:rPr>
          <w:color w:val="000000" w:themeColor="text1"/>
          <w14:textFill>
            <w14:solidFill>
              <w14:schemeClr w14:val="tx1"/>
            </w14:solidFill>
          </w14:textFill>
        </w:rPr>
      </w:pPr>
      <w:r>
        <w:rPr>
          <w:rFonts w:hint="eastAsia"/>
          <w:color w:val="000000" w:themeColor="text1"/>
          <w14:textFill>
            <w14:solidFill>
              <w14:schemeClr w14:val="tx1"/>
            </w14:solidFill>
          </w14:textFill>
        </w:rPr>
        <w:t>　合同一般条款及格式</w:t>
      </w:r>
    </w:p>
    <w:p>
      <w:pPr>
        <w:numPr>
          <w:ilvl w:val="0"/>
          <w:numId w:val="1"/>
        </w:numPr>
        <w:spacing w:line="360" w:lineRule="auto"/>
        <w:ind w:left="895" w:firstLine="5"/>
        <w:rPr>
          <w:color w:val="000000" w:themeColor="text1"/>
          <w14:textFill>
            <w14:solidFill>
              <w14:schemeClr w14:val="tx1"/>
            </w14:solidFill>
          </w14:textFill>
        </w:rPr>
      </w:pPr>
      <w:r>
        <w:rPr>
          <w:rFonts w:hint="eastAsia"/>
          <w:color w:val="000000" w:themeColor="text1"/>
          <w14:textFill>
            <w14:solidFill>
              <w14:schemeClr w14:val="tx1"/>
            </w14:solidFill>
          </w14:textFill>
        </w:rPr>
        <w:t>　附件——磋商文件格式</w:t>
      </w:r>
    </w:p>
    <w:p>
      <w:pPr>
        <w:spacing w:line="360" w:lineRule="auto"/>
        <w:ind w:left="900"/>
        <w:rPr>
          <w:b/>
          <w:color w:val="000000" w:themeColor="text1"/>
          <w14:textFill>
            <w14:solidFill>
              <w14:schemeClr w14:val="tx1"/>
            </w14:solidFill>
          </w14:textFill>
        </w:rPr>
      </w:pPr>
      <w:r>
        <w:rPr>
          <w:rFonts w:hint="eastAsia"/>
          <w:b/>
          <w:color w:val="000000" w:themeColor="text1"/>
          <w14:textFill>
            <w14:solidFill>
              <w14:schemeClr w14:val="tx1"/>
            </w14:solidFill>
          </w14:textFill>
        </w:rPr>
        <w:t>第二册</w:t>
      </w:r>
    </w:p>
    <w:p>
      <w:pPr>
        <w:spacing w:line="360" w:lineRule="auto"/>
        <w:ind w:left="895" w:firstLine="5"/>
        <w:rPr>
          <w:color w:val="000000" w:themeColor="text1"/>
          <w14:textFill>
            <w14:solidFill>
              <w14:schemeClr w14:val="tx1"/>
            </w14:solidFill>
          </w14:textFill>
        </w:rPr>
      </w:pPr>
      <w:r>
        <w:rPr>
          <w:rFonts w:hint="eastAsia"/>
          <w:color w:val="000000" w:themeColor="text1"/>
          <w14:textFill>
            <w14:solidFill>
              <w14:schemeClr w14:val="tx1"/>
            </w14:solidFill>
          </w14:textFill>
        </w:rPr>
        <w:t>第四章</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磋商邀请书</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第五章</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供应商须知资料表</w:t>
      </w:r>
    </w:p>
    <w:p>
      <w:pPr>
        <w:spacing w:line="360" w:lineRule="auto"/>
        <w:ind w:left="895"/>
        <w:rPr>
          <w:color w:val="000000" w:themeColor="text1"/>
          <w14:textFill>
            <w14:solidFill>
              <w14:schemeClr w14:val="tx1"/>
            </w14:solidFill>
          </w14:textFill>
        </w:rPr>
      </w:pPr>
      <w:r>
        <w:rPr>
          <w:rFonts w:hint="eastAsia"/>
          <w:color w:val="000000" w:themeColor="text1"/>
          <w14:textFill>
            <w14:solidFill>
              <w14:schemeClr w14:val="tx1"/>
            </w14:solidFill>
          </w14:textFill>
        </w:rPr>
        <w:t>第六章</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　服务需求一览表及技术需求</w:t>
      </w:r>
    </w:p>
    <w:p>
      <w:pPr>
        <w:tabs>
          <w:tab w:val="left" w:pos="900"/>
        </w:tabs>
        <w:spacing w:before="120" w:line="360" w:lineRule="auto"/>
        <w:ind w:left="893" w:hanging="893"/>
        <w:rPr>
          <w:color w:val="000000" w:themeColor="text1"/>
          <w14:textFill>
            <w14:solidFill>
              <w14:schemeClr w14:val="tx1"/>
            </w14:solidFill>
          </w14:textFill>
        </w:rPr>
      </w:pPr>
      <w:r>
        <w:rPr>
          <w:color w:val="000000" w:themeColor="text1"/>
          <w14:textFill>
            <w14:solidFill>
              <w14:schemeClr w14:val="tx1"/>
            </w14:solidFill>
          </w14:textFill>
        </w:rPr>
        <w:t>4.2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应认真阅读磋商文件所有的事项、格式、条款和技术规范等。如供应商没有按照磋商文件要求提交全部资料，或者磋商响应文件没有对磋商文件在各方面都做出实质性响应是供应商的风险，并可能导致其磋商响应被拒绝。</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70" w:name="_Toc133737780"/>
      <w:bookmarkStart w:id="71" w:name="_Toc520356148"/>
      <w:bookmarkStart w:id="72" w:name="_Toc133737869"/>
      <w:bookmarkStart w:id="73" w:name="_Toc133916655"/>
      <w:bookmarkStart w:id="74" w:name="_Toc155238592"/>
      <w:bookmarkStart w:id="75" w:name="_Toc529733173"/>
      <w:bookmarkStart w:id="76" w:name="_Toc427315020"/>
      <w:bookmarkStart w:id="77" w:name="_Toc438203841"/>
      <w:bookmarkStart w:id="78" w:name="_Toc277942470"/>
      <w:bookmarkStart w:id="79" w:name="_Toc139531374"/>
      <w:bookmarkStart w:id="80" w:name="_Toc277153095"/>
      <w:bookmarkStart w:id="81" w:name="_Toc67860208"/>
      <w:r>
        <w:rPr>
          <w:rFonts w:hint="eastAsia" w:ascii="Times New Roman"/>
          <w:color w:val="000000" w:themeColor="text1"/>
          <w:sz w:val="21"/>
          <w:u w:val="none"/>
          <w14:textFill>
            <w14:solidFill>
              <w14:schemeClr w14:val="tx1"/>
            </w14:solidFill>
          </w14:textFill>
        </w:rPr>
        <w:t>5.</w:t>
      </w:r>
      <w:r>
        <w:rPr>
          <w:rFonts w:hint="eastAsia" w:ascii="Times New Roman"/>
          <w:color w:val="000000" w:themeColor="text1"/>
          <w:sz w:val="21"/>
          <w:u w:val="none"/>
          <w14:textFill>
            <w14:solidFill>
              <w14:schemeClr w14:val="tx1"/>
            </w14:solidFill>
          </w14:textFill>
        </w:rPr>
        <w:tab/>
      </w:r>
      <w:bookmarkEnd w:id="70"/>
      <w:bookmarkEnd w:id="71"/>
      <w:bookmarkEnd w:id="72"/>
      <w:bookmarkEnd w:id="73"/>
      <w:bookmarkEnd w:id="74"/>
      <w:r>
        <w:rPr>
          <w:rFonts w:hint="eastAsia" w:ascii="Times New Roman"/>
          <w:color w:val="000000" w:themeColor="text1"/>
          <w:sz w:val="21"/>
          <w:u w:val="none"/>
          <w14:textFill>
            <w14:solidFill>
              <w14:schemeClr w14:val="tx1"/>
            </w14:solidFill>
          </w14:textFill>
        </w:rPr>
        <w:t>供应商要求对磋商文件的澄清</w:t>
      </w:r>
      <w:bookmarkEnd w:id="75"/>
      <w:bookmarkEnd w:id="76"/>
      <w:bookmarkEnd w:id="77"/>
      <w:bookmarkEnd w:id="78"/>
      <w:bookmarkEnd w:id="79"/>
      <w:bookmarkEnd w:id="80"/>
      <w:bookmarkEnd w:id="81"/>
    </w:p>
    <w:p>
      <w:pPr>
        <w:spacing w:before="120" w:line="360" w:lineRule="auto"/>
        <w:ind w:left="895" w:hanging="895"/>
        <w:rPr>
          <w:color w:val="000000" w:themeColor="text1"/>
          <w14:textFill>
            <w14:solidFill>
              <w14:schemeClr w14:val="tx1"/>
            </w14:solidFill>
          </w14:textFill>
        </w:rPr>
      </w:pPr>
      <w:r>
        <w:rPr>
          <w:color w:val="000000" w:themeColor="text1"/>
          <w14:textFill>
            <w14:solidFill>
              <w14:schemeClr w14:val="tx1"/>
            </w14:solidFill>
          </w14:textFill>
        </w:rPr>
        <w:t>5.1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任何要求对磋商文件进行澄清的供应商，均应以书面形式通知采购单位。采购单位对供应商在购买磋商文件后七个工作日内提交的澄清要求，应在收到澄清要求后七个工作日内以书面形式予以答复，必要时对磋商文件进行澄清或修改。</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82" w:name="_Toc155238593"/>
      <w:bookmarkStart w:id="83" w:name="_Toc520356149"/>
      <w:bookmarkStart w:id="84" w:name="_Toc133916656"/>
      <w:bookmarkStart w:id="85" w:name="_Toc133737870"/>
      <w:bookmarkStart w:id="86" w:name="_Toc133737781"/>
      <w:bookmarkStart w:id="87" w:name="_Ref467378678"/>
      <w:bookmarkStart w:id="88" w:name="_Toc139531375"/>
      <w:bookmarkStart w:id="89" w:name="_Toc427315021"/>
      <w:bookmarkStart w:id="90" w:name="_Toc438203842"/>
      <w:bookmarkStart w:id="91" w:name="_Toc277942471"/>
      <w:bookmarkStart w:id="92" w:name="_Toc67860209"/>
      <w:bookmarkStart w:id="93" w:name="_Toc277153096"/>
      <w:bookmarkStart w:id="94" w:name="_Toc529733174"/>
      <w:r>
        <w:rPr>
          <w:rFonts w:hint="eastAsia" w:ascii="Times New Roman"/>
          <w:color w:val="000000" w:themeColor="text1"/>
          <w:sz w:val="21"/>
          <w:u w:val="none"/>
          <w14:textFill>
            <w14:solidFill>
              <w14:schemeClr w14:val="tx1"/>
            </w14:solidFill>
          </w14:textFill>
        </w:rPr>
        <w:t>6.</w:t>
      </w:r>
      <w:r>
        <w:rPr>
          <w:rFonts w:hint="eastAsia" w:ascii="Times New Roman"/>
          <w:color w:val="000000" w:themeColor="text1"/>
          <w:sz w:val="21"/>
          <w:u w:val="none"/>
          <w14:textFill>
            <w14:solidFill>
              <w14:schemeClr w14:val="tx1"/>
            </w14:solidFill>
          </w14:textFill>
        </w:rPr>
        <w:tab/>
      </w:r>
      <w:bookmarkEnd w:id="82"/>
      <w:bookmarkEnd w:id="83"/>
      <w:bookmarkEnd w:id="84"/>
      <w:bookmarkEnd w:id="85"/>
      <w:bookmarkEnd w:id="86"/>
      <w:bookmarkEnd w:id="87"/>
      <w:r>
        <w:rPr>
          <w:rFonts w:hint="eastAsia" w:ascii="Times New Roman"/>
          <w:color w:val="000000" w:themeColor="text1"/>
          <w:sz w:val="21"/>
          <w:u w:val="none"/>
          <w14:textFill>
            <w14:solidFill>
              <w14:schemeClr w14:val="tx1"/>
            </w14:solidFill>
          </w14:textFill>
        </w:rPr>
        <w:t>采购单位对磋商文件的澄清或修改</w:t>
      </w:r>
      <w:bookmarkEnd w:id="88"/>
      <w:bookmarkEnd w:id="89"/>
      <w:bookmarkEnd w:id="90"/>
      <w:bookmarkEnd w:id="91"/>
      <w:bookmarkEnd w:id="92"/>
      <w:bookmarkEnd w:id="93"/>
      <w:bookmarkEnd w:id="94"/>
    </w:p>
    <w:p>
      <w:pPr>
        <w:pStyle w:val="16"/>
        <w:tabs>
          <w:tab w:val="left" w:pos="900"/>
          <w:tab w:val="clear" w:pos="567"/>
        </w:tabs>
        <w:spacing w:line="360" w:lineRule="auto"/>
        <w:ind w:left="895" w:hanging="895"/>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6.1</w:t>
      </w:r>
      <w:r>
        <w:rPr>
          <w:rFonts w:ascii="Times New Roman" w:hAnsi="Times New Roman"/>
          <w:color w:val="000000" w:themeColor="text1"/>
          <w:sz w:val="21"/>
          <w14:textFill>
            <w14:solidFill>
              <w14:schemeClr w14:val="tx1"/>
            </w14:solidFill>
          </w14:textFill>
        </w:rPr>
        <w:tab/>
      </w:r>
      <w:r>
        <w:rPr>
          <w:rFonts w:hint="eastAsia" w:ascii="Times New Roman" w:hAnsi="Times New Roman"/>
          <w:color w:val="000000" w:themeColor="text1"/>
          <w:sz w:val="21"/>
          <w14:textFill>
            <w14:solidFill>
              <w14:schemeClr w14:val="tx1"/>
            </w14:solidFill>
          </w14:textFill>
        </w:rPr>
        <w:t>采购单位对已发出的磋商文件进行必要澄清或者修改的，应当在财政部门指定的政府采购信息发布媒体上发布更正公告，并以书面形式通知所有获取磋商文件的潜在供应商。澄清或者修改的内容可能影响磋商响应文件编制的，应当在磋商文件要求的递交首次磋商响应文件截止时间至少</w:t>
      </w:r>
      <w:r>
        <w:rPr>
          <w:rFonts w:ascii="Times New Roman" w:hAnsi="Times New Roman"/>
          <w:color w:val="000000" w:themeColor="text1"/>
          <w:sz w:val="21"/>
          <w14:textFill>
            <w14:solidFill>
              <w14:schemeClr w14:val="tx1"/>
            </w14:solidFill>
          </w14:textFill>
        </w:rPr>
        <w:t>3</w:t>
      </w:r>
      <w:r>
        <w:rPr>
          <w:rFonts w:hint="eastAsia" w:ascii="Times New Roman" w:hAnsi="Times New Roman"/>
          <w:color w:val="000000" w:themeColor="text1"/>
          <w:sz w:val="21"/>
          <w14:textFill>
            <w14:solidFill>
              <w14:schemeClr w14:val="tx1"/>
            </w14:solidFill>
          </w14:textFill>
        </w:rPr>
        <w:t>个工作日前予以发布、通知，不足</w:t>
      </w:r>
      <w:r>
        <w:rPr>
          <w:rFonts w:ascii="Times New Roman" w:hAnsi="Times New Roman"/>
          <w:color w:val="000000" w:themeColor="text1"/>
          <w:sz w:val="21"/>
          <w14:textFill>
            <w14:solidFill>
              <w14:schemeClr w14:val="tx1"/>
            </w14:solidFill>
          </w14:textFill>
        </w:rPr>
        <w:t>3</w:t>
      </w:r>
      <w:r>
        <w:rPr>
          <w:rFonts w:hint="eastAsia" w:ascii="Times New Roman" w:hAnsi="Times New Roman"/>
          <w:color w:val="000000" w:themeColor="text1"/>
          <w:sz w:val="21"/>
          <w14:textFill>
            <w14:solidFill>
              <w14:schemeClr w14:val="tx1"/>
            </w14:solidFill>
          </w14:textFill>
        </w:rPr>
        <w:t>工个作日的，应当顺延递交首次磋商响应文件的截止时间。</w:t>
      </w:r>
    </w:p>
    <w:p>
      <w:pPr>
        <w:tabs>
          <w:tab w:val="left" w:pos="900"/>
        </w:tabs>
        <w:spacing w:before="120" w:line="360" w:lineRule="auto"/>
        <w:ind w:left="900" w:hanging="900"/>
        <w:rPr>
          <w:color w:val="000000" w:themeColor="text1"/>
          <w14:textFill>
            <w14:solidFill>
              <w14:schemeClr w14:val="tx1"/>
            </w14:solidFill>
          </w14:textFill>
        </w:rPr>
      </w:pPr>
      <w:r>
        <w:rPr>
          <w:color w:val="000000" w:themeColor="text1"/>
          <w14:textFill>
            <w14:solidFill>
              <w14:schemeClr w14:val="tx1"/>
            </w14:solidFill>
          </w14:textFill>
        </w:rPr>
        <w:t>6.2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文件的澄清或修改为磋商文件的组成部分，对所有供应商均具有约束力。供应商在收到澄清或修改的书面通知后，应立即向采购代理机构回函确认，否则采购单位将视为其已完全知道并接受此澄清或修改的内容。</w:t>
      </w: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95" w:name="_Toc516367020"/>
      <w:bookmarkStart w:id="96" w:name="_Toc133916657"/>
      <w:bookmarkStart w:id="97" w:name="_Toc67860210"/>
      <w:bookmarkStart w:id="98" w:name="_Toc520356150"/>
      <w:bookmarkStart w:id="99" w:name="_Toc438203843"/>
      <w:bookmarkStart w:id="100" w:name="_Toc139531376"/>
      <w:bookmarkStart w:id="101" w:name="_Toc529733175"/>
      <w:bookmarkStart w:id="102" w:name="_Toc133737782"/>
      <w:bookmarkStart w:id="103" w:name="_Toc427315022"/>
      <w:bookmarkStart w:id="104" w:name="_Toc133737871"/>
      <w:r>
        <w:rPr>
          <w:rFonts w:hint="eastAsia" w:ascii="Times New Roman" w:hAnsi="Times New Roman" w:eastAsia="宋体"/>
          <w:color w:val="000000" w:themeColor="text1"/>
          <w:sz w:val="28"/>
          <w14:textFill>
            <w14:solidFill>
              <w14:schemeClr w14:val="tx1"/>
            </w14:solidFill>
          </w14:textFill>
        </w:rPr>
        <w:t>三  磋商响应文件</w:t>
      </w:r>
      <w:bookmarkEnd w:id="95"/>
      <w:r>
        <w:rPr>
          <w:rFonts w:hint="eastAsia" w:ascii="Times New Roman" w:hAnsi="Times New Roman" w:eastAsia="宋体"/>
          <w:color w:val="000000" w:themeColor="text1"/>
          <w:sz w:val="28"/>
          <w14:textFill>
            <w14:solidFill>
              <w14:schemeClr w14:val="tx1"/>
            </w14:solidFill>
          </w14:textFill>
        </w:rPr>
        <w:t>的编制</w:t>
      </w:r>
      <w:bookmarkEnd w:id="96"/>
      <w:bookmarkEnd w:id="97"/>
      <w:bookmarkEnd w:id="98"/>
      <w:bookmarkEnd w:id="99"/>
      <w:bookmarkEnd w:id="100"/>
      <w:bookmarkEnd w:id="101"/>
      <w:bookmarkEnd w:id="102"/>
      <w:bookmarkEnd w:id="103"/>
      <w:bookmarkEnd w:id="104"/>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105" w:name="_Toc67860211"/>
      <w:bookmarkStart w:id="106" w:name="_Toc520356151"/>
      <w:bookmarkStart w:id="107" w:name="_Toc133737783"/>
      <w:bookmarkStart w:id="108" w:name="_Toc438203844"/>
      <w:bookmarkStart w:id="109" w:name="_Toc133737872"/>
      <w:bookmarkStart w:id="110" w:name="_Toc516367021"/>
      <w:bookmarkStart w:id="111" w:name="_Toc133916658"/>
      <w:bookmarkStart w:id="112" w:name="_Toc155238595"/>
      <w:bookmarkStart w:id="113" w:name="_Toc529733176"/>
      <w:bookmarkStart w:id="114" w:name="_Toc139531377"/>
      <w:bookmarkStart w:id="115" w:name="_Toc427315023"/>
      <w:bookmarkStart w:id="116" w:name="_Toc277153098"/>
      <w:bookmarkStart w:id="117" w:name="_Toc277942473"/>
      <w:r>
        <w:rPr>
          <w:rFonts w:ascii="Times New Roman"/>
          <w:color w:val="000000" w:themeColor="text1"/>
          <w:u w:val="none"/>
          <w14:textFill>
            <w14:solidFill>
              <w14:schemeClr w14:val="tx1"/>
            </w14:solidFill>
          </w14:textFill>
        </w:rPr>
        <w:t>7.</w:t>
      </w:r>
      <w:r>
        <w:rPr>
          <w:rFonts w:ascii="Times New Roman"/>
          <w:color w:val="000000" w:themeColor="text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磋商范围及磋商响应文件中计量单位的使用</w:t>
      </w:r>
      <w:bookmarkEnd w:id="105"/>
      <w:bookmarkEnd w:id="106"/>
      <w:bookmarkEnd w:id="107"/>
      <w:bookmarkEnd w:id="108"/>
      <w:bookmarkEnd w:id="109"/>
      <w:bookmarkEnd w:id="110"/>
      <w:bookmarkEnd w:id="111"/>
      <w:bookmarkEnd w:id="112"/>
      <w:bookmarkEnd w:id="113"/>
      <w:bookmarkEnd w:id="114"/>
      <w:bookmarkEnd w:id="115"/>
      <w:bookmarkEnd w:id="116"/>
      <w:bookmarkEnd w:id="117"/>
    </w:p>
    <w:p>
      <w:pPr>
        <w:tabs>
          <w:tab w:val="left" w:pos="900"/>
        </w:tabs>
        <w:spacing w:before="120" w:line="360" w:lineRule="auto"/>
        <w:ind w:left="900" w:hanging="900"/>
        <w:rPr>
          <w:color w:val="000000" w:themeColor="text1"/>
          <w14:textFill>
            <w14:solidFill>
              <w14:schemeClr w14:val="tx1"/>
            </w14:solidFill>
          </w14:textFill>
        </w:rPr>
      </w:pPr>
      <w:r>
        <w:rPr>
          <w:color w:val="000000" w:themeColor="text1"/>
          <w14:textFill>
            <w14:solidFill>
              <w14:schemeClr w14:val="tx1"/>
            </w14:solidFill>
          </w14:textFill>
        </w:rPr>
        <w:t>7.1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供应商对磋商文件中“技术需求”中所列的所有包号进行首次响应，</w:t>
      </w:r>
      <w:r>
        <w:rPr>
          <w:rFonts w:hint="eastAsia"/>
          <w:b/>
          <w:color w:val="000000" w:themeColor="text1"/>
          <w14:textFill>
            <w14:solidFill>
              <w14:schemeClr w14:val="tx1"/>
            </w14:solidFill>
          </w14:textFill>
        </w:rPr>
        <w:t>也可只对其中一包或几包进行响应</w:t>
      </w:r>
      <w:r>
        <w:rPr>
          <w:rFonts w:hint="eastAsia"/>
          <w:color w:val="000000" w:themeColor="text1"/>
          <w14:textFill>
            <w14:solidFill>
              <w14:schemeClr w14:val="tx1"/>
            </w14:solidFill>
          </w14:textFill>
        </w:rPr>
        <w:t>，但不得将一包中的内容拆开响应。</w:t>
      </w:r>
    </w:p>
    <w:p>
      <w:pPr>
        <w:tabs>
          <w:tab w:val="left" w:pos="900"/>
        </w:tabs>
        <w:spacing w:before="120" w:line="360" w:lineRule="auto"/>
        <w:ind w:left="900" w:hanging="900"/>
        <w:rPr>
          <w:color w:val="000000" w:themeColor="text1"/>
          <w14:textFill>
            <w14:solidFill>
              <w14:schemeClr w14:val="tx1"/>
            </w14:solidFill>
          </w14:textFill>
        </w:rPr>
      </w:pPr>
      <w:r>
        <w:rPr>
          <w:color w:val="000000" w:themeColor="text1"/>
          <w14:textFill>
            <w14:solidFill>
              <w14:schemeClr w14:val="tx1"/>
            </w14:solidFill>
          </w14:textFill>
        </w:rPr>
        <w:t>7.2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磋商响应文件中所使用的计量单位，除磋商文件中有特殊要求外，应采用中华人民共和国法定计量单位。</w:t>
      </w:r>
    </w:p>
    <w:p>
      <w:pPr>
        <w:pStyle w:val="5"/>
        <w:keepNext w:val="0"/>
        <w:keepLines w:val="0"/>
        <w:spacing w:before="200" w:line="360" w:lineRule="auto"/>
        <w:rPr>
          <w:rFonts w:ascii="Times New Roman"/>
          <w:color w:val="000000" w:themeColor="text1"/>
          <w:sz w:val="21"/>
          <w:u w:val="none"/>
          <w14:textFill>
            <w14:solidFill>
              <w14:schemeClr w14:val="tx1"/>
            </w14:solidFill>
          </w14:textFill>
        </w:rPr>
      </w:pPr>
      <w:bookmarkStart w:id="118" w:name="_Toc516367022"/>
      <w:bookmarkStart w:id="119" w:name="_Ref467306676"/>
      <w:bookmarkStart w:id="120" w:name="_Ref467306195"/>
      <w:bookmarkStart w:id="121" w:name="_Toc277153099"/>
      <w:bookmarkStart w:id="122" w:name="_Toc133916659"/>
      <w:bookmarkStart w:id="123" w:name="_Toc133737784"/>
      <w:bookmarkStart w:id="124" w:name="_Toc139531378"/>
      <w:bookmarkStart w:id="125" w:name="_Toc155238596"/>
      <w:bookmarkStart w:id="126" w:name="_Toc277942474"/>
      <w:bookmarkStart w:id="127" w:name="_Toc438203845"/>
      <w:bookmarkStart w:id="128" w:name="_Toc529733177"/>
      <w:bookmarkStart w:id="129" w:name="_Toc520356152"/>
      <w:bookmarkStart w:id="130" w:name="_Toc67860212"/>
      <w:bookmarkStart w:id="131" w:name="_Toc427315024"/>
      <w:bookmarkStart w:id="132" w:name="_Toc133737873"/>
      <w:r>
        <w:rPr>
          <w:rFonts w:ascii="Times New Roman"/>
          <w:color w:val="000000" w:themeColor="text1"/>
          <w:sz w:val="21"/>
          <w:u w:val="none"/>
          <w14:textFill>
            <w14:solidFill>
              <w14:schemeClr w14:val="tx1"/>
            </w14:solidFill>
          </w14:textFill>
        </w:rPr>
        <w:t>8.</w:t>
      </w:r>
      <w:r>
        <w:rPr>
          <w:rFonts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首次磋商响应文件</w:t>
      </w:r>
      <w:bookmarkEnd w:id="118"/>
      <w:bookmarkEnd w:id="119"/>
      <w:bookmarkEnd w:id="120"/>
      <w:r>
        <w:rPr>
          <w:rFonts w:hint="eastAsia" w:ascii="Times New Roman"/>
          <w:color w:val="000000" w:themeColor="text1"/>
          <w:sz w:val="21"/>
          <w:u w:val="none"/>
          <w14:textFill>
            <w14:solidFill>
              <w14:schemeClr w14:val="tx1"/>
            </w14:solidFill>
          </w14:textFill>
        </w:rPr>
        <w:t>构成</w:t>
      </w:r>
      <w:bookmarkEnd w:id="121"/>
      <w:bookmarkEnd w:id="122"/>
      <w:bookmarkEnd w:id="123"/>
      <w:bookmarkEnd w:id="124"/>
      <w:bookmarkEnd w:id="125"/>
      <w:bookmarkEnd w:id="126"/>
      <w:bookmarkEnd w:id="127"/>
      <w:bookmarkEnd w:id="128"/>
      <w:bookmarkEnd w:id="129"/>
      <w:bookmarkEnd w:id="130"/>
      <w:bookmarkEnd w:id="131"/>
      <w:bookmarkEnd w:id="132"/>
    </w:p>
    <w:p>
      <w:pPr>
        <w:tabs>
          <w:tab w:val="left" w:pos="900"/>
        </w:tabs>
        <w:spacing w:before="120" w:line="360" w:lineRule="auto"/>
        <w:ind w:left="900" w:hanging="900"/>
        <w:rPr>
          <w:color w:val="000000" w:themeColor="text1"/>
          <w14:textFill>
            <w14:solidFill>
              <w14:schemeClr w14:val="tx1"/>
            </w14:solidFill>
          </w14:textFill>
        </w:rPr>
      </w:pPr>
      <w:bookmarkStart w:id="133" w:name="_Ref467052588"/>
      <w:r>
        <w:rPr>
          <w:color w:val="000000" w:themeColor="text1"/>
          <w14:textFill>
            <w14:solidFill>
              <w14:schemeClr w14:val="tx1"/>
            </w14:solidFill>
          </w14:textFill>
        </w:rPr>
        <w:t>8.1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供应商应完整地按磋商文件提供的首次磋商响应文件格式填写首次磋商响应文件，首次磋商响应文件应包括以下内容</w:t>
      </w:r>
      <w:bookmarkEnd w:id="133"/>
      <w:r>
        <w:rPr>
          <w:rFonts w:hint="eastAsia"/>
          <w:color w:val="000000" w:themeColor="text1"/>
          <w14:textFill>
            <w14:solidFill>
              <w14:schemeClr w14:val="tx1"/>
            </w14:solidFill>
          </w14:textFill>
        </w:rPr>
        <w:t>：</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附件1——磋商首次响应书</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附件2——首次响应一览表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——分项报价表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——技术参数偏离表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——商务条款偏离表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——资格证明文件</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-1法人或其他组织的营业执照等证明文件</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-2纳税证明</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-3法定代表人授权书</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-4供应商的资格声明</w:t>
      </w:r>
    </w:p>
    <w:p>
      <w:pPr>
        <w:spacing w:line="360" w:lineRule="auto"/>
        <w:ind w:left="1315" w:leftChars="426" w:hanging="420" w:hangingChars="20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5供应商的财务状况报告</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社会保障资金缴纳记录</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近三年经营活动中无重大违法记录声明</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承诺书</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磋商文件要求的和供应商认为必要的其他资格证明文件。</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——业绩证明文件及人员配备</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——磋商文件要求的和供应商认为必要的其他文件</w:t>
      </w:r>
    </w:p>
    <w:p>
      <w:pPr>
        <w:tabs>
          <w:tab w:val="left" w:pos="5580"/>
        </w:tabs>
        <w:spacing w:before="120" w:line="360" w:lineRule="auto"/>
        <w:ind w:left="788" w:hanging="787" w:hangingChars="375"/>
        <w:rPr>
          <w:color w:val="000000" w:themeColor="text1"/>
          <w14:textFill>
            <w14:solidFill>
              <w14:schemeClr w14:val="tx1"/>
            </w14:solidFill>
          </w14:textFill>
        </w:rPr>
      </w:pPr>
      <w:r>
        <w:rPr>
          <w:color w:val="000000" w:themeColor="text1"/>
          <w14:textFill>
            <w14:solidFill>
              <w14:schemeClr w14:val="tx1"/>
            </w14:solidFill>
          </w14:textFill>
        </w:rPr>
        <w:t>8.2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除上述8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条外，首次磋商响应文件还应包括本须知第9条的所有文件。</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134" w:name="_Toc133916660"/>
      <w:bookmarkStart w:id="135" w:name="_Toc516367023"/>
      <w:bookmarkStart w:id="136" w:name="_Toc133737785"/>
      <w:bookmarkStart w:id="137" w:name="_Toc139531379"/>
      <w:bookmarkStart w:id="138" w:name="_Toc529733178"/>
      <w:bookmarkStart w:id="139" w:name="_Toc277942475"/>
      <w:bookmarkStart w:id="140" w:name="_Toc438203846"/>
      <w:bookmarkStart w:id="141" w:name="_Toc427315025"/>
      <w:bookmarkStart w:id="142" w:name="_Toc155238597"/>
      <w:bookmarkStart w:id="143" w:name="_Toc133737874"/>
      <w:bookmarkStart w:id="144" w:name="_Toc67860213"/>
      <w:bookmarkStart w:id="145" w:name="_Toc520356153"/>
      <w:bookmarkStart w:id="146" w:name="_Toc277153100"/>
      <w:r>
        <w:rPr>
          <w:rFonts w:ascii="Times New Roman"/>
          <w:color w:val="000000" w:themeColor="text1"/>
          <w:sz w:val="21"/>
          <w:u w:val="none"/>
          <w14:textFill>
            <w14:solidFill>
              <w14:schemeClr w14:val="tx1"/>
            </w14:solidFill>
          </w14:textFill>
        </w:rPr>
        <w:t>9.</w:t>
      </w:r>
      <w:r>
        <w:rPr>
          <w:rFonts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证明服务的合格性和符合磋商文件规定的文件</w:t>
      </w:r>
      <w:bookmarkEnd w:id="134"/>
      <w:bookmarkEnd w:id="135"/>
      <w:bookmarkEnd w:id="136"/>
      <w:bookmarkEnd w:id="137"/>
      <w:bookmarkEnd w:id="138"/>
      <w:bookmarkEnd w:id="139"/>
      <w:bookmarkEnd w:id="140"/>
      <w:bookmarkEnd w:id="141"/>
      <w:bookmarkEnd w:id="142"/>
      <w:bookmarkEnd w:id="143"/>
      <w:bookmarkEnd w:id="144"/>
      <w:bookmarkEnd w:id="145"/>
      <w:bookmarkEnd w:id="146"/>
    </w:p>
    <w:p>
      <w:pPr>
        <w:spacing w:before="120" w:line="360" w:lineRule="auto"/>
        <w:ind w:left="900" w:hanging="900"/>
        <w:rPr>
          <w:color w:val="000000" w:themeColor="text1"/>
          <w14:textFill>
            <w14:solidFill>
              <w14:schemeClr w14:val="tx1"/>
            </w14:solidFill>
          </w14:textFill>
        </w:rPr>
      </w:pPr>
      <w:r>
        <w:rPr>
          <w:color w:val="000000" w:themeColor="text1"/>
          <w14:textFill>
            <w14:solidFill>
              <w14:schemeClr w14:val="tx1"/>
            </w14:solidFill>
          </w14:textFill>
        </w:rPr>
        <w:t>9.1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供应商应对磋商文件第六章“服务需求一览表及技术需求”中的各项条款作出清晰准确的答复，逐条应答即点对点应答，并将偏离情况填入“技术参数偏离表”（见附件</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9.2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供应商应提交证明文件，证明其拟提供的合同项下的服务的合格性符合磋商文件规定。该证明文件是首次磋商响应文件的一部分。</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9.3</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上款所述的证明文件，可以是文字资料、图纸和数据，它包括：</w:t>
      </w:r>
    </w:p>
    <w:p>
      <w:pPr>
        <w:spacing w:before="120" w:line="360" w:lineRule="auto"/>
        <w:ind w:left="900" w:hanging="90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3.1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供应商应提供针对项目采购要求的技术服务方案，包含但不限于技术方案、项目实施方案等。</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9.3.2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“技术需求”中规定的其他内容。</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9.4</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文件第六章“货物需求一览表及技术需求”中所提出的标准、商标或样本目录号码的参考资料仅系说明，并非进行限制。供应商可以在响应文件中采用具有权威性的标准，牌号或商品目录编号替换采购人指定的相应内容，只要能表明这些替换在实质上相当于和优于采购人所提技术规范的要求，并能使采购人满意。</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147" w:name="_Toc520356155"/>
      <w:bookmarkStart w:id="148" w:name="_Toc139531380"/>
      <w:bookmarkStart w:id="149" w:name="_Toc155238598"/>
      <w:bookmarkStart w:id="150" w:name="_Toc277153101"/>
      <w:bookmarkStart w:id="151" w:name="_Toc133916661"/>
      <w:bookmarkStart w:id="152" w:name="_Toc529733179"/>
      <w:bookmarkStart w:id="153" w:name="_Toc133737786"/>
      <w:bookmarkStart w:id="154" w:name="_Toc277942476"/>
      <w:bookmarkStart w:id="155" w:name="_Toc438203847"/>
      <w:bookmarkStart w:id="156" w:name="_Toc427315026"/>
      <w:bookmarkStart w:id="157" w:name="_Toc67860214"/>
      <w:bookmarkStart w:id="158" w:name="_Toc133737875"/>
      <w:r>
        <w:rPr>
          <w:rFonts w:ascii="Times New Roman"/>
          <w:color w:val="000000" w:themeColor="text1"/>
          <w:sz w:val="21"/>
          <w:u w:val="none"/>
          <w14:textFill>
            <w14:solidFill>
              <w14:schemeClr w14:val="tx1"/>
            </w14:solidFill>
          </w14:textFill>
        </w:rPr>
        <w:t>10.</w:t>
      </w:r>
      <w:r>
        <w:rPr>
          <w:rFonts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磋商响应报价</w:t>
      </w:r>
      <w:bookmarkEnd w:id="147"/>
      <w:bookmarkEnd w:id="148"/>
      <w:bookmarkEnd w:id="149"/>
      <w:bookmarkEnd w:id="150"/>
      <w:bookmarkEnd w:id="151"/>
      <w:bookmarkEnd w:id="152"/>
      <w:bookmarkEnd w:id="153"/>
      <w:bookmarkEnd w:id="154"/>
      <w:bookmarkEnd w:id="155"/>
      <w:bookmarkEnd w:id="156"/>
      <w:bookmarkEnd w:id="157"/>
      <w:bookmarkEnd w:id="158"/>
    </w:p>
    <w:p>
      <w:pPr>
        <w:spacing w:line="360" w:lineRule="auto"/>
        <w:ind w:left="900" w:hanging="900"/>
        <w:rPr>
          <w:color w:val="000000" w:themeColor="text1"/>
          <w14:textFill>
            <w14:solidFill>
              <w14:schemeClr w14:val="tx1"/>
            </w14:solidFill>
          </w14:textFill>
        </w:rPr>
      </w:pPr>
      <w:r>
        <w:rPr>
          <w:color w:val="000000" w:themeColor="text1"/>
          <w14:textFill>
            <w14:solidFill>
              <w14:schemeClr w14:val="tx1"/>
            </w14:solidFill>
          </w14:textFill>
        </w:rPr>
        <w:t>10.1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所有磋商响应均以人民币进行报价。供应商的磋商响应报价应遵守“中华人民共和国价格法”。</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每个供应商的首次磋商响应文件中</w:t>
      </w:r>
      <w:r>
        <w:rPr>
          <w:rFonts w:hint="eastAsia"/>
          <w:b/>
          <w:color w:val="000000" w:themeColor="text1"/>
          <w14:textFill>
            <w14:solidFill>
              <w14:schemeClr w14:val="tx1"/>
            </w14:solidFill>
          </w14:textFill>
        </w:rPr>
        <w:t>每包只能有一个首次磋商响应方案和报价</w:t>
      </w:r>
      <w:r>
        <w:rPr>
          <w:rFonts w:hint="eastAsia"/>
          <w:color w:val="000000" w:themeColor="text1"/>
          <w14:textFill>
            <w14:solidFill>
              <w14:schemeClr w14:val="tx1"/>
            </w14:solidFill>
          </w14:textFill>
        </w:rPr>
        <w:t>，否则其该磋商响应将被拒绝。</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159" w:name="_Ref467306513"/>
      <w:bookmarkStart w:id="160" w:name="_Toc277942477"/>
      <w:bookmarkStart w:id="161" w:name="_Toc520356156"/>
      <w:bookmarkStart w:id="162" w:name="_Toc277153102"/>
      <w:bookmarkStart w:id="163" w:name="_Toc67860215"/>
      <w:bookmarkStart w:id="164" w:name="_Toc155238599"/>
      <w:bookmarkStart w:id="165" w:name="_Toc139531381"/>
      <w:bookmarkStart w:id="166" w:name="_Toc133737876"/>
      <w:bookmarkStart w:id="167" w:name="_Toc438203848"/>
      <w:bookmarkStart w:id="168" w:name="_Toc133737787"/>
      <w:bookmarkStart w:id="169" w:name="_Toc529733180"/>
      <w:bookmarkStart w:id="170" w:name="_Toc427315027"/>
      <w:bookmarkStart w:id="171" w:name="_Toc133916662"/>
      <w:r>
        <w:rPr>
          <w:rFonts w:ascii="Times New Roman"/>
          <w:color w:val="000000" w:themeColor="text1"/>
          <w:sz w:val="21"/>
          <w:u w:val="none"/>
          <w14:textFill>
            <w14:solidFill>
              <w14:schemeClr w14:val="tx1"/>
            </w14:solidFill>
          </w14:textFill>
        </w:rPr>
        <w:t>11</w:t>
      </w:r>
      <w:r>
        <w:rPr>
          <w:rFonts w:hint="eastAsia" w:ascii="Times New Roman"/>
          <w:color w:val="000000" w:themeColor="text1"/>
          <w:sz w:val="21"/>
          <w:u w:val="none"/>
          <w14:textFill>
            <w14:solidFill>
              <w14:schemeClr w14:val="tx1"/>
            </w14:solidFill>
          </w14:textFill>
        </w:rPr>
        <w:t>.</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磋商保证金</w:t>
      </w:r>
      <w:bookmarkEnd w:id="159"/>
      <w:bookmarkEnd w:id="160"/>
      <w:bookmarkEnd w:id="161"/>
      <w:bookmarkEnd w:id="162"/>
      <w:bookmarkEnd w:id="163"/>
      <w:bookmarkEnd w:id="164"/>
      <w:bookmarkEnd w:id="165"/>
      <w:bookmarkEnd w:id="166"/>
      <w:bookmarkEnd w:id="167"/>
      <w:bookmarkEnd w:id="168"/>
      <w:bookmarkEnd w:id="169"/>
      <w:bookmarkEnd w:id="170"/>
      <w:bookmarkEnd w:id="171"/>
    </w:p>
    <w:p>
      <w:pPr>
        <w:spacing w:before="120" w:line="360" w:lineRule="auto"/>
        <w:ind w:left="898" w:hanging="898"/>
        <w:rPr>
          <w:color w:val="000000" w:themeColor="text1"/>
          <w14:textFill>
            <w14:solidFill>
              <w14:schemeClr w14:val="tx1"/>
            </w14:solidFill>
          </w14:textFill>
        </w:rPr>
      </w:pPr>
      <w:bookmarkStart w:id="172" w:name="_Ref467306302"/>
      <w:r>
        <w:rPr>
          <w:color w:val="000000" w:themeColor="text1"/>
          <w14:textFill>
            <w14:solidFill>
              <w14:schemeClr w14:val="tx1"/>
            </w14:solidFill>
          </w14:textFill>
        </w:rPr>
        <w:t>11.1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供应商应交纳</w:t>
      </w:r>
      <w:r>
        <w:rPr>
          <w:rFonts w:hint="eastAsia" w:asciiTheme="minorEastAsia" w:hAnsiTheme="minorEastAsia" w:eastAsiaTheme="minorEastAsia"/>
          <w:color w:val="000000" w:themeColor="text1"/>
          <w:u w:val="single"/>
          <w14:textFill>
            <w14:solidFill>
              <w14:schemeClr w14:val="tx1"/>
            </w14:solidFill>
          </w14:textFill>
        </w:rPr>
        <w:t>7</w:t>
      </w:r>
      <w:r>
        <w:rPr>
          <w:rFonts w:asciiTheme="minorEastAsia" w:hAnsiTheme="minorEastAsia" w:eastAsiaTheme="minorEastAsia"/>
          <w:color w:val="000000" w:themeColor="text1"/>
          <w:u w:val="single"/>
          <w14:textFill>
            <w14:solidFill>
              <w14:schemeClr w14:val="tx1"/>
            </w14:solidFill>
          </w14:textFill>
        </w:rPr>
        <w:t>4</w:t>
      </w:r>
      <w:r>
        <w:rPr>
          <w:rFonts w:hint="eastAsia" w:asciiTheme="minorEastAsia" w:hAnsiTheme="minorEastAsia" w:eastAsiaTheme="minorEastAsia"/>
          <w:color w:val="000000" w:themeColor="text1"/>
          <w:u w:val="single"/>
          <w:lang w:val="en-US" w:eastAsia="zh-CN"/>
          <w14:textFill>
            <w14:solidFill>
              <w14:schemeClr w14:val="tx1"/>
            </w14:solidFill>
          </w14:textFill>
        </w:rPr>
        <w:t>10</w:t>
      </w:r>
      <w:r>
        <w:rPr>
          <w:rFonts w:asciiTheme="minorEastAsia" w:hAnsiTheme="minorEastAsia" w:eastAsiaTheme="minorEastAsia"/>
          <w:color w:val="000000" w:themeColor="text1"/>
          <w:szCs w:val="21"/>
          <w:u w:val="single"/>
          <w14:textFill>
            <w14:solidFill>
              <w14:schemeClr w14:val="tx1"/>
            </w14:solidFill>
          </w14:textFill>
        </w:rPr>
        <w:t>元</w:t>
      </w:r>
      <w:r>
        <w:rPr>
          <w:rFonts w:hint="eastAsia"/>
          <w:color w:val="000000" w:themeColor="text1"/>
          <w:szCs w:val="21"/>
          <w14:textFill>
            <w14:solidFill>
              <w14:schemeClr w14:val="tx1"/>
            </w14:solidFill>
          </w14:textFill>
        </w:rPr>
        <w:t>的</w:t>
      </w:r>
      <w:r>
        <w:rPr>
          <w:rFonts w:hint="eastAsia"/>
          <w:color w:val="000000" w:themeColor="text1"/>
          <w14:textFill>
            <w14:solidFill>
              <w14:schemeClr w14:val="tx1"/>
            </w14:solidFill>
          </w14:textFill>
        </w:rPr>
        <w:t>磋商保证金</w:t>
      </w:r>
      <w:bookmarkEnd w:id="172"/>
      <w:r>
        <w:rPr>
          <w:rFonts w:hint="eastAsia"/>
          <w:color w:val="000000" w:themeColor="text1"/>
          <w14:textFill>
            <w14:solidFill>
              <w14:schemeClr w14:val="tx1"/>
            </w14:solidFill>
          </w14:textFill>
        </w:rPr>
        <w:t>，并作为其磋商响应的一部分。</w:t>
      </w:r>
    </w:p>
    <w:p>
      <w:pPr>
        <w:spacing w:before="120" w:line="360" w:lineRule="auto"/>
        <w:ind w:left="898" w:hanging="898"/>
        <w:rPr>
          <w:color w:val="000000" w:themeColor="text1"/>
          <w14:textFill>
            <w14:solidFill>
              <w14:schemeClr w14:val="tx1"/>
            </w14:solidFill>
          </w14:textFill>
        </w:rPr>
      </w:pPr>
      <w:r>
        <w:rPr>
          <w:rFonts w:hint="eastAsia"/>
          <w:color w:val="000000" w:themeColor="text1"/>
          <w14:textFill>
            <w14:solidFill>
              <w14:schemeClr w14:val="tx1"/>
            </w14:solidFill>
          </w14:textFill>
        </w:rPr>
        <w:t>11.2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磋商保证金币种：人民币。</w:t>
      </w:r>
    </w:p>
    <w:p>
      <w:pPr>
        <w:spacing w:before="120" w:line="360" w:lineRule="auto"/>
        <w:ind w:left="898" w:hanging="898"/>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磋商保证金是为了保护采购单位免遭因供应商的行为蒙受损失而要求的。</w:t>
      </w:r>
    </w:p>
    <w:p>
      <w:pPr>
        <w:spacing w:before="120" w:line="360" w:lineRule="auto"/>
        <w:ind w:left="360" w:firstLine="540"/>
        <w:rPr>
          <w:color w:val="000000" w:themeColor="text1"/>
          <w14:textFill>
            <w14:solidFill>
              <w14:schemeClr w14:val="tx1"/>
            </w14:solidFill>
          </w14:textFill>
        </w:rPr>
      </w:pPr>
      <w:r>
        <w:rPr>
          <w:rFonts w:hint="eastAsia"/>
          <w:color w:val="000000" w:themeColor="text1"/>
          <w14:textFill>
            <w14:solidFill>
              <w14:schemeClr w14:val="tx1"/>
            </w14:solidFill>
          </w14:textFill>
        </w:rPr>
        <w:t>下列任何情况发生，磋商保证金将被不予退还：</w:t>
      </w:r>
    </w:p>
    <w:p>
      <w:pPr>
        <w:pStyle w:val="20"/>
        <w:tabs>
          <w:tab w:val="left" w:pos="2240"/>
        </w:tabs>
        <w:spacing w:line="360" w:lineRule="auto"/>
        <w:ind w:left="-2" w:firstLine="9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（1）</w:t>
      </w:r>
      <w:r>
        <w:rPr>
          <w:rFonts w:ascii="Times New Roman" w:hAnsi="Times New Roman"/>
          <w:color w:val="000000" w:themeColor="text1"/>
          <w:szCs w:val="24"/>
          <w14:textFill>
            <w14:solidFill>
              <w14:schemeClr w14:val="tx1"/>
            </w14:solidFill>
          </w14:textFill>
        </w:rPr>
        <w:t>供应商在提交响应文件截止时间后撤回响应文件的</w:t>
      </w:r>
      <w:r>
        <w:rPr>
          <w:rFonts w:hint="eastAsia" w:ascii="Times New Roman" w:hAnsi="Times New Roman"/>
          <w:color w:val="000000" w:themeColor="text1"/>
          <w:szCs w:val="24"/>
          <w14:textFill>
            <w14:solidFill>
              <w14:schemeClr w14:val="tx1"/>
            </w14:solidFill>
          </w14:textFill>
        </w:rPr>
        <w:t>；</w:t>
      </w:r>
    </w:p>
    <w:p>
      <w:pPr>
        <w:pStyle w:val="20"/>
        <w:tabs>
          <w:tab w:val="left" w:pos="2240"/>
        </w:tabs>
        <w:spacing w:line="360" w:lineRule="auto"/>
        <w:ind w:left="-2" w:firstLine="9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4"/>
          <w14:textFill>
            <w14:solidFill>
              <w14:schemeClr w14:val="tx1"/>
            </w14:solidFill>
          </w14:textFill>
        </w:rPr>
        <w:t>供应商在响应文件中提供虚假材料的</w:t>
      </w:r>
      <w:r>
        <w:rPr>
          <w:rFonts w:hint="eastAsia" w:ascii="Times New Roman" w:hAnsi="Times New Roman"/>
          <w:color w:val="000000" w:themeColor="text1"/>
          <w:szCs w:val="24"/>
          <w14:textFill>
            <w14:solidFill>
              <w14:schemeClr w14:val="tx1"/>
            </w14:solidFill>
          </w14:textFill>
        </w:rPr>
        <w:t>；</w:t>
      </w:r>
    </w:p>
    <w:p>
      <w:pPr>
        <w:pStyle w:val="20"/>
        <w:tabs>
          <w:tab w:val="left" w:pos="2240"/>
        </w:tabs>
        <w:spacing w:line="360" w:lineRule="auto"/>
        <w:ind w:left="1422" w:leftChars="427" w:hanging="525" w:hangingChars="25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（3）</w:t>
      </w:r>
      <w:r>
        <w:rPr>
          <w:rFonts w:ascii="Times New Roman" w:hAnsi="Times New Roman"/>
          <w:color w:val="000000" w:themeColor="text1"/>
          <w:szCs w:val="24"/>
          <w14:textFill>
            <w14:solidFill>
              <w14:schemeClr w14:val="tx1"/>
            </w14:solidFill>
          </w14:textFill>
        </w:rPr>
        <w:t>除因不可抗力或磋商文件认可的情形以外，成交供应商不与采购人签订合同的</w:t>
      </w:r>
      <w:r>
        <w:rPr>
          <w:rFonts w:hint="eastAsia" w:ascii="Times New Roman" w:hAnsi="Times New Roman"/>
          <w:color w:val="000000" w:themeColor="text1"/>
          <w:szCs w:val="24"/>
          <w14:textFill>
            <w14:solidFill>
              <w14:schemeClr w14:val="tx1"/>
            </w14:solidFill>
          </w14:textFill>
        </w:rPr>
        <w:t>；</w:t>
      </w:r>
    </w:p>
    <w:p>
      <w:pPr>
        <w:pStyle w:val="20"/>
        <w:tabs>
          <w:tab w:val="left" w:pos="2240"/>
        </w:tabs>
        <w:spacing w:line="360" w:lineRule="auto"/>
        <w:ind w:left="-2" w:firstLine="9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（4）</w:t>
      </w:r>
      <w:r>
        <w:rPr>
          <w:rFonts w:ascii="Times New Roman" w:hAnsi="Times New Roman"/>
          <w:color w:val="000000" w:themeColor="text1"/>
          <w:szCs w:val="24"/>
          <w14:textFill>
            <w14:solidFill>
              <w14:schemeClr w14:val="tx1"/>
            </w14:solidFill>
          </w14:textFill>
        </w:rPr>
        <w:t>供应商与采购人、其他供应商或者采购代理机构恶意串通的</w:t>
      </w:r>
      <w:r>
        <w:rPr>
          <w:rFonts w:hint="eastAsia" w:ascii="Times New Roman" w:hAnsi="Times New Roman"/>
          <w:color w:val="000000" w:themeColor="text1"/>
          <w:szCs w:val="24"/>
          <w14:textFill>
            <w14:solidFill>
              <w14:schemeClr w14:val="tx1"/>
            </w14:solidFill>
          </w14:textFill>
        </w:rPr>
        <w:t>。</w:t>
      </w:r>
    </w:p>
    <w:p>
      <w:pPr>
        <w:pStyle w:val="20"/>
        <w:tabs>
          <w:tab w:val="left" w:pos="2240"/>
        </w:tabs>
        <w:spacing w:line="360" w:lineRule="auto"/>
        <w:ind w:left="-2" w:firstLine="9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（5）供应商不按规定提交履约保证金的（如文件有规定）。</w:t>
      </w:r>
    </w:p>
    <w:p>
      <w:pPr>
        <w:spacing w:before="120" w:line="360" w:lineRule="auto"/>
        <w:ind w:left="900" w:hanging="900"/>
        <w:rPr>
          <w:color w:val="000000" w:themeColor="text1"/>
          <w14:textFill>
            <w14:solidFill>
              <w14:schemeClr w14:val="tx1"/>
            </w14:solidFill>
          </w14:textFill>
        </w:rPr>
      </w:pPr>
      <w:bookmarkStart w:id="173" w:name="_Ref467306336"/>
      <w:r>
        <w:rPr>
          <w:rFonts w:hint="eastAsia"/>
          <w:color w:val="000000" w:themeColor="text1"/>
          <w14:textFill>
            <w14:solidFill>
              <w14:schemeClr w14:val="tx1"/>
            </w14:solidFill>
          </w14:textFill>
        </w:rPr>
        <w:t>11.4</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磋商保证金可采用下列形式之一：</w:t>
      </w:r>
      <w:bookmarkEnd w:id="173"/>
    </w:p>
    <w:p>
      <w:pPr>
        <w:spacing w:line="360" w:lineRule="auto"/>
        <w:ind w:left="680" w:firstLine="215"/>
        <w:rPr>
          <w:color w:val="000000" w:themeColor="text1"/>
          <w14:textFill>
            <w14:solidFill>
              <w14:schemeClr w14:val="tx1"/>
            </w14:solidFill>
          </w14:textFill>
        </w:rPr>
      </w:pPr>
      <w:r>
        <w:rPr>
          <w:rFonts w:hint="eastAsia"/>
          <w:color w:val="000000" w:themeColor="text1"/>
          <w14:textFill>
            <w14:solidFill>
              <w14:schemeClr w14:val="tx1"/>
            </w14:solidFill>
          </w14:textFill>
        </w:rPr>
        <w:t>京津地区：转账支票、电汇（或网银）、银行汇票；</w:t>
      </w:r>
    </w:p>
    <w:p>
      <w:pPr>
        <w:spacing w:line="360" w:lineRule="auto"/>
        <w:ind w:left="680" w:firstLine="215"/>
        <w:rPr>
          <w:color w:val="000000" w:themeColor="text1"/>
          <w14:textFill>
            <w14:solidFill>
              <w14:schemeClr w14:val="tx1"/>
            </w14:solidFill>
          </w14:textFill>
        </w:rPr>
      </w:pPr>
      <w:r>
        <w:rPr>
          <w:rFonts w:hint="eastAsia"/>
          <w:color w:val="000000" w:themeColor="text1"/>
          <w14:textFill>
            <w14:solidFill>
              <w14:schemeClr w14:val="tx1"/>
            </w14:solidFill>
          </w14:textFill>
        </w:rPr>
        <w:t>其它地区：电汇（或网银）、银行汇票。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磋商保证金的接收单位为</w:t>
      </w:r>
      <w:r>
        <w:rPr>
          <w:rFonts w:hint="eastAsia"/>
          <w:b/>
          <w:color w:val="000000" w:themeColor="text1"/>
          <w14:textFill>
            <w14:solidFill>
              <w14:schemeClr w14:val="tx1"/>
            </w14:solidFill>
          </w14:textFill>
        </w:rPr>
        <w:t>北京明德致信咨询有限公司</w:t>
      </w:r>
      <w:r>
        <w:rPr>
          <w:rFonts w:hint="eastAsia"/>
          <w:color w:val="000000" w:themeColor="text1"/>
          <w14:textFill>
            <w14:solidFill>
              <w14:schemeClr w14:val="tx1"/>
            </w14:solidFill>
          </w14:textFill>
        </w:rPr>
        <w:t>。</w:t>
      </w:r>
    </w:p>
    <w:p>
      <w:pPr>
        <w:spacing w:line="360" w:lineRule="auto"/>
        <w:ind w:left="895" w:leftChars="426"/>
        <w:rPr>
          <w:b/>
          <w:color w:val="000000" w:themeColor="text1"/>
          <w14:textFill>
            <w14:solidFill>
              <w14:schemeClr w14:val="tx1"/>
            </w14:solidFill>
          </w14:textFill>
        </w:rPr>
      </w:pPr>
      <w:r>
        <w:rPr>
          <w:b/>
          <w:color w:val="000000" w:themeColor="text1"/>
          <w14:textFill>
            <w14:solidFill>
              <w14:schemeClr w14:val="tx1"/>
            </w14:solidFill>
          </w14:textFill>
        </w:rPr>
        <w:t>注</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如采用电汇或网银方式</w:t>
      </w:r>
      <w:r>
        <w:rPr>
          <w:rFonts w:hint="eastAsia"/>
          <w:b/>
          <w:color w:val="000000" w:themeColor="text1"/>
          <w14:textFill>
            <w14:solidFill>
              <w14:schemeClr w14:val="tx1"/>
            </w14:solidFill>
          </w14:textFill>
        </w:rPr>
        <w:t>提交磋商保证金，需备注“本项目采购编号</w:t>
      </w:r>
      <w:r>
        <w:rPr>
          <w:b/>
          <w:color w:val="000000" w:themeColor="text1"/>
          <w14:textFill>
            <w14:solidFill>
              <w14:schemeClr w14:val="tx1"/>
            </w14:solidFill>
          </w14:textFill>
        </w:rPr>
        <w:t>BMCC-ZC23-</w:t>
      </w:r>
      <w:r>
        <w:rPr>
          <w:rFonts w:hint="eastAsia"/>
          <w:b/>
          <w:color w:val="000000" w:themeColor="text1"/>
          <w14:textFill>
            <w14:solidFill>
              <w14:schemeClr w14:val="tx1"/>
            </w14:solidFill>
          </w14:textFill>
        </w:rPr>
        <w:t>XXXX+磋商保证金”，否则不予受理。</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11.5</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凡没有根据本须知11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和第</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4条的规定，随附磋商保证金的磋商响应，将被拒收或视为非实质性响应而予以拒绝。</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11.6 </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成交供应商的磋商保证金</w:t>
      </w:r>
      <w:r>
        <w:rPr>
          <w:rFonts w:hint="eastAsia" w:ascii="宋体"/>
          <w:color w:val="000000" w:themeColor="text1"/>
          <w:sz w:val="24"/>
          <w14:textFill>
            <w14:solidFill>
              <w14:schemeClr w14:val="tx1"/>
            </w14:solidFill>
          </w14:textFill>
        </w:rPr>
        <w:t>，</w:t>
      </w:r>
      <w:r>
        <w:rPr>
          <w:rFonts w:hint="eastAsia"/>
          <w:color w:val="000000" w:themeColor="text1"/>
          <w14:textFill>
            <w14:solidFill>
              <w14:schemeClr w14:val="tx1"/>
            </w14:solidFill>
          </w14:textFill>
        </w:rPr>
        <w:t>在与采购人签订合同后5个工作日内，扣除成交服务费后办理无息退还手续。未成交的供应商的磋商保证金将于成交通知书发出之日起5个工作日内无息退还供应商。</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1.7</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供应商同时对多个包号进行响应时，磋商保证金可合并提供，供应商须注明响应的各包磋商保证金金额。磋商保证金总额不足且无法判定是哪一个或多个包号不足的，涉及的所有包号将均被视为无效响应。</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174" w:name="_Toc529733181"/>
      <w:bookmarkStart w:id="175" w:name="_Toc133916663"/>
      <w:bookmarkStart w:id="176" w:name="_Toc155238600"/>
      <w:bookmarkStart w:id="177" w:name="_Toc133737788"/>
      <w:bookmarkStart w:id="178" w:name="_Toc438203849"/>
      <w:bookmarkStart w:id="179" w:name="_Toc427315028"/>
      <w:bookmarkStart w:id="180" w:name="_Toc277942478"/>
      <w:bookmarkStart w:id="181" w:name="_Toc520356157"/>
      <w:bookmarkStart w:id="182" w:name="_Toc277153103"/>
      <w:bookmarkStart w:id="183" w:name="_Toc133737877"/>
      <w:bookmarkStart w:id="184" w:name="_Toc139531382"/>
      <w:bookmarkStart w:id="185" w:name="_Toc67860216"/>
      <w:r>
        <w:rPr>
          <w:rFonts w:hint="eastAsia" w:ascii="Times New Roman"/>
          <w:color w:val="000000" w:themeColor="text1"/>
          <w:sz w:val="21"/>
          <w:u w:val="none"/>
          <w14:textFill>
            <w14:solidFill>
              <w14:schemeClr w14:val="tx1"/>
            </w14:solidFill>
          </w14:textFill>
        </w:rPr>
        <w:t>12.</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最终磋商响应文件有效期</w:t>
      </w:r>
      <w:bookmarkEnd w:id="174"/>
      <w:bookmarkEnd w:id="175"/>
      <w:bookmarkEnd w:id="176"/>
      <w:bookmarkEnd w:id="177"/>
      <w:bookmarkEnd w:id="178"/>
      <w:bookmarkEnd w:id="179"/>
      <w:bookmarkEnd w:id="180"/>
      <w:bookmarkEnd w:id="181"/>
      <w:bookmarkEnd w:id="182"/>
      <w:bookmarkEnd w:id="183"/>
      <w:bookmarkEnd w:id="184"/>
      <w:bookmarkEnd w:id="185"/>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12.1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最终磋商响应文件应在规定的递交最终报价日后的</w:t>
      </w:r>
      <w:r>
        <w:rPr>
          <w:rFonts w:hint="eastAsia"/>
          <w:color w:val="000000" w:themeColor="text1"/>
          <w:u w:val="single"/>
          <w14:textFill>
            <w14:solidFill>
              <w14:schemeClr w14:val="tx1"/>
            </w14:solidFill>
          </w14:textFill>
        </w:rPr>
        <w:t xml:space="preserve"> 90 </w:t>
      </w:r>
      <w:r>
        <w:rPr>
          <w:rFonts w:hint="eastAsia"/>
          <w:color w:val="000000" w:themeColor="text1"/>
          <w14:textFill>
            <w14:solidFill>
              <w14:schemeClr w14:val="tx1"/>
            </w14:solidFill>
          </w14:textFill>
        </w:rPr>
        <w:t>天内保持有效，最终磋商响应文件有效期不满足要求的磋商响应将被视为非实质性响应而予以拒绝。</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12.2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采购单位可根据实际情况，在原磋商有效期截止之前，要求供应商同意延长最终磋商响应文件的有效期。接受该要求的供应商将不会被要求和允许修正其响应文件，且本须知中有关磋商保证金的要求将在延长了的有效期内继续有效。供应商也可以拒绝采购单位的这种要求，其磋商保证金将会被退还。上述要求和答复都应以书面形式提交。</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186" w:name="_Toc520356158"/>
      <w:bookmarkStart w:id="187" w:name="_Toc277942479"/>
      <w:bookmarkStart w:id="188" w:name="_Toc67860217"/>
      <w:bookmarkStart w:id="189" w:name="_Toc438203850"/>
      <w:bookmarkStart w:id="190" w:name="_Toc529733182"/>
      <w:bookmarkStart w:id="191" w:name="_Toc277153104"/>
      <w:bookmarkStart w:id="192" w:name="_Toc139531383"/>
      <w:bookmarkStart w:id="193" w:name="_Toc427315029"/>
      <w:bookmarkStart w:id="194" w:name="_Toc133737789"/>
      <w:bookmarkStart w:id="195" w:name="_Toc155238601"/>
      <w:bookmarkStart w:id="196" w:name="_Toc133916664"/>
      <w:bookmarkStart w:id="197" w:name="_Toc133737878"/>
      <w:r>
        <w:rPr>
          <w:rFonts w:hint="eastAsia" w:ascii="Times New Roman"/>
          <w:color w:val="000000" w:themeColor="text1"/>
          <w:sz w:val="21"/>
          <w:u w:val="none"/>
          <w14:textFill>
            <w14:solidFill>
              <w14:schemeClr w14:val="tx1"/>
            </w14:solidFill>
          </w14:textFill>
        </w:rPr>
        <w:t>13.</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磋商响应文件的签署</w:t>
      </w:r>
      <w:bookmarkEnd w:id="186"/>
      <w:r>
        <w:rPr>
          <w:rFonts w:hint="eastAsia" w:ascii="Times New Roman"/>
          <w:color w:val="000000" w:themeColor="text1"/>
          <w:sz w:val="21"/>
          <w:u w:val="none"/>
          <w14:textFill>
            <w14:solidFill>
              <w14:schemeClr w14:val="tx1"/>
            </w14:solidFill>
          </w14:textFill>
        </w:rPr>
        <w:t>及规定</w:t>
      </w:r>
      <w:bookmarkEnd w:id="187"/>
      <w:bookmarkEnd w:id="188"/>
      <w:bookmarkEnd w:id="189"/>
      <w:bookmarkEnd w:id="190"/>
      <w:bookmarkEnd w:id="191"/>
      <w:bookmarkEnd w:id="192"/>
      <w:bookmarkEnd w:id="193"/>
      <w:bookmarkEnd w:id="194"/>
      <w:bookmarkEnd w:id="195"/>
      <w:bookmarkEnd w:id="196"/>
      <w:bookmarkEnd w:id="197"/>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13.1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供应商应准备首次磋商响应文件</w:t>
      </w:r>
      <w:r>
        <w:rPr>
          <w:rFonts w:hint="eastAsia"/>
          <w:b/>
          <w:color w:val="000000" w:themeColor="text1"/>
          <w14:textFill>
            <w14:solidFill>
              <w14:schemeClr w14:val="tx1"/>
            </w14:solidFill>
          </w14:textFill>
        </w:rPr>
        <w:t>正本</w:t>
      </w:r>
      <w:r>
        <w:rPr>
          <w:rFonts w:hint="eastAsia"/>
          <w:b/>
          <w:color w:val="000000" w:themeColor="text1"/>
          <w:u w:val="single"/>
          <w14:textFill>
            <w14:solidFill>
              <w14:schemeClr w14:val="tx1"/>
            </w14:solidFill>
          </w14:textFill>
        </w:rPr>
        <w:t xml:space="preserve"> </w:t>
      </w:r>
      <w:r>
        <w:rPr>
          <w:b/>
          <w:color w:val="000000" w:themeColor="text1"/>
          <w:u w:val="single"/>
          <w14:textFill>
            <w14:solidFill>
              <w14:schemeClr w14:val="tx1"/>
            </w14:solidFill>
          </w14:textFill>
        </w:rPr>
        <w:t xml:space="preserve"> </w:t>
      </w:r>
      <w:r>
        <w:rPr>
          <w:rFonts w:hint="eastAsia"/>
          <w:b/>
          <w:color w:val="000000" w:themeColor="text1"/>
          <w:u w:val="single"/>
          <w14:textFill>
            <w14:solidFill>
              <w14:schemeClr w14:val="tx1"/>
            </w14:solidFill>
          </w14:textFill>
        </w:rPr>
        <w:t xml:space="preserve">一 </w:t>
      </w:r>
      <w:r>
        <w:rPr>
          <w:b/>
          <w:color w:val="000000" w:themeColor="text1"/>
          <w:u w:val="single"/>
          <w14:textFill>
            <w14:solidFill>
              <w14:schemeClr w14:val="tx1"/>
            </w14:solidFill>
          </w14:textFill>
        </w:rPr>
        <w:t xml:space="preserve"> </w:t>
      </w:r>
      <w:r>
        <w:rPr>
          <w:rFonts w:hint="eastAsia"/>
          <w:b/>
          <w:color w:val="000000" w:themeColor="text1"/>
          <w14:textFill>
            <w14:solidFill>
              <w14:schemeClr w14:val="tx1"/>
            </w14:solidFill>
          </w14:textFill>
        </w:rPr>
        <w:t>份和副本</w:t>
      </w:r>
      <w:r>
        <w:rPr>
          <w:rFonts w:hint="eastAsia"/>
          <w:b/>
          <w:color w:val="000000" w:themeColor="text1"/>
          <w:u w:val="single"/>
          <w14:textFill>
            <w14:solidFill>
              <w14:schemeClr w14:val="tx1"/>
            </w14:solidFill>
          </w14:textFill>
        </w:rPr>
        <w:t xml:space="preserve">  三  </w:t>
      </w:r>
      <w:r>
        <w:rPr>
          <w:rFonts w:hint="eastAsia"/>
          <w:b/>
          <w:color w:val="000000" w:themeColor="text1"/>
          <w14:textFill>
            <w14:solidFill>
              <w14:schemeClr w14:val="tx1"/>
            </w14:solidFill>
          </w14:textFill>
        </w:rPr>
        <w:t>份，</w:t>
      </w:r>
      <w:r>
        <w:rPr>
          <w:rFonts w:hint="eastAsia"/>
          <w:color w:val="000000" w:themeColor="text1"/>
          <w14:textFill>
            <w14:solidFill>
              <w14:schemeClr w14:val="tx1"/>
            </w14:solidFill>
          </w14:textFill>
        </w:rPr>
        <w:t>每份首次磋商响应文件须清楚地标明“正本”或“副本”。若正本和副本不符，以正本为准。电子版U盘</w:t>
      </w:r>
      <w:r>
        <w:rPr>
          <w:rFonts w:hint="eastAsia"/>
          <w:b/>
          <w:bCs/>
          <w:color w:val="000000" w:themeColor="text1"/>
          <w14:textFill>
            <w14:solidFill>
              <w14:schemeClr w14:val="tx1"/>
            </w14:solidFill>
          </w14:textFill>
        </w:rPr>
        <w:t>（电子版包含word文件格式，正本签字盖章PDF格式扫描件），</w:t>
      </w:r>
      <w:r>
        <w:rPr>
          <w:rFonts w:hint="eastAsia"/>
          <w:color w:val="000000" w:themeColor="text1"/>
          <w14:textFill>
            <w14:solidFill>
              <w14:schemeClr w14:val="tx1"/>
            </w14:solidFill>
          </w14:textFill>
        </w:rPr>
        <w:t>电子版磋商响应文件与纸质磋商响应文件内容不符的，以纸质磋商响应文件为准。</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13.2</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磋商响应文件的正本须打印或用不褪色墨水书写（采用A4纸），并由供应商的法定代表人或经其正式授权的代表在要求的地方签字、加盖单位印章。授权代表须有书面的“法定代表人授权书”（标准格式附后），并将其附在磋商响应文件中。磋商响应文件的副本可采用正本的复印件（采用A4纸）。</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13.3</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任何行间插字、涂改和增删，必须由磋商响应文件签字人签字或加盖公章后才有效。</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13.4</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磋商响应文件因字迹潦草或表达不清所引起的后果由供应商负责。</w:t>
      </w: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198" w:name="_Toc438203851"/>
      <w:bookmarkStart w:id="199" w:name="_Toc133916665"/>
      <w:bookmarkStart w:id="200" w:name="_Toc133737879"/>
      <w:bookmarkStart w:id="201" w:name="_Toc520356159"/>
      <w:bookmarkStart w:id="202" w:name="_Toc139531384"/>
      <w:bookmarkStart w:id="203" w:name="_Toc133737790"/>
      <w:bookmarkStart w:id="204" w:name="_Toc529733183"/>
      <w:bookmarkStart w:id="205" w:name="_Toc427315030"/>
      <w:bookmarkStart w:id="206" w:name="_Toc67860218"/>
      <w:r>
        <w:rPr>
          <w:rFonts w:hint="eastAsia" w:ascii="Times New Roman" w:hAnsi="Times New Roman" w:eastAsia="宋体"/>
          <w:color w:val="000000" w:themeColor="text1"/>
          <w:sz w:val="28"/>
          <w14:textFill>
            <w14:solidFill>
              <w14:schemeClr w14:val="tx1"/>
            </w14:solidFill>
          </w14:textFill>
        </w:rPr>
        <w:t>四  首次磋商响应文件的递交</w:t>
      </w:r>
      <w:bookmarkEnd w:id="198"/>
      <w:bookmarkEnd w:id="199"/>
      <w:bookmarkEnd w:id="200"/>
      <w:bookmarkEnd w:id="201"/>
      <w:bookmarkEnd w:id="202"/>
      <w:bookmarkEnd w:id="203"/>
      <w:bookmarkEnd w:id="204"/>
      <w:bookmarkEnd w:id="205"/>
      <w:bookmarkEnd w:id="206"/>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07" w:name="_Toc529733184"/>
      <w:bookmarkStart w:id="208" w:name="_Toc155238603"/>
      <w:bookmarkStart w:id="209" w:name="_Toc277153106"/>
      <w:bookmarkStart w:id="210" w:name="_Toc438203852"/>
      <w:bookmarkStart w:id="211" w:name="_Toc520356160"/>
      <w:bookmarkStart w:id="212" w:name="_Toc133737880"/>
      <w:bookmarkStart w:id="213" w:name="_Toc139531385"/>
      <w:bookmarkStart w:id="214" w:name="_Toc67860219"/>
      <w:bookmarkStart w:id="215" w:name="_Toc133916666"/>
      <w:bookmarkStart w:id="216" w:name="_Toc133737791"/>
      <w:bookmarkStart w:id="217" w:name="_Toc277942481"/>
      <w:bookmarkStart w:id="218" w:name="_Toc427315031"/>
      <w:r>
        <w:rPr>
          <w:rFonts w:hint="eastAsia" w:ascii="Times New Roman"/>
          <w:color w:val="000000" w:themeColor="text1"/>
          <w:u w:val="none"/>
          <w14:textFill>
            <w14:solidFill>
              <w14:schemeClr w14:val="tx1"/>
            </w14:solidFill>
          </w14:textFill>
        </w:rPr>
        <w:t>14.</w:t>
      </w:r>
      <w:r>
        <w:rPr>
          <w:rFonts w:hint="eastAsia" w:ascii="Times New Roman"/>
          <w:color w:val="000000" w:themeColor="text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首次磋商响应文件的密封和标记</w:t>
      </w:r>
      <w:bookmarkEnd w:id="207"/>
      <w:bookmarkEnd w:id="208"/>
      <w:bookmarkEnd w:id="209"/>
      <w:bookmarkEnd w:id="210"/>
      <w:bookmarkEnd w:id="211"/>
      <w:bookmarkEnd w:id="212"/>
      <w:bookmarkEnd w:id="213"/>
      <w:bookmarkEnd w:id="214"/>
      <w:bookmarkEnd w:id="215"/>
      <w:bookmarkEnd w:id="216"/>
      <w:bookmarkEnd w:id="217"/>
      <w:bookmarkEnd w:id="218"/>
    </w:p>
    <w:p>
      <w:pPr>
        <w:numPr>
          <w:ilvl w:val="1"/>
          <w:numId w:val="3"/>
        </w:numPr>
        <w:tabs>
          <w:tab w:val="left" w:pos="900"/>
          <w:tab w:val="clear" w:pos="480"/>
        </w:tabs>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磋商时，供应商应将磋商响应文件正本密封装在单独的信封中、所有副本一起密封装在单独的信封中，且在信封正面标明“正本”“副本”字样。电子版磋商响应文件可单独密封包装。</w:t>
      </w:r>
    </w:p>
    <w:p>
      <w:pPr>
        <w:numPr>
          <w:ilvl w:val="1"/>
          <w:numId w:val="3"/>
        </w:numPr>
        <w:tabs>
          <w:tab w:val="left" w:pos="900"/>
          <w:tab w:val="clear" w:pos="480"/>
        </w:tabs>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“磋商保证金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需单独密封，并在信封上标明 “磋商保证金”字样，在递交首次磋商响应文件时单独递交（如以电汇形式提交磋商保证金，提供电汇底单复印件。若采用网银方式，提供转账网页打印件）。</w:t>
      </w:r>
    </w:p>
    <w:p>
      <w:pPr>
        <w:numPr>
          <w:ilvl w:val="1"/>
          <w:numId w:val="3"/>
        </w:numPr>
        <w:tabs>
          <w:tab w:val="left" w:pos="900"/>
          <w:tab w:val="clear" w:pos="480"/>
        </w:tabs>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所有信封上均应：</w:t>
      </w:r>
    </w:p>
    <w:p>
      <w:pPr>
        <w:pStyle w:val="20"/>
        <w:tabs>
          <w:tab w:val="left" w:pos="630"/>
          <w:tab w:val="left" w:pos="1365"/>
        </w:tabs>
        <w:spacing w:line="360" w:lineRule="auto"/>
        <w:ind w:left="660" w:firstLine="24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1）清楚标明递交至磋商公告或磋商邀请书中指明的地址。</w:t>
      </w:r>
    </w:p>
    <w:p>
      <w:pPr>
        <w:pStyle w:val="20"/>
        <w:tabs>
          <w:tab w:val="left" w:pos="1365"/>
        </w:tabs>
        <w:spacing w:line="360" w:lineRule="auto"/>
        <w:ind w:left="1529" w:leftChars="428" w:hanging="630" w:hangingChars="300"/>
        <w:rPr>
          <w:rFonts w:ascii="Times New Roman" w:hAnsi="Times New Roman"/>
          <w:b/>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2）注明磋商公告或磋商邀请书中指明的项目名称、采购编号和“在</w:t>
      </w:r>
      <w:r>
        <w:rPr>
          <w:rFonts w:hint="eastAsia" w:ascii="Times New Roman" w:hAnsi="Times New Roman"/>
          <w:color w:val="000000" w:themeColor="text1"/>
          <w:u w:val="single"/>
          <w14:textFill>
            <w14:solidFill>
              <w14:schemeClr w14:val="tx1"/>
            </w14:solidFill>
          </w14:textFill>
        </w:rPr>
        <w:t xml:space="preserve">      年   月    日     时</w:t>
      </w:r>
      <w:r>
        <w:rPr>
          <w:rFonts w:hint="eastAsia" w:ascii="Times New Roman" w:hAnsi="Times New Roman"/>
          <w:color w:val="000000" w:themeColor="text1"/>
          <w14:textFill>
            <w14:solidFill>
              <w14:schemeClr w14:val="tx1"/>
            </w14:solidFill>
          </w14:textFill>
        </w:rPr>
        <w:t>之前不得启封”的字样（填入规定的递交首次磋商响应文件日期和时间）。</w:t>
      </w:r>
    </w:p>
    <w:p>
      <w:pPr>
        <w:pStyle w:val="20"/>
        <w:tabs>
          <w:tab w:val="left" w:pos="1365"/>
        </w:tabs>
        <w:spacing w:line="360" w:lineRule="auto"/>
        <w:ind w:left="1259" w:hanging="36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3）在信封的封装处加盖供应商公章。</w:t>
      </w:r>
    </w:p>
    <w:p>
      <w:pPr>
        <w:pStyle w:val="16"/>
        <w:tabs>
          <w:tab w:val="clear" w:pos="567"/>
        </w:tabs>
        <w:spacing w:line="360" w:lineRule="auto"/>
        <w:ind w:left="900" w:hanging="900"/>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14.5</w:t>
      </w:r>
      <w:r>
        <w:rPr>
          <w:rFonts w:hint="eastAsia" w:ascii="Times New Roman" w:hAnsi="Times New Roman"/>
          <w:color w:val="000000" w:themeColor="text1"/>
          <w:sz w:val="21"/>
          <w14:textFill>
            <w14:solidFill>
              <w14:schemeClr w14:val="tx1"/>
            </w14:solidFill>
          </w14:textFill>
        </w:rPr>
        <w:tab/>
      </w:r>
      <w:r>
        <w:rPr>
          <w:rFonts w:hint="eastAsia" w:ascii="Times New Roman" w:hAnsi="Times New Roman"/>
          <w:color w:val="000000" w:themeColor="text1"/>
          <w:sz w:val="21"/>
          <w14:textFill>
            <w14:solidFill>
              <w14:schemeClr w14:val="tx1"/>
            </w14:solidFill>
          </w14:textFill>
        </w:rPr>
        <w:t>所有信封上还应写明供应商名称和地址，以便若其首次磋商响应文件递交截止时间后被宣布为“迟到”磋商响应时，能原封退回。</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14.6</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如果供应商未按上述要求密封及加写标记，采购单位对磋商响应文件的误投或过早启封概不负责。</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19" w:name="_Toc438203853"/>
      <w:bookmarkStart w:id="220" w:name="_Toc133916667"/>
      <w:bookmarkStart w:id="221" w:name="_Toc139531386"/>
      <w:bookmarkStart w:id="222" w:name="_Toc277153107"/>
      <w:bookmarkStart w:id="223" w:name="_Toc133737881"/>
      <w:bookmarkStart w:id="224" w:name="_Toc529733185"/>
      <w:bookmarkStart w:id="225" w:name="_Toc67860220"/>
      <w:bookmarkStart w:id="226" w:name="_Toc133737792"/>
      <w:bookmarkStart w:id="227" w:name="_Toc155238604"/>
      <w:bookmarkStart w:id="228" w:name="_Toc520356161"/>
      <w:bookmarkStart w:id="229" w:name="_Toc277942482"/>
      <w:bookmarkStart w:id="230" w:name="_Toc427315032"/>
      <w:r>
        <w:rPr>
          <w:rFonts w:hint="eastAsia" w:ascii="Times New Roman"/>
          <w:color w:val="000000" w:themeColor="text1"/>
          <w:sz w:val="21"/>
          <w:u w:val="none"/>
          <w14:textFill>
            <w14:solidFill>
              <w14:schemeClr w14:val="tx1"/>
            </w14:solidFill>
          </w14:textFill>
        </w:rPr>
        <w:t>15.</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递交首次磋商响应文件截止期</w:t>
      </w:r>
      <w:bookmarkEnd w:id="219"/>
      <w:bookmarkEnd w:id="220"/>
      <w:bookmarkEnd w:id="221"/>
      <w:bookmarkEnd w:id="222"/>
      <w:bookmarkEnd w:id="223"/>
      <w:bookmarkEnd w:id="224"/>
      <w:bookmarkEnd w:id="225"/>
      <w:bookmarkEnd w:id="226"/>
      <w:bookmarkEnd w:id="227"/>
      <w:bookmarkEnd w:id="228"/>
      <w:bookmarkEnd w:id="229"/>
      <w:bookmarkEnd w:id="230"/>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15.1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供应商应在磋商邀请中规定的截止日期和时间内，将首次磋商响应文件递交采购单位，递交地点应是磋商邀请书中规定的地址。</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15.2</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采购单位有权按本须知的规定，通过修改磋商文件延长首次磋商响应文件递交截止期。在此情况下，采购单位和供应商受首次磋商响应文件递交截止期制约的所有权利和义务均应延长至新的截止期。</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15.3</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采购单位将拒绝并原封退回在本须知规定的首次磋商响应文件递交截止期后收到的任何磋商响应文件。</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31" w:name="_Toc277942483"/>
      <w:bookmarkStart w:id="232" w:name="_Toc133737793"/>
      <w:bookmarkStart w:id="233" w:name="_Toc520356162"/>
      <w:bookmarkStart w:id="234" w:name="_Toc155238605"/>
      <w:bookmarkStart w:id="235" w:name="_Toc133737882"/>
      <w:bookmarkStart w:id="236" w:name="_Toc133916668"/>
      <w:bookmarkStart w:id="237" w:name="_Toc277153108"/>
      <w:bookmarkStart w:id="238" w:name="_Toc67860221"/>
      <w:bookmarkStart w:id="239" w:name="_Toc529733186"/>
      <w:bookmarkStart w:id="240" w:name="_Toc139531387"/>
      <w:bookmarkStart w:id="241" w:name="_Toc438203854"/>
      <w:bookmarkStart w:id="242" w:name="_Toc427315033"/>
      <w:r>
        <w:rPr>
          <w:rFonts w:hint="eastAsia" w:ascii="Times New Roman"/>
          <w:color w:val="000000" w:themeColor="text1"/>
          <w:sz w:val="21"/>
          <w:u w:val="none"/>
          <w14:textFill>
            <w14:solidFill>
              <w14:schemeClr w14:val="tx1"/>
            </w14:solidFill>
          </w14:textFill>
        </w:rPr>
        <w:t>16.</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首次磋商响应文件的</w:t>
      </w:r>
      <w:bookmarkEnd w:id="231"/>
      <w:bookmarkEnd w:id="232"/>
      <w:bookmarkEnd w:id="233"/>
      <w:bookmarkEnd w:id="234"/>
      <w:bookmarkEnd w:id="235"/>
      <w:bookmarkEnd w:id="236"/>
      <w:bookmarkEnd w:id="237"/>
      <w:r>
        <w:rPr>
          <w:rFonts w:hint="eastAsia" w:ascii="Times New Roman"/>
          <w:color w:val="000000" w:themeColor="text1"/>
          <w:sz w:val="21"/>
          <w:u w:val="none"/>
          <w14:textFill>
            <w14:solidFill>
              <w14:schemeClr w14:val="tx1"/>
            </w14:solidFill>
          </w14:textFill>
        </w:rPr>
        <w:t>修改、补充与撤回</w:t>
      </w:r>
      <w:bookmarkEnd w:id="238"/>
      <w:bookmarkEnd w:id="239"/>
      <w:bookmarkEnd w:id="240"/>
      <w:bookmarkEnd w:id="241"/>
      <w:bookmarkEnd w:id="242"/>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16.1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经过磋商的供应商可根据磋商的结果提交最终磋商响应文件。最终磋商响应文件将对磋商后确定的采购变更要求进行重新响应。</w:t>
      </w:r>
    </w:p>
    <w:p>
      <w:pPr>
        <w:spacing w:before="120" w:line="360" w:lineRule="auto"/>
        <w:ind w:left="900" w:hanging="900"/>
        <w:jc w:val="right"/>
        <w:rPr>
          <w:b/>
          <w:color w:val="000000" w:themeColor="text1"/>
          <w14:textFill>
            <w14:solidFill>
              <w14:schemeClr w14:val="tx1"/>
            </w14:solidFill>
          </w14:textFill>
        </w:rPr>
      </w:pP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243" w:name="_Toc133737883"/>
      <w:bookmarkStart w:id="244" w:name="_Toc133916669"/>
      <w:bookmarkStart w:id="245" w:name="_Toc133737794"/>
      <w:bookmarkStart w:id="246" w:name="_Toc520356163"/>
      <w:bookmarkStart w:id="247" w:name="_Toc139531388"/>
      <w:bookmarkStart w:id="248" w:name="_Toc438203855"/>
      <w:bookmarkStart w:id="249" w:name="_Toc67860222"/>
      <w:bookmarkStart w:id="250" w:name="_Toc427315034"/>
      <w:bookmarkStart w:id="251" w:name="_Toc529733187"/>
      <w:r>
        <w:rPr>
          <w:rFonts w:hint="eastAsia" w:ascii="Times New Roman" w:hAnsi="Times New Roman" w:eastAsia="宋体"/>
          <w:color w:val="000000" w:themeColor="text1"/>
          <w:sz w:val="28"/>
          <w14:textFill>
            <w14:solidFill>
              <w14:schemeClr w14:val="tx1"/>
            </w14:solidFill>
          </w14:textFill>
        </w:rPr>
        <w:t xml:space="preserve">五  </w:t>
      </w:r>
      <w:bookmarkEnd w:id="243"/>
      <w:bookmarkEnd w:id="244"/>
      <w:bookmarkEnd w:id="245"/>
      <w:bookmarkEnd w:id="246"/>
      <w:r>
        <w:rPr>
          <w:rFonts w:hint="eastAsia" w:ascii="Times New Roman" w:hAnsi="Times New Roman" w:eastAsia="宋体"/>
          <w:color w:val="000000" w:themeColor="text1"/>
          <w:sz w:val="28"/>
          <w14:textFill>
            <w14:solidFill>
              <w14:schemeClr w14:val="tx1"/>
            </w14:solidFill>
          </w14:textFill>
        </w:rPr>
        <w:t>磋商</w:t>
      </w:r>
      <w:bookmarkEnd w:id="247"/>
      <w:bookmarkEnd w:id="248"/>
      <w:bookmarkEnd w:id="249"/>
      <w:bookmarkEnd w:id="250"/>
      <w:bookmarkEnd w:id="251"/>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52" w:name="_Toc155238607"/>
      <w:bookmarkStart w:id="253" w:name="_Toc520356164"/>
      <w:bookmarkStart w:id="254" w:name="_Toc277153110"/>
      <w:bookmarkStart w:id="255" w:name="_Toc133916670"/>
      <w:bookmarkStart w:id="256" w:name="_Toc277942485"/>
      <w:bookmarkStart w:id="257" w:name="_Toc133737795"/>
      <w:bookmarkStart w:id="258" w:name="_Toc133737884"/>
      <w:bookmarkStart w:id="259" w:name="_Toc139531389"/>
      <w:bookmarkStart w:id="260" w:name="_Toc529733188"/>
      <w:bookmarkStart w:id="261" w:name="_Toc438203856"/>
      <w:bookmarkStart w:id="262" w:name="_Toc427315035"/>
      <w:bookmarkStart w:id="263" w:name="_Toc67860223"/>
      <w:r>
        <w:rPr>
          <w:rFonts w:hint="eastAsia" w:ascii="Times New Roman"/>
          <w:color w:val="000000" w:themeColor="text1"/>
          <w:u w:val="none"/>
          <w14:textFill>
            <w14:solidFill>
              <w14:schemeClr w14:val="tx1"/>
            </w14:solidFill>
          </w14:textFill>
        </w:rPr>
        <w:t>17.</w:t>
      </w:r>
      <w:r>
        <w:rPr>
          <w:rFonts w:hint="eastAsia" w:ascii="Times New Roman"/>
          <w:color w:val="000000" w:themeColor="text1"/>
          <w:u w:val="none"/>
          <w14:textFill>
            <w14:solidFill>
              <w14:schemeClr w14:val="tx1"/>
            </w14:solidFill>
          </w14:textFill>
        </w:rPr>
        <w:tab/>
      </w:r>
      <w:bookmarkEnd w:id="252"/>
      <w:bookmarkEnd w:id="253"/>
      <w:bookmarkEnd w:id="254"/>
      <w:bookmarkEnd w:id="255"/>
      <w:bookmarkEnd w:id="256"/>
      <w:bookmarkEnd w:id="257"/>
      <w:bookmarkEnd w:id="258"/>
      <w:r>
        <w:rPr>
          <w:rFonts w:hint="eastAsia" w:ascii="Times New Roman"/>
          <w:color w:val="000000" w:themeColor="text1"/>
          <w:sz w:val="21"/>
          <w:u w:val="none"/>
          <w14:textFill>
            <w14:solidFill>
              <w14:schemeClr w14:val="tx1"/>
            </w14:solidFill>
          </w14:textFill>
        </w:rPr>
        <w:t>首次磋商响应文件的递交</w:t>
      </w:r>
      <w:bookmarkEnd w:id="259"/>
      <w:bookmarkEnd w:id="260"/>
      <w:bookmarkEnd w:id="261"/>
      <w:bookmarkEnd w:id="262"/>
      <w:bookmarkEnd w:id="263"/>
    </w:p>
    <w:p>
      <w:pPr>
        <w:spacing w:before="120" w:line="360" w:lineRule="auto"/>
        <w:ind w:left="898" w:hanging="898"/>
        <w:rPr>
          <w:color w:val="000000" w:themeColor="text1"/>
          <w14:textFill>
            <w14:solidFill>
              <w14:schemeClr w14:val="tx1"/>
            </w14:solidFill>
          </w14:textFill>
        </w:rPr>
      </w:pPr>
      <w:r>
        <w:rPr>
          <w:rFonts w:hint="eastAsia"/>
          <w:color w:val="000000" w:themeColor="text1"/>
          <w14:textFill>
            <w14:solidFill>
              <w14:schemeClr w14:val="tx1"/>
            </w14:solidFill>
          </w14:textFill>
        </w:rPr>
        <w:t>17.1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采购单位应当按磋商邀请书的规定，在首次磋商响应文件递交截止时间的同一时间和磋商邀请书预先确定的地点组织首次磋商响应文件的递交。</w:t>
      </w:r>
      <w:bookmarkStart w:id="264" w:name="_Toc520356165"/>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65" w:name="_Toc427315036"/>
      <w:bookmarkStart w:id="266" w:name="_Toc139531390"/>
      <w:bookmarkStart w:id="267" w:name="_Toc438203857"/>
      <w:bookmarkStart w:id="268" w:name="_Toc133737885"/>
      <w:bookmarkStart w:id="269" w:name="_Toc67860224"/>
      <w:bookmarkStart w:id="270" w:name="_Toc133737796"/>
      <w:bookmarkStart w:id="271" w:name="_Toc277942486"/>
      <w:bookmarkStart w:id="272" w:name="_Toc155238608"/>
      <w:bookmarkStart w:id="273" w:name="_Toc277153111"/>
      <w:bookmarkStart w:id="274" w:name="_Toc529733189"/>
      <w:bookmarkStart w:id="275" w:name="_Toc133916671"/>
      <w:r>
        <w:rPr>
          <w:rFonts w:hint="eastAsia" w:ascii="Times New Roman"/>
          <w:color w:val="000000" w:themeColor="text1"/>
          <w:sz w:val="21"/>
          <w:u w:val="none"/>
          <w14:textFill>
            <w14:solidFill>
              <w14:schemeClr w14:val="tx1"/>
            </w14:solidFill>
          </w14:textFill>
        </w:rPr>
        <w:t>18.</w:t>
      </w:r>
      <w:r>
        <w:rPr>
          <w:rFonts w:hint="eastAsia" w:ascii="Times New Roman"/>
          <w:color w:val="000000" w:themeColor="text1"/>
          <w:sz w:val="21"/>
          <w:u w:val="none"/>
          <w14:textFill>
            <w14:solidFill>
              <w14:schemeClr w14:val="tx1"/>
            </w14:solidFill>
          </w14:textFill>
        </w:rPr>
        <w:tab/>
      </w:r>
      <w:bookmarkEnd w:id="264"/>
      <w:r>
        <w:rPr>
          <w:rFonts w:hint="eastAsia" w:ascii="Times New Roman"/>
          <w:color w:val="000000" w:themeColor="text1"/>
          <w:sz w:val="21"/>
          <w:u w:val="none"/>
          <w14:textFill>
            <w14:solidFill>
              <w14:schemeClr w14:val="tx1"/>
            </w14:solidFill>
          </w14:textFill>
        </w:rPr>
        <w:t>组建磋商小组</w:t>
      </w:r>
      <w:bookmarkEnd w:id="265"/>
      <w:bookmarkEnd w:id="266"/>
      <w:bookmarkEnd w:id="267"/>
      <w:bookmarkEnd w:id="268"/>
      <w:bookmarkEnd w:id="269"/>
      <w:bookmarkEnd w:id="270"/>
      <w:bookmarkEnd w:id="271"/>
      <w:bookmarkEnd w:id="272"/>
      <w:bookmarkEnd w:id="273"/>
      <w:bookmarkEnd w:id="274"/>
      <w:bookmarkEnd w:id="275"/>
    </w:p>
    <w:p>
      <w:pPr>
        <w:spacing w:before="120" w:line="360" w:lineRule="auto"/>
        <w:ind w:left="898" w:hanging="898"/>
        <w:rPr>
          <w:color w:val="000000" w:themeColor="text1"/>
          <w14:textFill>
            <w14:solidFill>
              <w14:schemeClr w14:val="tx1"/>
            </w14:solidFill>
          </w14:textFill>
        </w:rPr>
      </w:pPr>
      <w:r>
        <w:rPr>
          <w:rFonts w:hint="eastAsia"/>
          <w:color w:val="000000" w:themeColor="text1"/>
          <w14:textFill>
            <w14:solidFill>
              <w14:schemeClr w14:val="tx1"/>
            </w14:solidFill>
          </w14:textFill>
        </w:rPr>
        <w:t>18.1</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磋商小组根据政府采购有关要求和本次采购的特点进行组建，并负责评审工作。</w:t>
      </w:r>
      <w:bookmarkStart w:id="276" w:name="_Toc520356166"/>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77" w:name="_Toc277942487"/>
      <w:bookmarkStart w:id="278" w:name="_Toc133737886"/>
      <w:bookmarkStart w:id="279" w:name="_Toc155238609"/>
      <w:bookmarkStart w:id="280" w:name="_Toc133916672"/>
      <w:bookmarkStart w:id="281" w:name="_Toc277153112"/>
      <w:bookmarkStart w:id="282" w:name="_Toc133737797"/>
      <w:bookmarkStart w:id="283" w:name="_Toc438203858"/>
      <w:bookmarkStart w:id="284" w:name="_Toc427315037"/>
      <w:bookmarkStart w:id="285" w:name="_Toc67860225"/>
      <w:bookmarkStart w:id="286" w:name="_Toc529733190"/>
      <w:bookmarkStart w:id="287" w:name="_Toc139531391"/>
      <w:r>
        <w:rPr>
          <w:rFonts w:hint="eastAsia" w:ascii="Times New Roman"/>
          <w:color w:val="000000" w:themeColor="text1"/>
          <w:sz w:val="21"/>
          <w:u w:val="none"/>
          <w14:textFill>
            <w14:solidFill>
              <w14:schemeClr w14:val="tx1"/>
            </w14:solidFill>
          </w14:textFill>
        </w:rPr>
        <w:t>19.</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首次磋商响应文件的初审</w:t>
      </w:r>
      <w:bookmarkEnd w:id="276"/>
      <w:bookmarkEnd w:id="277"/>
      <w:bookmarkEnd w:id="278"/>
      <w:bookmarkEnd w:id="279"/>
      <w:bookmarkEnd w:id="280"/>
      <w:bookmarkEnd w:id="281"/>
      <w:bookmarkEnd w:id="282"/>
      <w:r>
        <w:rPr>
          <w:rFonts w:hint="eastAsia" w:ascii="Times New Roman"/>
          <w:color w:val="000000" w:themeColor="text1"/>
          <w:sz w:val="21"/>
          <w:u w:val="none"/>
          <w14:textFill>
            <w14:solidFill>
              <w14:schemeClr w14:val="tx1"/>
            </w14:solidFill>
          </w14:textFill>
        </w:rPr>
        <w:t>和澄清</w:t>
      </w:r>
      <w:bookmarkEnd w:id="283"/>
      <w:bookmarkEnd w:id="284"/>
      <w:bookmarkEnd w:id="285"/>
      <w:bookmarkEnd w:id="286"/>
      <w:bookmarkEnd w:id="287"/>
    </w:p>
    <w:p>
      <w:pPr>
        <w:pStyle w:val="4"/>
        <w:spacing w:line="360" w:lineRule="auto"/>
        <w:ind w:left="850" w:hanging="850" w:hangingChars="405"/>
        <w:rPr>
          <w:rFonts w:ascii="Times New Roman" w:cs="宋体"/>
          <w:color w:val="000000" w:themeColor="text1"/>
          <w:sz w:val="21"/>
          <w:szCs w:val="24"/>
          <w14:textFill>
            <w14:solidFill>
              <w14:schemeClr w14:val="tx1"/>
            </w14:solidFill>
          </w14:textFill>
        </w:rPr>
      </w:pPr>
      <w:bookmarkStart w:id="288" w:name="_Toc133737888"/>
      <w:bookmarkStart w:id="289" w:name="_Toc277942488"/>
      <w:bookmarkStart w:id="290" w:name="_Toc277153113"/>
      <w:bookmarkStart w:id="291" w:name="_Toc133737799"/>
      <w:bookmarkStart w:id="292" w:name="_Toc155238610"/>
      <w:bookmarkStart w:id="293" w:name="_Toc133916673"/>
      <w:bookmarkStart w:id="294" w:name="_Toc520356167"/>
      <w:r>
        <w:rPr>
          <w:rFonts w:hint="eastAsia" w:ascii="Times New Roman" w:cs="宋体"/>
          <w:color w:val="000000" w:themeColor="text1"/>
          <w:sz w:val="21"/>
          <w:szCs w:val="24"/>
          <w14:textFill>
            <w14:solidFill>
              <w14:schemeClr w14:val="tx1"/>
            </w14:solidFill>
          </w14:textFill>
        </w:rPr>
        <w:t>19.1</w:t>
      </w:r>
      <w:r>
        <w:rPr>
          <w:rFonts w:ascii="Times New Roman" w:cs="宋体"/>
          <w:color w:val="000000" w:themeColor="text1"/>
          <w:sz w:val="21"/>
          <w:szCs w:val="24"/>
          <w14:textFill>
            <w14:solidFill>
              <w14:schemeClr w14:val="tx1"/>
            </w14:solidFill>
          </w14:textFill>
        </w:rPr>
        <w:tab/>
      </w:r>
      <w:r>
        <w:rPr>
          <w:rFonts w:hint="eastAsia" w:ascii="Times New Roman" w:cs="宋体"/>
          <w:color w:val="000000" w:themeColor="text1"/>
          <w:sz w:val="21"/>
          <w:szCs w:val="24"/>
          <w14:textFill>
            <w14:solidFill>
              <w14:schemeClr w14:val="tx1"/>
            </w14:solidFill>
          </w14:textFill>
        </w:rPr>
        <w:t>首次磋商响应文件的初审</w:t>
      </w:r>
    </w:p>
    <w:p>
      <w:pPr>
        <w:pStyle w:val="4"/>
        <w:spacing w:line="360" w:lineRule="auto"/>
        <w:ind w:left="850" w:hanging="850" w:hangingChars="405"/>
        <w:rPr>
          <w:rFonts w:ascii="Times New Roman" w:cs="宋体"/>
          <w:color w:val="000000" w:themeColor="text1"/>
          <w:sz w:val="21"/>
          <w:szCs w:val="24"/>
          <w14:textFill>
            <w14:solidFill>
              <w14:schemeClr w14:val="tx1"/>
            </w14:solidFill>
          </w14:textFill>
        </w:rPr>
      </w:pPr>
      <w:r>
        <w:rPr>
          <w:rFonts w:hint="eastAsia" w:ascii="Times New Roman" w:cs="宋体"/>
          <w:color w:val="000000" w:themeColor="text1"/>
          <w:sz w:val="21"/>
          <w:szCs w:val="24"/>
          <w14:textFill>
            <w14:solidFill>
              <w14:schemeClr w14:val="tx1"/>
            </w14:solidFill>
          </w14:textFill>
        </w:rPr>
        <w:t>19.1.1</w:t>
      </w:r>
      <w:r>
        <w:rPr>
          <w:rFonts w:ascii="Times New Roman" w:cs="宋体"/>
          <w:color w:val="000000" w:themeColor="text1"/>
          <w:sz w:val="21"/>
          <w:szCs w:val="24"/>
          <w14:textFill>
            <w14:solidFill>
              <w14:schemeClr w14:val="tx1"/>
            </w14:solidFill>
          </w14:textFill>
        </w:rPr>
        <w:tab/>
      </w:r>
      <w:r>
        <w:rPr>
          <w:rFonts w:hint="eastAsia" w:ascii="Times New Roman" w:cs="宋体"/>
          <w:color w:val="000000" w:themeColor="text1"/>
          <w:sz w:val="21"/>
          <w:szCs w:val="24"/>
          <w14:textFill>
            <w14:solidFill>
              <w14:schemeClr w14:val="tx1"/>
            </w14:solidFill>
          </w14:textFill>
        </w:rPr>
        <w:t>首次磋商响应文件的初审分为资格性检查和符合性检查，以确定是否对磋商文件的实质性要求作出响应。对关键条款，例如关于磋商保证金、适用法律、缴税等内容的偏离、保留和反对，将被认为是无效响应。采购单位/磋商小组决定首次响应文件是否实质性响应只根据首次磋商响应文件本身的内容，而不寻求外部的证据（购买竞争性磋商文件信息除外）。</w:t>
      </w:r>
    </w:p>
    <w:p>
      <w:pPr>
        <w:pStyle w:val="4"/>
        <w:spacing w:line="360" w:lineRule="auto"/>
        <w:ind w:left="850" w:hanging="850" w:hangingChars="405"/>
        <w:rPr>
          <w:rFonts w:ascii="Times New Roman" w:cs="宋体"/>
          <w:color w:val="000000" w:themeColor="text1"/>
          <w:sz w:val="21"/>
          <w:szCs w:val="24"/>
          <w14:textFill>
            <w14:solidFill>
              <w14:schemeClr w14:val="tx1"/>
            </w14:solidFill>
          </w14:textFill>
        </w:rPr>
      </w:pPr>
      <w:r>
        <w:rPr>
          <w:rFonts w:hint="eastAsia" w:ascii="Times New Roman" w:cs="宋体"/>
          <w:color w:val="000000" w:themeColor="text1"/>
          <w:sz w:val="21"/>
          <w:szCs w:val="24"/>
          <w14:textFill>
            <w14:solidFill>
              <w14:schemeClr w14:val="tx1"/>
            </w14:solidFill>
          </w14:textFill>
        </w:rPr>
        <w:t>19.1.2</w:t>
      </w:r>
      <w:r>
        <w:rPr>
          <w:rFonts w:ascii="Times New Roman" w:cs="宋体"/>
          <w:color w:val="000000" w:themeColor="text1"/>
          <w:sz w:val="21"/>
          <w:szCs w:val="24"/>
          <w14:textFill>
            <w14:solidFill>
              <w14:schemeClr w14:val="tx1"/>
            </w14:solidFill>
          </w14:textFill>
        </w:rPr>
        <w:tab/>
      </w:r>
      <w:r>
        <w:rPr>
          <w:rFonts w:hint="eastAsia" w:ascii="Times New Roman" w:cs="宋体"/>
          <w:color w:val="000000" w:themeColor="text1"/>
          <w:sz w:val="21"/>
          <w:szCs w:val="24"/>
          <w14:textFill>
            <w14:solidFill>
              <w14:schemeClr w14:val="tx1"/>
            </w14:solidFill>
          </w14:textFill>
        </w:rPr>
        <w:t>资格性检查是指采购单位依据法律、法规和磋商文件的规定，对首次磋商响应文件中的资格证明等进行审查。符合性检查是指磋商小组依据磋商文件的规定，从首次磋商响应文件的有效性、完整性和响应程度进行审查。如发现下列情况之一的，其首次响应为无效响应，不能通过初审：</w:t>
      </w:r>
    </w:p>
    <w:p>
      <w:pPr>
        <w:numPr>
          <w:ilvl w:val="0"/>
          <w:numId w:val="6"/>
        </w:num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未按磋商文件规定交纳磋商保证金的；</w:t>
      </w:r>
    </w:p>
    <w:p>
      <w:pPr>
        <w:numPr>
          <w:ilvl w:val="0"/>
          <w:numId w:val="6"/>
        </w:num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未按照磋商文件规定要求密封、签署、盖章的；</w:t>
      </w:r>
    </w:p>
    <w:p>
      <w:pPr>
        <w:numPr>
          <w:ilvl w:val="0"/>
          <w:numId w:val="6"/>
        </w:num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不具备磋商文件中规定资格要求或资格证明文件不全的； </w:t>
      </w:r>
    </w:p>
    <w:p>
      <w:pPr>
        <w:numPr>
          <w:ilvl w:val="0"/>
          <w:numId w:val="6"/>
        </w:num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不符合法律、法规和磋商文件中规定的其他实质性要求的（合同条款和项目需求中的实质性要求除外）。</w:t>
      </w:r>
    </w:p>
    <w:p>
      <w:pPr>
        <w:pStyle w:val="4"/>
        <w:spacing w:line="360" w:lineRule="auto"/>
        <w:ind w:left="850" w:hanging="850" w:hangingChars="405"/>
        <w:rPr>
          <w:rFonts w:ascii="Times New Roman" w:cs="宋体"/>
          <w:color w:val="000000" w:themeColor="text1"/>
          <w:sz w:val="21"/>
          <w:szCs w:val="24"/>
          <w14:textFill>
            <w14:solidFill>
              <w14:schemeClr w14:val="tx1"/>
            </w14:solidFill>
          </w14:textFill>
        </w:rPr>
      </w:pPr>
      <w:r>
        <w:rPr>
          <w:rFonts w:hint="eastAsia" w:ascii="Times New Roman" w:cs="宋体"/>
          <w:color w:val="000000" w:themeColor="text1"/>
          <w:sz w:val="21"/>
          <w:szCs w:val="24"/>
          <w14:textFill>
            <w14:solidFill>
              <w14:schemeClr w14:val="tx1"/>
            </w14:solidFill>
          </w14:textFill>
        </w:rPr>
        <w:t>19.1.3</w:t>
      </w:r>
      <w:r>
        <w:rPr>
          <w:rFonts w:ascii="Times New Roman" w:cs="宋体"/>
          <w:color w:val="000000" w:themeColor="text1"/>
          <w:sz w:val="21"/>
          <w:szCs w:val="24"/>
          <w14:textFill>
            <w14:solidFill>
              <w14:schemeClr w14:val="tx1"/>
            </w14:solidFill>
          </w14:textFill>
        </w:rPr>
        <w:tab/>
      </w:r>
      <w:r>
        <w:rPr>
          <w:rFonts w:hint="eastAsia" w:ascii="Times New Roman" w:cs="宋体"/>
          <w:color w:val="000000" w:themeColor="text1"/>
          <w:sz w:val="21"/>
          <w:szCs w:val="24"/>
          <w14:textFill>
            <w14:solidFill>
              <w14:schemeClr w14:val="tx1"/>
            </w14:solidFill>
          </w14:textFill>
        </w:rPr>
        <w:t>没有通过初审的首次磋商响应文件将按无效响应处理，采购单位/磋商小组将告知提交首次磋商响应文件的相关供应商。供应商不得通过修正或撤销不符合要求的偏离或保留从而使其响应成为实质上的响应。</w:t>
      </w:r>
    </w:p>
    <w:p>
      <w:pPr>
        <w:pStyle w:val="4"/>
        <w:spacing w:line="360" w:lineRule="auto"/>
        <w:ind w:left="850" w:hanging="850" w:hangingChars="405"/>
        <w:rPr>
          <w:rFonts w:ascii="Times New Roman" w:cs="宋体"/>
          <w:color w:val="000000" w:themeColor="text1"/>
          <w:sz w:val="21"/>
          <w:szCs w:val="24"/>
          <w14:textFill>
            <w14:solidFill>
              <w14:schemeClr w14:val="tx1"/>
            </w14:solidFill>
          </w14:textFill>
        </w:rPr>
      </w:pPr>
      <w:bookmarkStart w:id="295" w:name="_Hlt522424701"/>
      <w:bookmarkEnd w:id="295"/>
      <w:bookmarkStart w:id="296" w:name="_Toc133737798"/>
      <w:bookmarkStart w:id="297" w:name="_Toc133737887"/>
      <w:r>
        <w:rPr>
          <w:rFonts w:hint="eastAsia" w:ascii="Times New Roman" w:cs="宋体"/>
          <w:color w:val="000000" w:themeColor="text1"/>
          <w:sz w:val="21"/>
          <w:szCs w:val="24"/>
          <w14:textFill>
            <w14:solidFill>
              <w14:schemeClr w14:val="tx1"/>
            </w14:solidFill>
          </w14:textFill>
        </w:rPr>
        <w:t>19.2</w:t>
      </w:r>
      <w:r>
        <w:rPr>
          <w:rFonts w:hint="eastAsia" w:ascii="Times New Roman" w:cs="宋体"/>
          <w:color w:val="000000" w:themeColor="text1"/>
          <w:sz w:val="21"/>
          <w:szCs w:val="24"/>
          <w14:textFill>
            <w14:solidFill>
              <w14:schemeClr w14:val="tx1"/>
            </w14:solidFill>
          </w14:textFill>
        </w:rPr>
        <w:tab/>
      </w:r>
      <w:r>
        <w:rPr>
          <w:rFonts w:hint="eastAsia" w:ascii="Times New Roman" w:cs="宋体"/>
          <w:color w:val="000000" w:themeColor="text1"/>
          <w:sz w:val="21"/>
          <w:szCs w:val="24"/>
          <w14:textFill>
            <w14:solidFill>
              <w14:schemeClr w14:val="tx1"/>
            </w14:solidFill>
          </w14:textFill>
        </w:rPr>
        <w:t>首次磋商响应文件的澄清</w:t>
      </w:r>
      <w:bookmarkEnd w:id="296"/>
      <w:bookmarkEnd w:id="297"/>
    </w:p>
    <w:p>
      <w:pPr>
        <w:pStyle w:val="4"/>
        <w:spacing w:line="360" w:lineRule="auto"/>
        <w:ind w:left="850" w:hanging="850" w:hangingChars="405"/>
        <w:rPr>
          <w:rFonts w:ascii="Times New Roman" w:cs="宋体"/>
          <w:color w:val="000000" w:themeColor="text1"/>
          <w:sz w:val="21"/>
          <w:szCs w:val="24"/>
          <w14:textFill>
            <w14:solidFill>
              <w14:schemeClr w14:val="tx1"/>
            </w14:solidFill>
          </w14:textFill>
        </w:rPr>
      </w:pPr>
      <w:r>
        <w:rPr>
          <w:rFonts w:hint="eastAsia" w:ascii="Times New Roman" w:cs="宋体"/>
          <w:color w:val="000000" w:themeColor="text1"/>
          <w:sz w:val="21"/>
          <w:szCs w:val="24"/>
          <w14:textFill>
            <w14:solidFill>
              <w14:schemeClr w14:val="tx1"/>
            </w14:solidFill>
          </w14:textFill>
        </w:rPr>
        <w:t>19.2.1</w:t>
      </w:r>
      <w:r>
        <w:rPr>
          <w:rFonts w:ascii="Times New Roman" w:cs="宋体"/>
          <w:color w:val="000000" w:themeColor="text1"/>
          <w:sz w:val="21"/>
          <w:szCs w:val="24"/>
          <w14:textFill>
            <w14:solidFill>
              <w14:schemeClr w14:val="tx1"/>
            </w14:solidFill>
          </w14:textFill>
        </w:rPr>
        <w:tab/>
      </w:r>
      <w:r>
        <w:rPr>
          <w:rFonts w:hint="eastAsia" w:ascii="Times New Roman" w:cs="宋体"/>
          <w:color w:val="000000" w:themeColor="text1"/>
          <w:sz w:val="21"/>
          <w:szCs w:val="24"/>
          <w14:textFill>
            <w14:solidFill>
              <w14:schemeClr w14:val="tx1"/>
            </w14:solidFill>
          </w14:textFill>
        </w:rPr>
        <w:t>磋商小组在对首次磋商响应文件的有效性、完整性和响应程度进行审查时，可以要求供应商对首次磋商响应文件中含义不明确、同类问题表述不一致或者明显文字和计算错误的内容等作出必要的澄清、说明或者更正。供应商的澄清、说明或者更正不得超出首次磋商响应文件的范围或者改变首次磋商响应文件的实质性内容。</w:t>
      </w:r>
    </w:p>
    <w:p>
      <w:pPr>
        <w:pStyle w:val="4"/>
        <w:spacing w:line="360" w:lineRule="auto"/>
        <w:ind w:left="850" w:hanging="850" w:hangingChars="405"/>
        <w:rPr>
          <w:rFonts w:ascii="Times New Roman" w:cs="宋体"/>
          <w:color w:val="000000" w:themeColor="text1"/>
          <w:sz w:val="21"/>
          <w:szCs w:val="24"/>
          <w14:textFill>
            <w14:solidFill>
              <w14:schemeClr w14:val="tx1"/>
            </w14:solidFill>
          </w14:textFill>
        </w:rPr>
      </w:pPr>
      <w:r>
        <w:rPr>
          <w:rFonts w:hint="eastAsia" w:ascii="Times New Roman" w:cs="宋体"/>
          <w:color w:val="000000" w:themeColor="text1"/>
          <w:sz w:val="21"/>
          <w:szCs w:val="24"/>
          <w14:textFill>
            <w14:solidFill>
              <w14:schemeClr w14:val="tx1"/>
            </w14:solidFill>
          </w14:textFill>
        </w:rPr>
        <w:t>19.2.2</w:t>
      </w:r>
      <w:r>
        <w:rPr>
          <w:rFonts w:ascii="Times New Roman" w:cs="宋体"/>
          <w:color w:val="000000" w:themeColor="text1"/>
          <w:sz w:val="21"/>
          <w:szCs w:val="24"/>
          <w14:textFill>
            <w14:solidFill>
              <w14:schemeClr w14:val="tx1"/>
            </w14:solidFill>
          </w14:textFill>
        </w:rPr>
        <w:tab/>
      </w:r>
      <w:r>
        <w:rPr>
          <w:rFonts w:ascii="Times New Roman" w:cs="宋体"/>
          <w:color w:val="000000" w:themeColor="text1"/>
          <w:sz w:val="21"/>
          <w:szCs w:val="24"/>
          <w14:textFill>
            <w14:solidFill>
              <w14:schemeClr w14:val="tx1"/>
            </w14:solidFill>
          </w14:textFill>
        </w:rPr>
        <w:t>磋商小组要求供应商澄清、说明或者更正</w:t>
      </w:r>
      <w:r>
        <w:rPr>
          <w:rFonts w:hint="eastAsia" w:ascii="Times New Roman" w:cs="宋体"/>
          <w:color w:val="000000" w:themeColor="text1"/>
          <w:sz w:val="21"/>
          <w:szCs w:val="24"/>
          <w14:textFill>
            <w14:solidFill>
              <w14:schemeClr w14:val="tx1"/>
            </w14:solidFill>
          </w14:textFill>
        </w:rPr>
        <w:t>首次磋商</w:t>
      </w:r>
      <w:r>
        <w:rPr>
          <w:rFonts w:ascii="Times New Roman" w:cs="宋体"/>
          <w:color w:val="000000" w:themeColor="text1"/>
          <w:sz w:val="21"/>
          <w:szCs w:val="24"/>
          <w14:textFill>
            <w14:solidFill>
              <w14:schemeClr w14:val="tx1"/>
            </w14:solidFill>
          </w14:textFill>
        </w:rPr>
        <w:t>响应文件应当以书面形式作出。供应商的澄清、说明或者更正应当由法定代表人或其授权代表签字</w:t>
      </w:r>
      <w:r>
        <w:rPr>
          <w:rFonts w:hint="eastAsia" w:ascii="Times New Roman" w:cs="宋体"/>
          <w:color w:val="000000" w:themeColor="text1"/>
          <w:sz w:val="21"/>
          <w:szCs w:val="24"/>
          <w14:textFill>
            <w14:solidFill>
              <w14:schemeClr w14:val="tx1"/>
            </w14:solidFill>
          </w14:textFill>
        </w:rPr>
        <w:t>，</w:t>
      </w:r>
      <w:r>
        <w:rPr>
          <w:rFonts w:ascii="Times New Roman" w:cs="宋体"/>
          <w:color w:val="000000" w:themeColor="text1"/>
          <w:sz w:val="21"/>
          <w:szCs w:val="24"/>
          <w14:textFill>
            <w14:solidFill>
              <w14:schemeClr w14:val="tx1"/>
            </w14:solidFill>
          </w14:textFill>
        </w:rPr>
        <w:t>或者加盖公章。</w:t>
      </w:r>
    </w:p>
    <w:p>
      <w:pPr>
        <w:spacing w:line="360" w:lineRule="auto"/>
        <w:rPr>
          <w:color w:val="000000" w:themeColor="text1"/>
          <w14:textFill>
            <w14:solidFill>
              <w14:schemeClr w14:val="tx1"/>
            </w14:solidFill>
          </w14:textFill>
        </w:rPr>
      </w:pPr>
      <w:r>
        <w:rPr>
          <w:rFonts w:hint="eastAsia" w:cs="宋体"/>
          <w:color w:val="000000" w:themeColor="text1"/>
          <w14:textFill>
            <w14:solidFill>
              <w14:schemeClr w14:val="tx1"/>
            </w14:solidFill>
          </w14:textFill>
        </w:rPr>
        <w:t>19.2.3</w:t>
      </w:r>
      <w:r>
        <w:rPr>
          <w:rFonts w:cs="宋体"/>
          <w:color w:val="000000" w:themeColor="text1"/>
          <w14:textFill>
            <w14:solidFill>
              <w14:schemeClr w14:val="tx1"/>
            </w14:solidFill>
          </w14:textFill>
        </w:rPr>
        <w:tab/>
      </w:r>
      <w:r>
        <w:rPr>
          <w:rFonts w:hint="eastAsia" w:cs="宋体"/>
          <w:color w:val="000000" w:themeColor="text1"/>
          <w14:textFill>
            <w14:solidFill>
              <w14:schemeClr w14:val="tx1"/>
            </w14:solidFill>
          </w14:textFill>
        </w:rPr>
        <w:t>该澄清文件将作为首次响应文件内容的一部分。</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298" w:name="_Toc529733191"/>
      <w:bookmarkStart w:id="299" w:name="_Toc427315038"/>
      <w:bookmarkStart w:id="300" w:name="_Toc438203859"/>
      <w:bookmarkStart w:id="301" w:name="_Toc67860226"/>
      <w:bookmarkStart w:id="302" w:name="_Toc139531392"/>
      <w:r>
        <w:rPr>
          <w:rFonts w:hint="eastAsia" w:ascii="Times New Roman"/>
          <w:color w:val="000000" w:themeColor="text1"/>
          <w:sz w:val="21"/>
          <w:u w:val="none"/>
          <w14:textFill>
            <w14:solidFill>
              <w14:schemeClr w14:val="tx1"/>
            </w14:solidFill>
          </w14:textFill>
        </w:rPr>
        <w:t>20.</w:t>
      </w:r>
      <w:bookmarkEnd w:id="288"/>
      <w:bookmarkEnd w:id="289"/>
      <w:bookmarkEnd w:id="290"/>
      <w:bookmarkEnd w:id="291"/>
      <w:bookmarkEnd w:id="292"/>
      <w:bookmarkEnd w:id="293"/>
      <w:bookmarkEnd w:id="298"/>
      <w:bookmarkEnd w:id="299"/>
      <w:bookmarkEnd w:id="300"/>
      <w:r>
        <w:rPr>
          <w:rFonts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磋商程序和要求</w:t>
      </w:r>
      <w:bookmarkEnd w:id="301"/>
      <w:bookmarkEnd w:id="302"/>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20.1</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磋商</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w:t>
      </w:r>
      <w:r>
        <w:rPr>
          <w:rFonts w:ascii="Times New Roman"/>
          <w:color w:val="000000" w:themeColor="text1"/>
          <w:kern w:val="2"/>
          <w:sz w:val="21"/>
          <w:szCs w:val="24"/>
          <w14:textFill>
            <w14:solidFill>
              <w14:schemeClr w14:val="tx1"/>
            </w14:solidFill>
          </w14:textFill>
        </w:rPr>
        <w:t>0</w:t>
      </w:r>
      <w:r>
        <w:rPr>
          <w:rFonts w:hint="eastAsia" w:ascii="Times New Roman"/>
          <w:color w:val="000000" w:themeColor="text1"/>
          <w:kern w:val="2"/>
          <w:sz w:val="21"/>
          <w:szCs w:val="24"/>
          <w14:textFill>
            <w14:solidFill>
              <w14:schemeClr w14:val="tx1"/>
            </w14:solidFill>
          </w14:textFill>
        </w:rPr>
        <w:t>.</w:t>
      </w:r>
      <w:r>
        <w:rPr>
          <w:rFonts w:ascii="Times New Roman"/>
          <w:color w:val="000000" w:themeColor="text1"/>
          <w:kern w:val="2"/>
          <w:sz w:val="21"/>
          <w:szCs w:val="24"/>
          <w14:textFill>
            <w14:solidFill>
              <w14:schemeClr w14:val="tx1"/>
            </w14:solidFill>
          </w14:textFill>
        </w:rPr>
        <w:t>1.1</w:t>
      </w:r>
      <w:r>
        <w:rPr>
          <w:rFonts w:ascii="Times New Roman"/>
          <w:color w:val="000000" w:themeColor="text1"/>
          <w:kern w:val="2"/>
          <w:sz w:val="21"/>
          <w:szCs w:val="24"/>
          <w14:textFill>
            <w14:solidFill>
              <w14:schemeClr w14:val="tx1"/>
            </w14:solidFill>
          </w14:textFill>
        </w:rPr>
        <w:tab/>
      </w:r>
      <w:r>
        <w:rPr>
          <w:rFonts w:ascii="Times New Roman"/>
          <w:color w:val="000000" w:themeColor="text1"/>
          <w:kern w:val="2"/>
          <w:sz w:val="21"/>
          <w:szCs w:val="24"/>
          <w14:textFill>
            <w14:solidFill>
              <w14:schemeClr w14:val="tx1"/>
            </w14:solidFill>
          </w14:textFill>
        </w:rPr>
        <w:t>磋商小组所有成员</w:t>
      </w:r>
      <w:r>
        <w:rPr>
          <w:rFonts w:hint="eastAsia" w:ascii="Times New Roman"/>
          <w:color w:val="000000" w:themeColor="text1"/>
          <w:kern w:val="2"/>
          <w:sz w:val="21"/>
          <w:szCs w:val="24"/>
          <w14:textFill>
            <w14:solidFill>
              <w14:schemeClr w14:val="tx1"/>
            </w14:solidFill>
          </w14:textFill>
        </w:rPr>
        <w:t>将按照递交首次磋商响应文件签到的正顺序</w:t>
      </w:r>
      <w:r>
        <w:rPr>
          <w:rFonts w:ascii="Times New Roman"/>
          <w:color w:val="000000" w:themeColor="text1"/>
          <w:kern w:val="2"/>
          <w:sz w:val="21"/>
          <w:szCs w:val="24"/>
          <w14:textFill>
            <w14:solidFill>
              <w14:schemeClr w14:val="tx1"/>
            </w14:solidFill>
          </w14:textFill>
        </w:rPr>
        <w:t>集中与单一</w:t>
      </w:r>
      <w:r>
        <w:rPr>
          <w:rFonts w:hint="eastAsia" w:ascii="Times New Roman"/>
          <w:color w:val="000000" w:themeColor="text1"/>
          <w:kern w:val="2"/>
          <w:sz w:val="21"/>
          <w:szCs w:val="24"/>
          <w14:textFill>
            <w14:solidFill>
              <w14:schemeClr w14:val="tx1"/>
            </w14:solidFill>
          </w14:textFill>
        </w:rPr>
        <w:t>通过初审的</w:t>
      </w:r>
      <w:r>
        <w:rPr>
          <w:rFonts w:ascii="Times New Roman"/>
          <w:color w:val="000000" w:themeColor="text1"/>
          <w:kern w:val="2"/>
          <w:sz w:val="21"/>
          <w:szCs w:val="24"/>
          <w14:textFill>
            <w14:solidFill>
              <w14:schemeClr w14:val="tx1"/>
            </w14:solidFill>
          </w14:textFill>
        </w:rPr>
        <w:t>供应商分别进行磋商，并给予所有参加磋商的供应商平等的磋商机会。</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w:t>
      </w:r>
      <w:r>
        <w:rPr>
          <w:rFonts w:ascii="Times New Roman"/>
          <w:color w:val="000000" w:themeColor="text1"/>
          <w:kern w:val="2"/>
          <w:sz w:val="21"/>
          <w:szCs w:val="24"/>
          <w14:textFill>
            <w14:solidFill>
              <w14:schemeClr w14:val="tx1"/>
            </w14:solidFill>
          </w14:textFill>
        </w:rPr>
        <w:t>1.</w:t>
      </w:r>
      <w:r>
        <w:rPr>
          <w:rFonts w:hint="eastAsia" w:ascii="Times New Roman"/>
          <w:color w:val="000000" w:themeColor="text1"/>
          <w:kern w:val="2"/>
          <w:sz w:val="21"/>
          <w:szCs w:val="24"/>
          <w14:textFill>
            <w14:solidFill>
              <w14:schemeClr w14:val="tx1"/>
            </w14:solidFill>
          </w14:textFill>
        </w:rPr>
        <w:t>2</w:t>
      </w:r>
      <w:r>
        <w:rPr>
          <w:rFonts w:ascii="Times New Roman"/>
          <w:color w:val="000000" w:themeColor="text1"/>
          <w:kern w:val="2"/>
          <w:sz w:val="21"/>
          <w:szCs w:val="24"/>
          <w14:textFill>
            <w14:solidFill>
              <w14:schemeClr w14:val="tx1"/>
            </w14:solidFill>
          </w14:textFill>
        </w:rPr>
        <w:tab/>
      </w:r>
      <w:r>
        <w:rPr>
          <w:rFonts w:ascii="Times New Roman"/>
          <w:color w:val="000000" w:themeColor="text1"/>
          <w:kern w:val="2"/>
          <w:sz w:val="21"/>
          <w:szCs w:val="24"/>
          <w14:textFill>
            <w14:solidFill>
              <w14:schemeClr w14:val="tx1"/>
            </w14:solidFill>
          </w14:textFill>
        </w:rPr>
        <w:t>在磋商过程中，磋商小组可以根据磋商文件和磋商情况实质性变动采购需求中的技术、服务要求以及合同草案条款，但不得变动磋商文件中的其他内容。实质性变动的内容，须经采购人代表确认</w:t>
      </w:r>
      <w:r>
        <w:rPr>
          <w:rFonts w:hint="eastAsia" w:ascii="Times New Roman"/>
          <w:color w:val="000000" w:themeColor="text1"/>
          <w:kern w:val="2"/>
          <w:sz w:val="21"/>
          <w:szCs w:val="24"/>
          <w14:textFill>
            <w14:solidFill>
              <w14:schemeClr w14:val="tx1"/>
            </w14:solidFill>
          </w14:textFill>
        </w:rPr>
        <w:t>。</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w:t>
      </w:r>
      <w:r>
        <w:rPr>
          <w:rFonts w:ascii="Times New Roman"/>
          <w:color w:val="000000" w:themeColor="text1"/>
          <w:kern w:val="2"/>
          <w:sz w:val="21"/>
          <w:szCs w:val="24"/>
          <w14:textFill>
            <w14:solidFill>
              <w14:schemeClr w14:val="tx1"/>
            </w14:solidFill>
          </w14:textFill>
        </w:rPr>
        <w:t>1</w:t>
      </w:r>
      <w:r>
        <w:rPr>
          <w:rFonts w:hint="eastAsia" w:ascii="Times New Roman"/>
          <w:color w:val="000000" w:themeColor="text1"/>
          <w:kern w:val="2"/>
          <w:sz w:val="21"/>
          <w:szCs w:val="24"/>
          <w14:textFill>
            <w14:solidFill>
              <w14:schemeClr w14:val="tx1"/>
            </w14:solidFill>
          </w14:textFill>
        </w:rPr>
        <w:t>.</w:t>
      </w:r>
      <w:r>
        <w:rPr>
          <w:rFonts w:ascii="Times New Roman"/>
          <w:color w:val="000000" w:themeColor="text1"/>
          <w:kern w:val="2"/>
          <w:sz w:val="21"/>
          <w:szCs w:val="24"/>
          <w14:textFill>
            <w14:solidFill>
              <w14:schemeClr w14:val="tx1"/>
            </w14:solidFill>
          </w14:textFill>
        </w:rPr>
        <w:t>3</w:t>
      </w:r>
      <w:r>
        <w:rPr>
          <w:rFonts w:ascii="Times New Roman"/>
          <w:color w:val="000000" w:themeColor="text1"/>
          <w:kern w:val="2"/>
          <w:sz w:val="21"/>
          <w:szCs w:val="24"/>
          <w14:textFill>
            <w14:solidFill>
              <w14:schemeClr w14:val="tx1"/>
            </w14:solidFill>
          </w14:textFill>
        </w:rPr>
        <w:tab/>
      </w:r>
      <w:r>
        <w:rPr>
          <w:rFonts w:ascii="Times New Roman"/>
          <w:color w:val="000000" w:themeColor="text1"/>
          <w:kern w:val="2"/>
          <w:sz w:val="21"/>
          <w:szCs w:val="24"/>
          <w14:textFill>
            <w14:solidFill>
              <w14:schemeClr w14:val="tx1"/>
            </w14:solidFill>
          </w14:textFill>
        </w:rPr>
        <w:t>对磋商文件作出的实质性变动是磋商文件的有效组成部分，磋商小组应当及时以书面形式同时通知所有参加磋商的供应商。</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20.2</w:t>
      </w:r>
      <w:r>
        <w:rPr>
          <w:rFonts w:ascii="Times New Roman"/>
          <w:color w:val="000000" w:themeColor="text1"/>
          <w:kern w:val="2"/>
          <w:sz w:val="21"/>
          <w:szCs w:val="24"/>
          <w14:textFill>
            <w14:solidFill>
              <w14:schemeClr w14:val="tx1"/>
            </w14:solidFill>
          </w14:textFill>
        </w:rPr>
        <w:tab/>
      </w:r>
      <w:r>
        <w:rPr>
          <w:rFonts w:ascii="Times New Roman"/>
          <w:color w:val="000000" w:themeColor="text1"/>
          <w:kern w:val="2"/>
          <w:sz w:val="21"/>
          <w:szCs w:val="24"/>
          <w14:textFill>
            <w14:solidFill>
              <w14:schemeClr w14:val="tx1"/>
            </w14:solidFill>
          </w14:textFill>
        </w:rPr>
        <w:t>最终响应文件</w:t>
      </w:r>
      <w:r>
        <w:rPr>
          <w:rFonts w:hint="eastAsia" w:ascii="Times New Roman"/>
          <w:color w:val="000000" w:themeColor="text1"/>
          <w:kern w:val="2"/>
          <w:sz w:val="21"/>
          <w:szCs w:val="24"/>
          <w14:textFill>
            <w14:solidFill>
              <w14:schemeClr w14:val="tx1"/>
            </w14:solidFill>
          </w14:textFill>
        </w:rPr>
        <w:t>（不含最终报价）</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w:t>
      </w:r>
      <w:r>
        <w:rPr>
          <w:rFonts w:ascii="Times New Roman"/>
          <w:color w:val="000000" w:themeColor="text1"/>
          <w:kern w:val="2"/>
          <w:sz w:val="21"/>
          <w:szCs w:val="24"/>
          <w14:textFill>
            <w14:solidFill>
              <w14:schemeClr w14:val="tx1"/>
            </w14:solidFill>
          </w14:textFill>
        </w:rPr>
        <w:t>0.2.1</w:t>
      </w:r>
      <w:r>
        <w:rPr>
          <w:rFonts w:ascii="Times New Roman"/>
          <w:color w:val="000000" w:themeColor="text1"/>
          <w:kern w:val="2"/>
          <w:sz w:val="21"/>
          <w:szCs w:val="24"/>
          <w14:textFill>
            <w14:solidFill>
              <w14:schemeClr w14:val="tx1"/>
            </w14:solidFill>
          </w14:textFill>
        </w:rPr>
        <w:tab/>
      </w:r>
      <w:r>
        <w:rPr>
          <w:rFonts w:ascii="Times New Roman"/>
          <w:color w:val="000000" w:themeColor="text1"/>
          <w:kern w:val="2"/>
          <w:sz w:val="21"/>
          <w:szCs w:val="24"/>
          <w14:textFill>
            <w14:solidFill>
              <w14:schemeClr w14:val="tx1"/>
            </w14:solidFill>
          </w14:textFill>
        </w:rPr>
        <w:t>供应商应当按照磋商文件的变动情况和磋商小组的要求</w:t>
      </w:r>
      <w:r>
        <w:rPr>
          <w:rFonts w:hint="eastAsia" w:ascii="Times New Roman"/>
          <w:color w:val="000000" w:themeColor="text1"/>
          <w:kern w:val="2"/>
          <w:sz w:val="21"/>
          <w:szCs w:val="24"/>
          <w14:textFill>
            <w14:solidFill>
              <w14:schemeClr w14:val="tx1"/>
            </w14:solidFill>
          </w14:textFill>
        </w:rPr>
        <w:t>（包括提交最终响应文件的截止时间要求和密封要求）</w:t>
      </w:r>
      <w:r>
        <w:rPr>
          <w:rFonts w:ascii="Times New Roman"/>
          <w:color w:val="000000" w:themeColor="text1"/>
          <w:kern w:val="2"/>
          <w:sz w:val="21"/>
          <w:szCs w:val="24"/>
          <w14:textFill>
            <w14:solidFill>
              <w14:schemeClr w14:val="tx1"/>
            </w14:solidFill>
          </w14:textFill>
        </w:rPr>
        <w:t>重新提交</w:t>
      </w:r>
      <w:r>
        <w:rPr>
          <w:rFonts w:hint="eastAsia" w:ascii="Times New Roman"/>
          <w:color w:val="000000" w:themeColor="text1"/>
          <w:kern w:val="2"/>
          <w:sz w:val="21"/>
          <w:szCs w:val="24"/>
          <w14:textFill>
            <w14:solidFill>
              <w14:schemeClr w14:val="tx1"/>
            </w14:solidFill>
          </w14:textFill>
        </w:rPr>
        <w:t>磋商</w:t>
      </w:r>
      <w:r>
        <w:rPr>
          <w:rFonts w:ascii="Times New Roman"/>
          <w:color w:val="000000" w:themeColor="text1"/>
          <w:kern w:val="2"/>
          <w:sz w:val="21"/>
          <w:szCs w:val="24"/>
          <w14:textFill>
            <w14:solidFill>
              <w14:schemeClr w14:val="tx1"/>
            </w14:solidFill>
          </w14:textFill>
        </w:rPr>
        <w:t>响应文件，并由其法定代表人或授权代表签字或者加盖公章</w:t>
      </w:r>
      <w:r>
        <w:rPr>
          <w:rFonts w:hint="eastAsia" w:ascii="Times New Roman"/>
          <w:color w:val="000000" w:themeColor="text1"/>
          <w:kern w:val="2"/>
          <w:sz w:val="21"/>
          <w:szCs w:val="24"/>
          <w14:textFill>
            <w14:solidFill>
              <w14:schemeClr w14:val="tx1"/>
            </w14:solidFill>
          </w14:textFill>
        </w:rPr>
        <w:t>（不按规定签字或加盖公章的文件，磋商小组将不予接受）</w:t>
      </w:r>
      <w:r>
        <w:rPr>
          <w:rFonts w:ascii="Times New Roman"/>
          <w:color w:val="000000" w:themeColor="text1"/>
          <w:kern w:val="2"/>
          <w:sz w:val="21"/>
          <w:szCs w:val="24"/>
          <w14:textFill>
            <w14:solidFill>
              <w14:schemeClr w14:val="tx1"/>
            </w14:solidFill>
          </w14:textFill>
        </w:rPr>
        <w:t>。</w:t>
      </w:r>
      <w:r>
        <w:rPr>
          <w:rFonts w:hint="eastAsia" w:ascii="Times New Roman"/>
          <w:color w:val="000000" w:themeColor="text1"/>
          <w:kern w:val="2"/>
          <w:sz w:val="21"/>
          <w:szCs w:val="24"/>
          <w14:textFill>
            <w14:solidFill>
              <w14:schemeClr w14:val="tx1"/>
            </w14:solidFill>
          </w14:textFill>
        </w:rPr>
        <w:t>最终</w:t>
      </w:r>
      <w:r>
        <w:rPr>
          <w:rFonts w:ascii="Times New Roman"/>
          <w:color w:val="000000" w:themeColor="text1"/>
          <w:kern w:val="2"/>
          <w:sz w:val="21"/>
          <w:szCs w:val="24"/>
          <w14:textFill>
            <w14:solidFill>
              <w14:schemeClr w14:val="tx1"/>
            </w14:solidFill>
          </w14:textFill>
        </w:rPr>
        <w:t>响应文件</w:t>
      </w:r>
      <w:r>
        <w:rPr>
          <w:rFonts w:hint="eastAsia" w:ascii="Times New Roman"/>
          <w:color w:val="000000" w:themeColor="text1"/>
          <w:kern w:val="2"/>
          <w:sz w:val="21"/>
          <w:szCs w:val="24"/>
          <w14:textFill>
            <w14:solidFill>
              <w14:schemeClr w14:val="tx1"/>
            </w14:solidFill>
          </w14:textFill>
        </w:rPr>
        <w:t>不得超出磋商小组规定的响应内容（超出规定的响应内容，磋商小组将不予接</w:t>
      </w:r>
      <w:r>
        <w:rPr>
          <w:rFonts w:hint="eastAsia" w:ascii="仿宋_GB2312" w:hAnsi="宋体" w:eastAsia="仿宋_GB2312"/>
          <w:color w:val="000000" w:themeColor="text1"/>
          <w14:textFill>
            <w14:solidFill>
              <w14:schemeClr w14:val="tx1"/>
            </w14:solidFill>
          </w14:textFill>
        </w:rPr>
        <w:t>受）</w:t>
      </w:r>
      <w:r>
        <w:rPr>
          <w:rFonts w:hint="eastAsia" w:ascii="Times New Roman"/>
          <w:color w:val="000000" w:themeColor="text1"/>
          <w:kern w:val="2"/>
          <w:sz w:val="21"/>
          <w:szCs w:val="24"/>
          <w14:textFill>
            <w14:solidFill>
              <w14:schemeClr w14:val="tx1"/>
            </w14:solidFill>
          </w14:textFill>
        </w:rPr>
        <w:t>。磋商小组接受的最终响应文件内容和首次响应内容不一致的，以最终响应文件为准。</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20.2.2</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供应商在规定的提交最终响应文件截止时间之后提交的最终响应文件为无效文件，磋商小组应当拒收。</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w:t>
      </w:r>
      <w:r>
        <w:rPr>
          <w:rFonts w:ascii="Times New Roman"/>
          <w:color w:val="000000" w:themeColor="text1"/>
          <w:kern w:val="2"/>
          <w:sz w:val="21"/>
          <w:szCs w:val="24"/>
          <w14:textFill>
            <w14:solidFill>
              <w14:schemeClr w14:val="tx1"/>
            </w14:solidFill>
          </w14:textFill>
        </w:rPr>
        <w:t>0.2.3</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供应商在提交最终响应文件截止时间前，可以对所提交的最终响应文件进行补充、修改或者撤回，并书面通知磋商小组（须由</w:t>
      </w:r>
      <w:r>
        <w:rPr>
          <w:rFonts w:ascii="Times New Roman"/>
          <w:color w:val="000000" w:themeColor="text1"/>
          <w:kern w:val="2"/>
          <w:sz w:val="21"/>
          <w:szCs w:val="24"/>
          <w14:textFill>
            <w14:solidFill>
              <w14:schemeClr w14:val="tx1"/>
            </w14:solidFill>
          </w14:textFill>
        </w:rPr>
        <w:t>法定代表人或</w:t>
      </w:r>
      <w:r>
        <w:rPr>
          <w:rFonts w:hint="eastAsia" w:ascii="Times New Roman"/>
          <w:color w:val="000000" w:themeColor="text1"/>
          <w:kern w:val="2"/>
          <w:sz w:val="21"/>
          <w:szCs w:val="24"/>
          <w14:textFill>
            <w14:solidFill>
              <w14:schemeClr w14:val="tx1"/>
            </w14:solidFill>
          </w14:textFill>
        </w:rPr>
        <w:t>其</w:t>
      </w:r>
      <w:r>
        <w:rPr>
          <w:rFonts w:ascii="Times New Roman"/>
          <w:color w:val="000000" w:themeColor="text1"/>
          <w:kern w:val="2"/>
          <w:sz w:val="21"/>
          <w:szCs w:val="24"/>
          <w14:textFill>
            <w14:solidFill>
              <w14:schemeClr w14:val="tx1"/>
            </w14:solidFill>
          </w14:textFill>
        </w:rPr>
        <w:t>授权代表签字</w:t>
      </w:r>
      <w:r>
        <w:rPr>
          <w:rFonts w:hint="eastAsia" w:ascii="Times New Roman"/>
          <w:color w:val="000000" w:themeColor="text1"/>
          <w:kern w:val="2"/>
          <w:sz w:val="21"/>
          <w:szCs w:val="24"/>
          <w14:textFill>
            <w14:solidFill>
              <w14:schemeClr w14:val="tx1"/>
            </w14:solidFill>
          </w14:textFill>
        </w:rPr>
        <w:t>，</w:t>
      </w:r>
      <w:r>
        <w:rPr>
          <w:rFonts w:ascii="Times New Roman"/>
          <w:color w:val="000000" w:themeColor="text1"/>
          <w:kern w:val="2"/>
          <w:sz w:val="21"/>
          <w:szCs w:val="24"/>
          <w14:textFill>
            <w14:solidFill>
              <w14:schemeClr w14:val="tx1"/>
            </w14:solidFill>
          </w14:textFill>
        </w:rPr>
        <w:t>或者加盖公章</w:t>
      </w:r>
      <w:r>
        <w:rPr>
          <w:rFonts w:hint="eastAsia" w:ascii="Times New Roman"/>
          <w:color w:val="000000" w:themeColor="text1"/>
          <w:kern w:val="2"/>
          <w:sz w:val="21"/>
          <w:szCs w:val="24"/>
          <w14:textFill>
            <w14:solidFill>
              <w14:schemeClr w14:val="tx1"/>
            </w14:solidFill>
          </w14:textFill>
        </w:rPr>
        <w:t>）。补充、修改的内容作为最终响应文件的组成部分，如不一致，以补充、修改的内容为准。在提交最终响应文件截止期之后，供应商不得对其最终响应文件做任何补充、修改或撤回（磋商小组要求的澄清除外）。</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20.2.4</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如果磋商小组未对磋商文件做任何变动，供应商无须再提交最终响应文件，供应商的首次响应文件即为其最终响应文件。磋商小组直接进入终审程序。</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20.3</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终审</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20.3.1</w:t>
      </w:r>
      <w:r>
        <w:rPr>
          <w:rFonts w:hint="eastAsia" w:ascii="Times New Roman"/>
          <w:color w:val="000000" w:themeColor="text1"/>
          <w:kern w:val="2"/>
          <w:sz w:val="21"/>
          <w:szCs w:val="24"/>
          <w14:textFill>
            <w14:solidFill>
              <w14:schemeClr w14:val="tx1"/>
            </w14:solidFill>
          </w14:textFill>
        </w:rPr>
        <w:tab/>
      </w:r>
      <w:r>
        <w:rPr>
          <w:rFonts w:ascii="Times New Roman"/>
          <w:color w:val="000000" w:themeColor="text1"/>
          <w:kern w:val="2"/>
          <w:sz w:val="21"/>
          <w:szCs w:val="24"/>
          <w14:textFill>
            <w14:solidFill>
              <w14:schemeClr w14:val="tx1"/>
            </w14:solidFill>
          </w14:textFill>
        </w:rPr>
        <w:t>磋商小组对</w:t>
      </w:r>
      <w:r>
        <w:rPr>
          <w:rFonts w:hint="eastAsia" w:ascii="Times New Roman"/>
          <w:color w:val="000000" w:themeColor="text1"/>
          <w:kern w:val="2"/>
          <w:sz w:val="21"/>
          <w:szCs w:val="24"/>
          <w14:textFill>
            <w14:solidFill>
              <w14:schemeClr w14:val="tx1"/>
            </w14:solidFill>
          </w14:textFill>
        </w:rPr>
        <w:t>供应商提交的最终</w:t>
      </w:r>
      <w:r>
        <w:rPr>
          <w:rFonts w:ascii="Times New Roman"/>
          <w:color w:val="000000" w:themeColor="text1"/>
          <w:kern w:val="2"/>
          <w:sz w:val="21"/>
          <w:szCs w:val="24"/>
          <w14:textFill>
            <w14:solidFill>
              <w14:schemeClr w14:val="tx1"/>
            </w14:solidFill>
          </w14:textFill>
        </w:rPr>
        <w:t>响应文件</w:t>
      </w:r>
      <w:r>
        <w:rPr>
          <w:rFonts w:hint="eastAsia" w:ascii="Times New Roman"/>
          <w:color w:val="000000" w:themeColor="text1"/>
          <w:kern w:val="2"/>
          <w:sz w:val="21"/>
          <w:szCs w:val="24"/>
          <w14:textFill>
            <w14:solidFill>
              <w14:schemeClr w14:val="tx1"/>
            </w14:solidFill>
          </w14:textFill>
        </w:rPr>
        <w:t>进行终审，确定其是否进行了实质性响应：</w:t>
      </w:r>
    </w:p>
    <w:p>
      <w:pPr>
        <w:pStyle w:val="4"/>
        <w:spacing w:line="360" w:lineRule="auto"/>
        <w:ind w:left="850" w:leftChars="300" w:hanging="220" w:hangingChars="1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 xml:space="preserve">（1）是否在规定时间内提交了经磋商小组变更后为实质性要求的最终响应文件； </w:t>
      </w:r>
    </w:p>
    <w:p>
      <w:pPr>
        <w:pStyle w:val="4"/>
        <w:spacing w:line="360" w:lineRule="auto"/>
        <w:ind w:left="850" w:leftChars="300" w:hanging="220" w:hangingChars="1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（2）经磋商小组变更后为实质性要求的最终响应文件是否按规定进行签字或盖章；</w:t>
      </w:r>
    </w:p>
    <w:p>
      <w:pPr>
        <w:pStyle w:val="4"/>
        <w:spacing w:line="360" w:lineRule="auto"/>
        <w:ind w:left="840" w:leftChars="300" w:hanging="210" w:hangingChars="100"/>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（3）响应文件是否符合磋商文件的合同条款和项目需求中的实质性要求（包括磋商后的实质性变动要求）。</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20.3.2</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上述任何一项不满足均不能通过终审，没有通过终审的最终响应文件将按无效响应处理，磋商小组将告知相关供应商。供应商不得通过修正或撤销不符合要求的偏离或保留从而使其响应成为实质上的响应。</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20.3.3</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如果磋商文件合同条款和项目需求无任何实质性要求，磋商小组在磋商后也未作出任何实质性变更，则无需进行终审。</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20.4</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最终报价</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20.4.1</w:t>
      </w:r>
      <w:r>
        <w:rPr>
          <w:rFonts w:ascii="Times New Roman"/>
          <w:color w:val="000000" w:themeColor="text1"/>
          <w:kern w:val="2"/>
          <w:sz w:val="21"/>
          <w:szCs w:val="24"/>
          <w14:textFill>
            <w14:solidFill>
              <w14:schemeClr w14:val="tx1"/>
            </w14:solidFill>
          </w14:textFill>
        </w:rPr>
        <w:tab/>
      </w:r>
      <w:r>
        <w:rPr>
          <w:rFonts w:ascii="Times New Roman"/>
          <w:color w:val="000000" w:themeColor="text1"/>
          <w:kern w:val="2"/>
          <w:sz w:val="21"/>
          <w:szCs w:val="24"/>
          <w14:textFill>
            <w14:solidFill>
              <w14:schemeClr w14:val="tx1"/>
            </w14:solidFill>
          </w14:textFill>
        </w:rPr>
        <w:t>磋商小组应当要求所有</w:t>
      </w:r>
      <w:r>
        <w:rPr>
          <w:rFonts w:hint="eastAsia" w:ascii="Times New Roman"/>
          <w:color w:val="000000" w:themeColor="text1"/>
          <w:kern w:val="2"/>
          <w:sz w:val="21"/>
          <w:szCs w:val="24"/>
          <w14:textFill>
            <w14:solidFill>
              <w14:schemeClr w14:val="tx1"/>
            </w14:solidFill>
          </w14:textFill>
        </w:rPr>
        <w:t>通过终审</w:t>
      </w:r>
      <w:r>
        <w:rPr>
          <w:rFonts w:ascii="Times New Roman"/>
          <w:color w:val="000000" w:themeColor="text1"/>
          <w:kern w:val="2"/>
          <w:sz w:val="21"/>
          <w:szCs w:val="24"/>
          <w14:textFill>
            <w14:solidFill>
              <w14:schemeClr w14:val="tx1"/>
            </w14:solidFill>
          </w14:textFill>
        </w:rPr>
        <w:t>的供应商在规定时间内</w:t>
      </w:r>
      <w:r>
        <w:rPr>
          <w:rFonts w:hint="eastAsia" w:ascii="Times New Roman"/>
          <w:color w:val="000000" w:themeColor="text1"/>
          <w:kern w:val="2"/>
          <w:sz w:val="21"/>
          <w:szCs w:val="24"/>
          <w14:textFill>
            <w14:solidFill>
              <w14:schemeClr w14:val="tx1"/>
            </w14:solidFill>
          </w14:textFill>
        </w:rPr>
        <w:t>提交书面最终</w:t>
      </w:r>
      <w:r>
        <w:rPr>
          <w:rFonts w:ascii="Times New Roman"/>
          <w:color w:val="000000" w:themeColor="text1"/>
          <w:kern w:val="2"/>
          <w:sz w:val="21"/>
          <w:szCs w:val="24"/>
          <w14:textFill>
            <w14:solidFill>
              <w14:schemeClr w14:val="tx1"/>
            </w14:solidFill>
          </w14:textFill>
        </w:rPr>
        <w:t>报价</w:t>
      </w:r>
      <w:r>
        <w:rPr>
          <w:rFonts w:hint="eastAsia" w:ascii="Times New Roman"/>
          <w:color w:val="000000" w:themeColor="text1"/>
          <w:kern w:val="2"/>
          <w:sz w:val="21"/>
          <w:szCs w:val="24"/>
          <w14:textFill>
            <w14:solidFill>
              <w14:schemeClr w14:val="tx1"/>
            </w14:solidFill>
          </w14:textFill>
        </w:rPr>
        <w:t>（包括提交最终报价的截止时间要求和密封要求），供应商的最终报价须</w:t>
      </w:r>
      <w:r>
        <w:rPr>
          <w:rFonts w:ascii="Times New Roman"/>
          <w:color w:val="000000" w:themeColor="text1"/>
          <w:kern w:val="2"/>
          <w:sz w:val="21"/>
          <w:szCs w:val="24"/>
          <w14:textFill>
            <w14:solidFill>
              <w14:schemeClr w14:val="tx1"/>
            </w14:solidFill>
          </w14:textFill>
        </w:rPr>
        <w:t>由</w:t>
      </w:r>
      <w:r>
        <w:rPr>
          <w:rFonts w:hint="eastAsia" w:ascii="Times New Roman"/>
          <w:color w:val="000000" w:themeColor="text1"/>
          <w:kern w:val="2"/>
          <w:sz w:val="21"/>
          <w:szCs w:val="24"/>
          <w14:textFill>
            <w14:solidFill>
              <w14:schemeClr w14:val="tx1"/>
            </w14:solidFill>
          </w14:textFill>
        </w:rPr>
        <w:t>其</w:t>
      </w:r>
      <w:r>
        <w:rPr>
          <w:rFonts w:ascii="Times New Roman"/>
          <w:color w:val="000000" w:themeColor="text1"/>
          <w:kern w:val="2"/>
          <w:sz w:val="21"/>
          <w:szCs w:val="24"/>
          <w14:textFill>
            <w14:solidFill>
              <w14:schemeClr w14:val="tx1"/>
            </w14:solidFill>
          </w14:textFill>
        </w:rPr>
        <w:t>法定代表人或</w:t>
      </w:r>
      <w:r>
        <w:rPr>
          <w:rFonts w:hint="eastAsia" w:ascii="Times New Roman"/>
          <w:color w:val="000000" w:themeColor="text1"/>
          <w:kern w:val="2"/>
          <w:sz w:val="21"/>
          <w:szCs w:val="24"/>
          <w14:textFill>
            <w14:solidFill>
              <w14:schemeClr w14:val="tx1"/>
            </w14:solidFill>
          </w14:textFill>
        </w:rPr>
        <w:t>其</w:t>
      </w:r>
      <w:r>
        <w:rPr>
          <w:rFonts w:ascii="Times New Roman"/>
          <w:color w:val="000000" w:themeColor="text1"/>
          <w:kern w:val="2"/>
          <w:sz w:val="21"/>
          <w:szCs w:val="24"/>
          <w14:textFill>
            <w14:solidFill>
              <w14:schemeClr w14:val="tx1"/>
            </w14:solidFill>
          </w14:textFill>
        </w:rPr>
        <w:t>授权代表签字</w:t>
      </w:r>
      <w:r>
        <w:rPr>
          <w:rFonts w:hint="eastAsia" w:ascii="Times New Roman"/>
          <w:color w:val="000000" w:themeColor="text1"/>
          <w:kern w:val="2"/>
          <w:sz w:val="21"/>
          <w:szCs w:val="24"/>
          <w14:textFill>
            <w14:solidFill>
              <w14:schemeClr w14:val="tx1"/>
            </w14:solidFill>
          </w14:textFill>
        </w:rPr>
        <w:t>，</w:t>
      </w:r>
      <w:r>
        <w:rPr>
          <w:rFonts w:ascii="Times New Roman"/>
          <w:color w:val="000000" w:themeColor="text1"/>
          <w:kern w:val="2"/>
          <w:sz w:val="21"/>
          <w:szCs w:val="24"/>
          <w14:textFill>
            <w14:solidFill>
              <w14:schemeClr w14:val="tx1"/>
            </w14:solidFill>
          </w14:textFill>
        </w:rPr>
        <w:t>或者加盖公章</w:t>
      </w:r>
      <w:r>
        <w:rPr>
          <w:rFonts w:hint="eastAsia" w:ascii="Times New Roman"/>
          <w:color w:val="000000" w:themeColor="text1"/>
          <w:kern w:val="2"/>
          <w:sz w:val="21"/>
          <w:szCs w:val="24"/>
          <w14:textFill>
            <w14:solidFill>
              <w14:schemeClr w14:val="tx1"/>
            </w14:solidFill>
          </w14:textFill>
        </w:rPr>
        <w:t>。该最终报价也是供应商最终响应文件的一部分。</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20.4.2</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 xml:space="preserve">供应商在规定时间后提交的最终报价或未按要求密封的最终报价，磋商小组应当拒收。供应商未在规定的时间内提交最终报价，或未按规定在最终报价上签字或盖章，其响应视为无效，不能进入最后的比较和评价。 </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20.4.3</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如果无需进行终审，最终报价可和最终响应文件同时提交。</w:t>
      </w:r>
    </w:p>
    <w:p>
      <w:pPr>
        <w:pStyle w:val="4"/>
        <w:spacing w:line="360" w:lineRule="auto"/>
        <w:ind w:left="850" w:hanging="850" w:hangingChars="405"/>
        <w:rPr>
          <w:rFonts w:ascii="Times New Roman"/>
          <w:color w:val="000000" w:themeColor="text1"/>
          <w:kern w:val="2"/>
          <w:sz w:val="21"/>
          <w:szCs w:val="24"/>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20.5</w:t>
      </w:r>
      <w:r>
        <w:rPr>
          <w:rFonts w:ascii="Times New Roman"/>
          <w:color w:val="000000" w:themeColor="text1"/>
          <w:kern w:val="2"/>
          <w:sz w:val="21"/>
          <w:szCs w:val="24"/>
          <w14:textFill>
            <w14:solidFill>
              <w14:schemeClr w14:val="tx1"/>
            </w14:solidFill>
          </w14:textFill>
        </w:rPr>
        <w:tab/>
      </w:r>
      <w:r>
        <w:rPr>
          <w:rFonts w:hint="eastAsia" w:ascii="Times New Roman"/>
          <w:color w:val="000000" w:themeColor="text1"/>
          <w:kern w:val="2"/>
          <w:sz w:val="21"/>
          <w:szCs w:val="24"/>
          <w14:textFill>
            <w14:solidFill>
              <w14:schemeClr w14:val="tx1"/>
            </w14:solidFill>
          </w14:textFill>
        </w:rPr>
        <w:t>供应商在提交最终报价截止时间前，可以对所提交的最终报价进行补充、修改或者撤回，并书面通知磋商小组（须由</w:t>
      </w:r>
      <w:r>
        <w:rPr>
          <w:rFonts w:ascii="Times New Roman"/>
          <w:color w:val="000000" w:themeColor="text1"/>
          <w:kern w:val="2"/>
          <w:sz w:val="21"/>
          <w:szCs w:val="24"/>
          <w14:textFill>
            <w14:solidFill>
              <w14:schemeClr w14:val="tx1"/>
            </w14:solidFill>
          </w14:textFill>
        </w:rPr>
        <w:t>法定代表人或</w:t>
      </w:r>
      <w:r>
        <w:rPr>
          <w:rFonts w:hint="eastAsia" w:ascii="Times New Roman"/>
          <w:color w:val="000000" w:themeColor="text1"/>
          <w:kern w:val="2"/>
          <w:sz w:val="21"/>
          <w:szCs w:val="24"/>
          <w14:textFill>
            <w14:solidFill>
              <w14:schemeClr w14:val="tx1"/>
            </w14:solidFill>
          </w14:textFill>
        </w:rPr>
        <w:t>其</w:t>
      </w:r>
      <w:r>
        <w:rPr>
          <w:rFonts w:ascii="Times New Roman"/>
          <w:color w:val="000000" w:themeColor="text1"/>
          <w:kern w:val="2"/>
          <w:sz w:val="21"/>
          <w:szCs w:val="24"/>
          <w14:textFill>
            <w14:solidFill>
              <w14:schemeClr w14:val="tx1"/>
            </w14:solidFill>
          </w14:textFill>
        </w:rPr>
        <w:t>授权代表签字</w:t>
      </w:r>
      <w:r>
        <w:rPr>
          <w:rFonts w:hint="eastAsia" w:ascii="Times New Roman"/>
          <w:color w:val="000000" w:themeColor="text1"/>
          <w:kern w:val="2"/>
          <w:sz w:val="21"/>
          <w:szCs w:val="24"/>
          <w14:textFill>
            <w14:solidFill>
              <w14:schemeClr w14:val="tx1"/>
            </w14:solidFill>
          </w14:textFill>
        </w:rPr>
        <w:t>，</w:t>
      </w:r>
      <w:r>
        <w:rPr>
          <w:rFonts w:ascii="Times New Roman"/>
          <w:color w:val="000000" w:themeColor="text1"/>
          <w:kern w:val="2"/>
          <w:sz w:val="21"/>
          <w:szCs w:val="24"/>
          <w14:textFill>
            <w14:solidFill>
              <w14:schemeClr w14:val="tx1"/>
            </w14:solidFill>
          </w14:textFill>
        </w:rPr>
        <w:t>或者加盖公章</w:t>
      </w:r>
      <w:r>
        <w:rPr>
          <w:rFonts w:hint="eastAsia" w:ascii="Times New Roman"/>
          <w:color w:val="000000" w:themeColor="text1"/>
          <w:kern w:val="2"/>
          <w:sz w:val="21"/>
          <w:szCs w:val="24"/>
          <w14:textFill>
            <w14:solidFill>
              <w14:schemeClr w14:val="tx1"/>
            </w14:solidFill>
          </w14:textFill>
        </w:rPr>
        <w:t>）。补充、修改的内容作为最终报价的组成部分，如不一致，以补充、修改的内容为准。在提交最终报价截止期之后，供应商不得对其最终报价做任何补充、修改或撤回。</w:t>
      </w:r>
    </w:p>
    <w:p>
      <w:pPr>
        <w:spacing w:line="360" w:lineRule="auto"/>
        <w:ind w:left="840" w:hanging="840" w:hangingChars="400"/>
        <w:rPr>
          <w:color w:val="000000" w:themeColor="text1"/>
          <w14:textFill>
            <w14:solidFill>
              <w14:schemeClr w14:val="tx1"/>
            </w14:solidFill>
          </w14:textFill>
        </w:rPr>
      </w:pPr>
      <w:r>
        <w:rPr>
          <w:rFonts w:hint="eastAsia"/>
          <w:color w:val="000000" w:themeColor="text1"/>
          <w14:textFill>
            <w14:solidFill>
              <w14:schemeClr w14:val="tx1"/>
            </w14:solidFill>
          </w14:textFill>
        </w:rPr>
        <w:t>20.6</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已提交响应文件的供应商，在提交最终报价之前，可以根据磋商情况退出磋商，向磋商小组提出书面退出声明（须由</w:t>
      </w:r>
      <w:r>
        <w:rPr>
          <w:color w:val="000000" w:themeColor="text1"/>
          <w14:textFill>
            <w14:solidFill>
              <w14:schemeClr w14:val="tx1"/>
            </w14:solidFill>
          </w14:textFill>
        </w:rPr>
        <w:t>法定代表人或授权代表签字或者加盖公章</w:t>
      </w:r>
      <w:r>
        <w:rPr>
          <w:rFonts w:hint="eastAsia"/>
          <w:color w:val="000000" w:themeColor="text1"/>
          <w14:textFill>
            <w14:solidFill>
              <w14:schemeClr w14:val="tx1"/>
            </w14:solidFill>
          </w14:textFill>
        </w:rPr>
        <w:t>），不再进入下一程序。采购单位应当退还该供应商的磋商保证金。</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03" w:name="_Toc277942489"/>
      <w:bookmarkStart w:id="304" w:name="_Toc133916674"/>
      <w:bookmarkStart w:id="305" w:name="_Toc139531393"/>
      <w:bookmarkStart w:id="306" w:name="_Toc133737800"/>
      <w:bookmarkStart w:id="307" w:name="_Toc427315039"/>
      <w:bookmarkStart w:id="308" w:name="_Toc155238611"/>
      <w:bookmarkStart w:id="309" w:name="_Toc67860227"/>
      <w:bookmarkStart w:id="310" w:name="_Toc529733192"/>
      <w:bookmarkStart w:id="311" w:name="_Toc133737889"/>
      <w:bookmarkStart w:id="312" w:name="_Toc438203860"/>
      <w:bookmarkStart w:id="313" w:name="_Toc277153114"/>
      <w:r>
        <w:rPr>
          <w:rFonts w:hint="eastAsia" w:ascii="Times New Roman"/>
          <w:color w:val="000000" w:themeColor="text1"/>
          <w:sz w:val="21"/>
          <w:u w:val="none"/>
          <w14:textFill>
            <w14:solidFill>
              <w14:schemeClr w14:val="tx1"/>
            </w14:solidFill>
          </w14:textFill>
        </w:rPr>
        <w:t>21</w:t>
      </w:r>
      <w:r>
        <w:rPr>
          <w:rFonts w:ascii="Times New Roman"/>
          <w:color w:val="000000" w:themeColor="text1"/>
          <w:sz w:val="21"/>
          <w:u w:val="none"/>
          <w14:textFill>
            <w14:solidFill>
              <w14:schemeClr w14:val="tx1"/>
            </w14:solidFill>
          </w14:textFill>
        </w:rPr>
        <w:t>.</w:t>
      </w:r>
      <w:r>
        <w:rPr>
          <w:rFonts w:hint="eastAsia" w:ascii="Times New Roman"/>
          <w:color w:val="000000" w:themeColor="text1"/>
          <w:sz w:val="21"/>
          <w:u w:val="none"/>
          <w14:textFill>
            <w14:solidFill>
              <w14:schemeClr w14:val="tx1"/>
            </w14:solidFill>
          </w14:textFill>
        </w:rPr>
        <w:tab/>
      </w:r>
      <w:bookmarkEnd w:id="294"/>
      <w:r>
        <w:rPr>
          <w:rFonts w:hint="eastAsia" w:ascii="Times New Roman"/>
          <w:color w:val="000000" w:themeColor="text1"/>
          <w:sz w:val="21"/>
          <w:u w:val="none"/>
          <w14:textFill>
            <w14:solidFill>
              <w14:schemeClr w14:val="tx1"/>
            </w14:solidFill>
          </w14:textFill>
        </w:rPr>
        <w:t>比较与评价</w:t>
      </w:r>
      <w:bookmarkEnd w:id="303"/>
      <w:bookmarkEnd w:id="304"/>
      <w:bookmarkEnd w:id="305"/>
      <w:bookmarkEnd w:id="306"/>
      <w:bookmarkEnd w:id="307"/>
      <w:bookmarkEnd w:id="308"/>
      <w:bookmarkEnd w:id="309"/>
      <w:bookmarkEnd w:id="310"/>
      <w:bookmarkEnd w:id="311"/>
      <w:bookmarkEnd w:id="312"/>
      <w:bookmarkEnd w:id="313"/>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21.1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对于按规定提交了最终报价的供应商，磋商小组会对分包（如有）依次进行评审，根据确定的评审标准和方法对其进行进一步的比较和评价。</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小组在比较和评价时，可以要求供应商对最终响应文件（含最终报价）中含义不明确、同类问题表述不一致或者明显文字和计算错误的内容等作出必要的澄清、说明或者更正。供应商的澄清、说明或者更正不得超出最终响应文件的范围或者改变最终响应文件（含最终报价）的实质性内容。</w:t>
      </w:r>
      <w:r>
        <w:rPr>
          <w:color w:val="000000" w:themeColor="text1"/>
          <w14:textFill>
            <w14:solidFill>
              <w14:schemeClr w14:val="tx1"/>
            </w14:solidFill>
          </w14:textFill>
        </w:rPr>
        <w:t>磋商小组要求供应商澄清、说明或者更正</w:t>
      </w:r>
      <w:r>
        <w:rPr>
          <w:rFonts w:hint="eastAsia"/>
          <w:color w:val="000000" w:themeColor="text1"/>
          <w14:textFill>
            <w14:solidFill>
              <w14:schemeClr w14:val="tx1"/>
            </w14:solidFill>
          </w14:textFill>
        </w:rPr>
        <w:t>最终</w:t>
      </w:r>
      <w:r>
        <w:rPr>
          <w:color w:val="000000" w:themeColor="text1"/>
          <w14:textFill>
            <w14:solidFill>
              <w14:schemeClr w14:val="tx1"/>
            </w14:solidFill>
          </w14:textFill>
        </w:rPr>
        <w:t>响应文件</w:t>
      </w:r>
      <w:r>
        <w:rPr>
          <w:rFonts w:hint="eastAsia"/>
          <w:color w:val="000000" w:themeColor="text1"/>
          <w14:textFill>
            <w14:solidFill>
              <w14:schemeClr w14:val="tx1"/>
            </w14:solidFill>
          </w14:textFill>
        </w:rPr>
        <w:t>（含最终报价）</w:t>
      </w:r>
      <w:r>
        <w:rPr>
          <w:color w:val="000000" w:themeColor="text1"/>
          <w14:textFill>
            <w14:solidFill>
              <w14:schemeClr w14:val="tx1"/>
            </w14:solidFill>
          </w14:textFill>
        </w:rPr>
        <w:t>应当以书面形式作出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供应商的澄清、说明或者更正应当由法定代表人或其授权代表签字或者加盖公章。</w:t>
      </w:r>
      <w:r>
        <w:rPr>
          <w:rFonts w:hint="eastAsia"/>
          <w:color w:val="000000" w:themeColor="text1"/>
          <w14:textFill>
            <w14:solidFill>
              <w14:schemeClr w14:val="tx1"/>
            </w14:solidFill>
          </w14:textFill>
        </w:rPr>
        <w:t>该澄清文件将作为最终响应文件（含最终报价）内容的一部分。</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1.3</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最终报价的算术错误将按以下方法更正：</w:t>
      </w:r>
      <w:r>
        <w:rPr>
          <w:rFonts w:ascii="inherit" w:hAnsi="inherit"/>
          <w:color w:val="000000" w:themeColor="text1"/>
          <w14:textFill>
            <w14:solidFill>
              <w14:schemeClr w14:val="tx1"/>
            </w14:solidFill>
          </w14:textFill>
        </w:rPr>
        <w:t>大写金额和小写金额不一致的，以大写金额为准；单价金额小数点或者百分比有明显错位的，以总价为准，并修改单价；总价金额与按单价汇总金额不一致的，以单价金额计算结果为准。</w:t>
      </w:r>
      <w:r>
        <w:rPr>
          <w:rFonts w:hint="eastAsia"/>
          <w:color w:val="000000" w:themeColor="text1"/>
          <w14:textFill>
            <w14:solidFill>
              <w14:schemeClr w14:val="tx1"/>
            </w14:solidFill>
          </w14:textFill>
        </w:rPr>
        <w:t>如果供应商不接受对其算术错误的更正，其响应视为无效。</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评审严格按照磋商文件的要求和条件进行。比较报价，同时考虑以下因素：</w:t>
      </w:r>
    </w:p>
    <w:p>
      <w:pPr>
        <w:numPr>
          <w:ilvl w:val="0"/>
          <w:numId w:val="7"/>
        </w:numPr>
        <w:spacing w:before="120" w:line="360" w:lineRule="auto"/>
        <w:ind w:left="1622"/>
        <w:rPr>
          <w:color w:val="000000" w:themeColor="text1"/>
          <w14:textFill>
            <w14:solidFill>
              <w14:schemeClr w14:val="tx1"/>
            </w14:solidFill>
          </w14:textFill>
        </w:rPr>
      </w:pPr>
      <w:r>
        <w:rPr>
          <w:rFonts w:hint="eastAsia"/>
          <w:color w:val="000000" w:themeColor="text1"/>
          <w14:textFill>
            <w14:solidFill>
              <w14:schemeClr w14:val="tx1"/>
            </w14:solidFill>
          </w14:textFill>
        </w:rPr>
        <w:t>供应商的实力、资信和信誉等；</w:t>
      </w:r>
    </w:p>
    <w:p>
      <w:pPr>
        <w:numPr>
          <w:ilvl w:val="0"/>
          <w:numId w:val="7"/>
        </w:numPr>
        <w:spacing w:before="120" w:line="360" w:lineRule="auto"/>
        <w:ind w:left="1622"/>
        <w:rPr>
          <w:color w:val="000000" w:themeColor="text1"/>
          <w14:textFill>
            <w14:solidFill>
              <w14:schemeClr w14:val="tx1"/>
            </w14:solidFill>
          </w14:textFill>
        </w:rPr>
      </w:pPr>
      <w:r>
        <w:rPr>
          <w:rFonts w:hint="eastAsia"/>
          <w:color w:val="000000" w:themeColor="text1"/>
          <w14:textFill>
            <w14:solidFill>
              <w14:schemeClr w14:val="tx1"/>
            </w14:solidFill>
          </w14:textFill>
        </w:rPr>
        <w:t>技术参数的响应情况；</w:t>
      </w:r>
    </w:p>
    <w:p>
      <w:pPr>
        <w:numPr>
          <w:ilvl w:val="0"/>
          <w:numId w:val="7"/>
        </w:numPr>
        <w:spacing w:before="120" w:line="360" w:lineRule="auto"/>
        <w:ind w:left="1622"/>
        <w:rPr>
          <w:color w:val="000000" w:themeColor="text1"/>
          <w14:textFill>
            <w14:solidFill>
              <w14:schemeClr w14:val="tx1"/>
            </w14:solidFill>
          </w14:textFill>
        </w:rPr>
      </w:pPr>
      <w:r>
        <w:rPr>
          <w:rFonts w:hint="eastAsia"/>
          <w:color w:val="000000" w:themeColor="text1"/>
          <w14:textFill>
            <w14:solidFill>
              <w14:schemeClr w14:val="tx1"/>
            </w14:solidFill>
          </w14:textFill>
        </w:rPr>
        <w:t>技术服务和技术培训方案；</w:t>
      </w:r>
    </w:p>
    <w:p>
      <w:pPr>
        <w:numPr>
          <w:ilvl w:val="0"/>
          <w:numId w:val="7"/>
        </w:numPr>
        <w:spacing w:before="120" w:after="120" w:afterLines="50" w:line="360" w:lineRule="auto"/>
        <w:ind w:left="1622"/>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磋商小组认为必要的其它因素。</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根据实际情况，采用下列评审方法：</w:t>
      </w:r>
    </w:p>
    <w:p>
      <w:pPr>
        <w:pStyle w:val="20"/>
        <w:spacing w:line="360" w:lineRule="auto"/>
        <w:ind w:left="420" w:leftChars="200" w:firstLine="420" w:firstLineChars="200"/>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综合评分法：即指在最大限度地满足磋商文件实质性要求的前提下，按照最终磋商响应文件中规定的各项因素的量化指标按包进行综合评审后，</w:t>
      </w:r>
      <w:r>
        <w:rPr>
          <w:rFonts w:hint="eastAsia" w:ascii="Times New Roman" w:hAnsi="Times New Roman"/>
          <w:b/>
          <w:color w:val="000000" w:themeColor="text1"/>
          <w14:textFill>
            <w14:solidFill>
              <w14:schemeClr w14:val="tx1"/>
            </w14:solidFill>
          </w14:textFill>
        </w:rPr>
        <w:t>每包按评审总得分高低顺序推荐前3家供应商作为该项目成交候选供应商的评审方法</w:t>
      </w:r>
      <w:r>
        <w:rPr>
          <w:rFonts w:hint="eastAsia" w:ascii="Times New Roman" w:hAnsi="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本项目提交响应文件供应商只有</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家时，推荐前</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家供应商</w:t>
      </w:r>
      <w:r>
        <w:rPr>
          <w:rFonts w:hint="eastAsia" w:ascii="Times New Roman" w:hAnsi="Times New Roman"/>
          <w:color w:val="000000" w:themeColor="text1"/>
          <w14:textFill>
            <w14:solidFill>
              <w14:schemeClr w14:val="tx1"/>
            </w14:solidFill>
          </w14:textFill>
        </w:rPr>
        <w:t>）。磋商小组所有成员对各供应商进行独立打分，所有评委对同一供应商打分的算数平均值为该供应商该包的最终得分（全部打分保留小数点二位，第三位四舍五入）。具体</w:t>
      </w:r>
      <w:r>
        <w:rPr>
          <w:rFonts w:hint="eastAsia"/>
          <w:color w:val="000000" w:themeColor="text1"/>
          <w14:textFill>
            <w14:solidFill>
              <w14:schemeClr w14:val="tx1"/>
            </w14:solidFill>
          </w14:textFill>
        </w:rPr>
        <w:t>评分因素、分值和评分标准如下：</w:t>
      </w:r>
    </w:p>
    <w:p>
      <w:pPr>
        <w:pStyle w:val="20"/>
        <w:spacing w:line="360" w:lineRule="auto"/>
        <w:ind w:left="420" w:leftChars="20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评审标准：</w:t>
      </w:r>
      <w:r>
        <w:rPr>
          <w:color w:val="000000" w:themeColor="text1"/>
          <w14:textFill>
            <w14:solidFill>
              <w14:schemeClr w14:val="tx1"/>
            </w14:solidFill>
          </w14:textFill>
        </w:rPr>
        <w:t xml:space="preserve"> </w:t>
      </w:r>
    </w:p>
    <w:tbl>
      <w:tblPr>
        <w:tblStyle w:val="3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1272"/>
        <w:gridCol w:w="6946"/>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bookmarkStart w:id="314" w:name="_Toc520356168"/>
            <w:bookmarkStart w:id="315" w:name="_Toc155238612"/>
            <w:bookmarkStart w:id="316" w:name="_Toc133737801"/>
            <w:bookmarkStart w:id="317" w:name="_Toc133916675"/>
            <w:bookmarkStart w:id="318" w:name="_Toc133737890"/>
            <w:bookmarkStart w:id="319" w:name="_Toc277942490"/>
            <w:bookmarkStart w:id="320" w:name="_Toc277153115"/>
            <w:r>
              <w:rPr>
                <w:rFonts w:hint="eastAsia" w:ascii="宋体" w:hAnsi="宋体"/>
                <w:b/>
                <w:color w:val="000000" w:themeColor="text1"/>
                <w:szCs w:val="21"/>
                <w14:textFill>
                  <w14:solidFill>
                    <w14:schemeClr w14:val="tx1"/>
                  </w14:solidFill>
                </w14:textFill>
              </w:rPr>
              <w:t>序号</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评分因素</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评分说明</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2"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磋商报价</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满足磋商文件要求且最后报价最低的供应商的价格为磋商基准价，其价格分为满分</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0分。其他供应商的价格分统一按照下列公式计算：</w:t>
            </w:r>
          </w:p>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磋商报价得分=(磋商基准价／最后磋商报价)×</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0%×</w:t>
            </w:r>
            <w:r>
              <w:rPr>
                <w:rFonts w:ascii="宋体" w:hAnsi="宋体"/>
                <w:color w:val="000000" w:themeColor="text1"/>
                <w:szCs w:val="21"/>
                <w14:textFill>
                  <w14:solidFill>
                    <w14:schemeClr w14:val="tx1"/>
                  </w14:solidFill>
                </w14:textFill>
              </w:rPr>
              <w:t>100</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w:t>
            </w:r>
            <w:r>
              <w:rPr>
                <w:rFonts w:ascii="宋体" w:hAnsi="宋体"/>
                <w:b/>
                <w:color w:val="000000" w:themeColor="text1"/>
                <w:szCs w:val="21"/>
                <w14:textFill>
                  <w14:solidFill>
                    <w14:schemeClr w14:val="tx1"/>
                  </w14:solidFill>
                </w14:textFill>
              </w:rPr>
              <w:t>3</w:t>
            </w:r>
            <w:r>
              <w:rPr>
                <w:rFonts w:hint="eastAsia" w:ascii="宋体" w:hAnsi="宋体"/>
                <w:b/>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相关业绩</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供应商提供（自2</w:t>
            </w:r>
            <w:r>
              <w:rPr>
                <w:rFonts w:ascii="宋体" w:hAnsi="宋体"/>
                <w:color w:val="000000" w:themeColor="text1"/>
                <w:szCs w:val="21"/>
                <w14:textFill>
                  <w14:solidFill>
                    <w14:schemeClr w14:val="tx1"/>
                  </w14:solidFill>
                </w14:textFill>
              </w:rPr>
              <w:t>020</w:t>
            </w:r>
            <w:r>
              <w:rPr>
                <w:rFonts w:hint="eastAsia" w:ascii="宋体" w:hAnsi="宋体"/>
                <w:color w:val="000000" w:themeColor="text1"/>
                <w:szCs w:val="21"/>
                <w14:textFill>
                  <w14:solidFill>
                    <w14:schemeClr w14:val="tx1"/>
                  </w14:solidFill>
                </w14:textFill>
              </w:rPr>
              <w:t>年0</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月0</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日至本项目发出磋商公告之日止，以签订日期为准）类似项目业绩。每提供一个有效业绩得1分，满分5分。</w:t>
            </w:r>
          </w:p>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（注：须至少提供甲已双方信息页、金额页、双方签字盖章页并加盖供应商公章，</w:t>
            </w:r>
            <w:r>
              <w:rPr>
                <w:rFonts w:hint="eastAsia" w:ascii="宋体" w:hAnsi="宋体"/>
                <w:color w:val="000000"/>
                <w:szCs w:val="21"/>
              </w:rPr>
              <w:t>否则不得分</w:t>
            </w:r>
            <w:r>
              <w:rPr>
                <w:rFonts w:hint="eastAsia" w:ascii="宋体" w:hAnsi="宋体"/>
                <w:color w:val="000000" w:themeColor="text1"/>
                <w:szCs w:val="21"/>
                <w14:textFill>
                  <w14:solidFill>
                    <w14:schemeClr w14:val="tx1"/>
                  </w14:solidFill>
                </w14:textFill>
              </w:rPr>
              <w:t>。）</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bCs/>
                <w:color w:val="000000" w:themeColor="text1"/>
                <w:szCs w:val="21"/>
                <w14:textFill>
                  <w14:solidFill>
                    <w14:schemeClr w14:val="tx1"/>
                  </w14:solidFill>
                </w14:textFill>
              </w:rPr>
            </w:pPr>
            <w:r>
              <w:rPr>
                <w:rFonts w:hint="eastAsia" w:ascii="宋体" w:hAnsi="宋体"/>
                <w:b/>
                <w:bCs/>
                <w:color w:val="000000"/>
                <w:szCs w:val="21"/>
              </w:rPr>
              <w:t>需求响应</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供应商对磋商文件（第六章）技术需求的响应情况全部满足的得</w:t>
            </w:r>
            <w:r>
              <w:rPr>
                <w:rFonts w:ascii="宋体" w:hAnsi="宋体"/>
                <w:color w:val="000000" w:themeColor="text1"/>
                <w:szCs w:val="21"/>
                <w14:textFill>
                  <w14:solidFill>
                    <w14:schemeClr w14:val="tx1"/>
                  </w14:solidFill>
                </w14:textFill>
              </w:rPr>
              <w:t>17</w:t>
            </w:r>
            <w:r>
              <w:rPr>
                <w:rFonts w:hint="eastAsia" w:ascii="宋体" w:hAnsi="宋体"/>
                <w:color w:val="000000" w:themeColor="text1"/>
                <w:szCs w:val="21"/>
                <w14:textFill>
                  <w14:solidFill>
                    <w14:schemeClr w14:val="tx1"/>
                  </w14:solidFill>
                </w14:textFill>
              </w:rPr>
              <w:t>分，每有一项负偏离扣</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分，扣完为止。</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0</w:t>
            </w:r>
            <w:r>
              <w:rPr>
                <w:rFonts w:hint="eastAsia" w:ascii="宋体" w:hAnsi="宋体"/>
                <w:b/>
                <w:color w:val="000000" w:themeColor="text1"/>
                <w:szCs w:val="21"/>
                <w14:textFill>
                  <w14:solidFill>
                    <w14:schemeClr w14:val="tx1"/>
                  </w14:solidFill>
                </w14:textFill>
              </w:rPr>
              <w:t>-</w:t>
            </w:r>
            <w:r>
              <w:rPr>
                <w:rFonts w:ascii="宋体" w:hAnsi="宋体"/>
                <w:b/>
                <w:color w:val="000000" w:themeColor="text1"/>
                <w:szCs w:val="21"/>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bCs/>
                <w:color w:val="000000"/>
                <w:szCs w:val="21"/>
              </w:rPr>
            </w:pPr>
            <w:r>
              <w:rPr>
                <w:rFonts w:hint="eastAsia" w:ascii="宋体" w:hAnsi="宋体"/>
                <w:b/>
                <w:bCs/>
                <w:color w:val="000000"/>
                <w:szCs w:val="21"/>
              </w:rPr>
              <w:t>项目服务人员</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各项任务配备专门的技术人员，团队的人员构成合理、组织机构全面、人员数量充足、经验丰富，完全满足得5分；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各项任务配备专门的技术人员，团队的人员构成较合理、组织机构较全面、人员数量较充足、经验较丰富，基本满足得</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各项任务配备了技术人员，团队的人员构成欠合理、数量能满足项目需求、经验较丰富，得</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没有为各项任务需配备专门的技术人员，但基本能满足项目需求得1分；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未提供项目团队成员说明或不能满足项目需求的不得分。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（上述人员须提供工作履历等证明材料复印件并加盖投标人公章）</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5</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8"/>
              <w:spacing w:after="0" w:line="276" w:lineRule="auto"/>
              <w:ind w:left="0" w:leftChars="0" w:firstLine="0" w:firstLineChars="0"/>
              <w:jc w:val="center"/>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整体技术方案</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针对招标文件第六章应答整体技术方案完整且详细的得1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针对招标文件第六章应答整体技术方案较完整的得</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针对招标文件第六章应答整体技术方案有欠缺的得</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针对招标文件第六章未应答整体技术方案的得0分；</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0-1</w:t>
            </w:r>
            <w:r>
              <w:rPr>
                <w:rFonts w:ascii="宋体" w:hAnsi="宋体"/>
                <w:b/>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6</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bCs/>
                <w:color w:val="000000"/>
                <w:szCs w:val="21"/>
              </w:rPr>
            </w:pPr>
            <w:r>
              <w:rPr>
                <w:rFonts w:hint="eastAsia" w:ascii="宋体" w:hAnsi="宋体"/>
                <w:b/>
                <w:bCs/>
                <w:color w:val="000000"/>
                <w:szCs w:val="21"/>
              </w:rPr>
              <w:t>质量保证措施</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（1）质量保障措施合理、内容完整得6分；质量保障措施相对合理、内容较完整得</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分；质量保障措施不合理、内容欠缺得</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分，不提供得0分。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（2）质量保障措施实施性全面得5分；实施性有欠缺得</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分；实施性严重不足得1分，不提供得0分。</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0</w:t>
            </w:r>
            <w:r>
              <w:rPr>
                <w:rFonts w:hint="eastAsia" w:ascii="宋体" w:hAnsi="宋体"/>
                <w:b/>
                <w:color w:val="000000" w:themeColor="text1"/>
                <w:szCs w:val="21"/>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7</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bCs/>
                <w:color w:val="000000"/>
                <w:szCs w:val="21"/>
              </w:rPr>
            </w:pPr>
            <w:r>
              <w:rPr>
                <w:rFonts w:hint="eastAsia" w:ascii="宋体" w:hAnsi="宋体"/>
                <w:b/>
                <w:bCs/>
                <w:color w:val="000000"/>
                <w:szCs w:val="21"/>
              </w:rPr>
              <w:t>进度保证措施</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（1）进度保证措施合理、内容完整得3分；进度保证措施相对合理、内容较完整得1分；进度保证措施不合理、内容欠缺不得分。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（2）进度保证措施实施性全面得</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分；实施性有欠缺得1分；实施性严重不足不得分。</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w:t>
            </w:r>
            <w:r>
              <w:rPr>
                <w:rFonts w:ascii="宋体" w:hAnsi="宋体"/>
                <w:b/>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8</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bCs/>
                <w:color w:val="000000"/>
                <w:szCs w:val="21"/>
              </w:rPr>
            </w:pPr>
            <w:r>
              <w:rPr>
                <w:rFonts w:hint="eastAsia" w:ascii="宋体" w:hAnsi="宋体"/>
                <w:b/>
                <w:bCs/>
                <w:color w:val="000000"/>
                <w:szCs w:val="21"/>
              </w:rPr>
              <w:t>售后服务要求</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售后服务要求响应程度完全满足采购需求，服务计划完整，得</w:t>
            </w: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售后服务要求响应程度满足基本采购需求，服务计划基本完整，得</w:t>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售后服务要求响应程度存在不足，服务计划有欠缺，得</w:t>
            </w: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分；</w:t>
            </w:r>
          </w:p>
          <w:p>
            <w:pPr>
              <w:pStyle w:val="38"/>
              <w:spacing w:after="0" w:line="276" w:lineRule="auto"/>
              <w:ind w:left="0" w:leftChars="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未提供服务方案不得分。</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0</w:t>
            </w:r>
            <w:r>
              <w:rPr>
                <w:rFonts w:hint="eastAsia" w:ascii="宋体" w:hAnsi="宋体"/>
                <w:b/>
                <w:color w:val="000000" w:themeColor="text1"/>
                <w:szCs w:val="21"/>
                <w14:textFill>
                  <w14:solidFill>
                    <w14:schemeClr w14:val="tx1"/>
                  </w14:solidFill>
                </w14:textFill>
              </w:rPr>
              <w:t>-</w:t>
            </w:r>
            <w:r>
              <w:rPr>
                <w:rFonts w:ascii="宋体" w:hAnsi="宋体"/>
                <w:b/>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bCs/>
                <w:color w:val="000000"/>
                <w:szCs w:val="21"/>
              </w:rPr>
            </w:pPr>
            <w:r>
              <w:rPr>
                <w:rFonts w:ascii="宋体" w:hAnsi="宋体"/>
                <w:b/>
                <w:bCs/>
                <w:color w:val="000000"/>
                <w:szCs w:val="21"/>
              </w:rPr>
              <w:t>10</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bCs/>
                <w:color w:val="000000"/>
                <w:szCs w:val="21"/>
              </w:rPr>
            </w:pPr>
            <w:r>
              <w:rPr>
                <w:rFonts w:hint="eastAsia" w:ascii="宋体" w:hAnsi="宋体"/>
                <w:b/>
                <w:bCs/>
                <w:color w:val="000000"/>
                <w:szCs w:val="21"/>
              </w:rPr>
              <w:t>故障应急方案</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故障措施及应急处理方案完整合理、优越，能完全满足采购人的需求，得</w:t>
            </w: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分；</w:t>
            </w:r>
          </w:p>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故障措施及应急处理方案基本合理、对采购人有利，基本满足采购人的需求，得</w:t>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分；</w:t>
            </w:r>
          </w:p>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故障措施及应急处理方案合理性一般，不满足采购人需求性差，得</w:t>
            </w:r>
            <w:r>
              <w:rPr>
                <w:rFonts w:hint="eastAsia" w:ascii="宋体" w:hAnsi="宋体"/>
                <w:color w:val="000000" w:themeColor="text1"/>
                <w:szCs w:val="21"/>
                <w:lang w:val="en-US" w:eastAsia="zh-CN"/>
                <w14:textFill>
                  <w14:solidFill>
                    <w14:schemeClr w14:val="tx1"/>
                  </w14:solidFill>
                </w14:textFill>
              </w:rPr>
              <w:t>2</w:t>
            </w:r>
            <w:bookmarkStart w:id="569" w:name="_GoBack"/>
            <w:bookmarkEnd w:id="569"/>
            <w:r>
              <w:rPr>
                <w:rFonts w:hint="eastAsia" w:ascii="宋体" w:hAnsi="宋体"/>
                <w:color w:val="000000" w:themeColor="text1"/>
                <w:szCs w:val="21"/>
                <w14:textFill>
                  <w14:solidFill>
                    <w14:schemeClr w14:val="tx1"/>
                  </w14:solidFill>
                </w14:textFill>
              </w:rPr>
              <w:t>分；</w:t>
            </w:r>
          </w:p>
          <w:p>
            <w:pPr>
              <w:suppressAutoHyphens/>
              <w:autoSpaceDN w:val="0"/>
              <w:spacing w:line="276" w:lineRule="auto"/>
              <w:textAlignment w:val="baseline"/>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此项未提供不得分。</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w:t>
            </w:r>
            <w:r>
              <w:rPr>
                <w:rFonts w:ascii="宋体" w:hAnsi="宋体"/>
                <w:b/>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11</w:t>
            </w:r>
          </w:p>
        </w:tc>
        <w:tc>
          <w:tcPr>
            <w:tcW w:w="127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uppressAutoHyphens/>
              <w:autoSpaceDN w:val="0"/>
              <w:spacing w:line="276" w:lineRule="auto"/>
              <w:jc w:val="center"/>
              <w:textAlignment w:val="baseline"/>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节能环保</w:t>
            </w:r>
          </w:p>
        </w:tc>
        <w:tc>
          <w:tcPr>
            <w:tcW w:w="69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1、供应商提供产品列入“节能产品政府采购品目清单”中规定优先采购产品的，每提供一份得0.5分，最多得1分，不提供不得分。</w:t>
            </w:r>
          </w:p>
          <w:p>
            <w:pPr>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2、供应商提供产品列入“环境标志产品政府采购品目清单”中，属于优先采购的环保产品的，每提供一份得0.5分，最多得1分，不提供不得分。</w:t>
            </w:r>
          </w:p>
          <w:p>
            <w:pPr>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详见说明2</w:t>
            </w:r>
          </w:p>
        </w:tc>
        <w:tc>
          <w:tcPr>
            <w:tcW w:w="539" w:type="dxa"/>
            <w:tcBorders>
              <w:top w:val="single" w:color="auto" w:sz="4" w:space="0"/>
              <w:left w:val="single" w:color="auto" w:sz="4" w:space="0"/>
              <w:bottom w:val="single" w:color="auto" w:sz="4" w:space="0"/>
              <w:right w:val="single" w:color="auto" w:sz="4" w:space="0"/>
            </w:tcBorders>
            <w:vAlign w:val="center"/>
          </w:tcPr>
          <w:p>
            <w:pPr>
              <w:suppressAutoHyphens/>
              <w:autoSpaceDN w:val="0"/>
              <w:spacing w:line="276" w:lineRule="auto"/>
              <w:ind w:leftChars="-1" w:hanging="2" w:hangingChars="1"/>
              <w:jc w:val="center"/>
              <w:textAlignment w:val="baseline"/>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w:t>
            </w:r>
            <w:r>
              <w:rPr>
                <w:rFonts w:ascii="宋体" w:hAnsi="宋体"/>
                <w:b/>
                <w:color w:val="000000" w:themeColor="text1"/>
                <w:szCs w:val="21"/>
                <w14:textFill>
                  <w14:solidFill>
                    <w14:schemeClr w14:val="tx1"/>
                  </w14:solidFill>
                </w14:textFill>
              </w:rPr>
              <w:t>2</w:t>
            </w:r>
          </w:p>
        </w:tc>
      </w:tr>
    </w:tbl>
    <w:p>
      <w:pPr>
        <w:pStyle w:val="20"/>
        <w:tabs>
          <w:tab w:val="left" w:pos="1275"/>
          <w:tab w:val="left" w:pos="1440"/>
          <w:tab w:val="left" w:pos="1620"/>
        </w:tabs>
        <w:spacing w:line="360" w:lineRule="auto"/>
        <w:ind w:firstLine="945" w:firstLineChars="450"/>
        <w:rPr>
          <w:color w:val="000000" w:themeColor="text1"/>
          <w14:textFill>
            <w14:solidFill>
              <w14:schemeClr w14:val="tx1"/>
            </w14:solidFill>
          </w14:textFill>
        </w:rPr>
      </w:pPr>
      <w:r>
        <w:rPr>
          <w:rFonts w:hint="eastAsia"/>
          <w:color w:val="000000" w:themeColor="text1"/>
          <w14:textFill>
            <w14:solidFill>
              <w14:schemeClr w14:val="tx1"/>
            </w14:solidFill>
          </w14:textFill>
        </w:rPr>
        <w:t>说明1：</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根据《政府采购促进中小企业发展管理办法》（财库﹝2020﹞46 号）和《工业和信息化部、国家统计局、国家发展和改革委员会、财政部关于印发中小企业划型标准规定的通知》（工信部联企业[2011]300号）的有关规定及划分标准，如采购的货物及服务全部由符合政策要求的小微企业制造及承接，则对投标人（供应商）的报价给予</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的扣除作为评标（评审）价。其它形式下，投标人（供应商）的报价即为其评标（评审）价。符合中小企业扶持政策的投标人（供应商）参加采购活动须提供文件规定的“中小企业声明函（货物、服务）”，否则不考虑价格扣除。</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注1：监狱企业视同小型、微型企业，监狱企业须提供由省级以上监狱管理局、戒毒管理局（含新疆生产建设兵团）出具的属于监狱企业的证明文件复印件，否则不考虑价格扣除。</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注2：残疾人福利性单位视同小型、微型企业，残疾人福利性单位须提供“残疾人福利性单位声明函”，否则不考虑价格扣除。</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注3：如果同时为小微企业、监狱企业、残疾人福利性单位或其中的两种企业（单位），不重复进行价格扣除。</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注4：符合小微企业划分标准的个体工商户，视同小微企业。</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注5：联合体各方均为小微企业，联合体视同小微企业。</w:t>
      </w:r>
    </w:p>
    <w:p>
      <w:pPr>
        <w:pStyle w:val="20"/>
        <w:tabs>
          <w:tab w:val="left" w:pos="1275"/>
          <w:tab w:val="left" w:pos="1440"/>
          <w:tab w:val="left" w:pos="1620"/>
        </w:tabs>
        <w:spacing w:line="360" w:lineRule="auto"/>
        <w:ind w:left="1077" w:leftChars="51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注6：本项目专门面向中小企业采购，不涉及价格扣除。</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说明2：节能产品、环境标志产品</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依据《财政部 发展改革委 生态环境部 市场监管总局 关于调整优化节能产品、环境标志产品政府采购执行机制的通知》（财库〔2019〕9号）的规定，节能产品、环境标志产品依据国家有关主管部门发布的品目清单和认证证书实施政府优先采购和强制采购。本项目拟采购的产品属于品目清单范围的，在评审时将依据国家确定的认证机构出具的、处于有效期之内的节能产品、环境标志产品认证证书，对获得证书的产品实施政府优先采购或强制采购。</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1.如采购的产品属于强制采购的，投标人必须为投标产品出具由国家确定的认证机构出具的、处于有效期之内的认证证书，否则其投标将被视为无效投标。</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2.如采购的产品属于优先采购的，投标人可以为投标产品出具由国家确定的认证机构出具的、处于有效期之内的认证证书，在评审时作加分因素，不做资格证明材料。</w:t>
      </w:r>
    </w:p>
    <w:p>
      <w:pPr>
        <w:pStyle w:val="20"/>
        <w:tabs>
          <w:tab w:val="left" w:pos="1275"/>
          <w:tab w:val="left" w:pos="1440"/>
          <w:tab w:val="left" w:pos="1620"/>
        </w:tabs>
        <w:spacing w:line="360" w:lineRule="auto"/>
        <w:ind w:left="1077" w:leftChars="513"/>
        <w:rPr>
          <w:color w:val="000000" w:themeColor="text1"/>
          <w14:textFill>
            <w14:solidFill>
              <w14:schemeClr w14:val="tx1"/>
            </w14:solidFill>
          </w14:textFill>
        </w:rPr>
      </w:pPr>
      <w:r>
        <w:rPr>
          <w:rFonts w:hint="eastAsia"/>
          <w:color w:val="000000" w:themeColor="text1"/>
          <w14:textFill>
            <w14:solidFill>
              <w14:schemeClr w14:val="tx1"/>
            </w14:solidFill>
          </w14:textFill>
        </w:rPr>
        <w:t>3.节能产品政府采购品目清单及环境标志产品政府采购品目清单，可在“中国政府采购网”相关栏目中查询并在上述所附证书前书写清晰归属分类。</w:t>
      </w:r>
    </w:p>
    <w:p>
      <w:pPr>
        <w:pStyle w:val="20"/>
        <w:spacing w:line="360" w:lineRule="auto"/>
        <w:ind w:left="630" w:hanging="630" w:hangingChars="3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1.6</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20"/>
        <w:spacing w:line="360" w:lineRule="auto"/>
        <w:ind w:left="630" w:hanging="630" w:hangingChars="300"/>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1.7</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除资格性检查认定错误、分值汇总计算错误、分项评分超出评分评审范围、客观分评分不一致、经磋商小组一致认定评分畸高、畸低的情形外，采购单位不得以任何理由组织重新评审。采购单位发现磋商小组未按照磋商文件的规定进行评审的，应当重新开展采购活动，并同时书面报告财政主管部门。</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21" w:name="_Toc427315040"/>
      <w:bookmarkStart w:id="322" w:name="_Toc67860228"/>
      <w:bookmarkStart w:id="323" w:name="_Toc438203861"/>
      <w:bookmarkStart w:id="324" w:name="_Toc529733193"/>
      <w:bookmarkStart w:id="325" w:name="_Toc139531394"/>
      <w:r>
        <w:rPr>
          <w:rFonts w:hint="eastAsia" w:ascii="Times New Roman"/>
          <w:color w:val="000000" w:themeColor="text1"/>
          <w:sz w:val="21"/>
          <w:u w:val="none"/>
          <w14:textFill>
            <w14:solidFill>
              <w14:schemeClr w14:val="tx1"/>
            </w14:solidFill>
          </w14:textFill>
        </w:rPr>
        <w:t>22.</w:t>
      </w:r>
      <w:r>
        <w:rPr>
          <w:rFonts w:hint="eastAsia" w:ascii="Times New Roman"/>
          <w:color w:val="000000" w:themeColor="text1"/>
          <w:sz w:val="21"/>
          <w:u w:val="none"/>
          <w14:textFill>
            <w14:solidFill>
              <w14:schemeClr w14:val="tx1"/>
            </w14:solidFill>
          </w14:textFill>
        </w:rPr>
        <w:tab/>
      </w:r>
      <w:bookmarkEnd w:id="314"/>
      <w:r>
        <w:rPr>
          <w:rFonts w:hint="eastAsia" w:ascii="Times New Roman"/>
          <w:color w:val="000000" w:themeColor="text1"/>
          <w:sz w:val="21"/>
          <w:u w:val="none"/>
          <w14:textFill>
            <w14:solidFill>
              <w14:schemeClr w14:val="tx1"/>
            </w14:solidFill>
          </w14:textFill>
        </w:rPr>
        <w:t>评审过程及保密原则</w:t>
      </w:r>
      <w:bookmarkEnd w:id="315"/>
      <w:bookmarkEnd w:id="316"/>
      <w:bookmarkEnd w:id="317"/>
      <w:bookmarkEnd w:id="318"/>
      <w:bookmarkEnd w:id="319"/>
      <w:bookmarkEnd w:id="320"/>
      <w:bookmarkEnd w:id="321"/>
      <w:bookmarkEnd w:id="322"/>
      <w:bookmarkEnd w:id="323"/>
      <w:bookmarkEnd w:id="324"/>
      <w:bookmarkEnd w:id="325"/>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22.1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递交首次磋商响应文件之后，直到授予成交供应商合同止，凡与本次磋商有关人员对属于审查、澄清、核查和比较磋商响应文件的有关资料等，均不得向供应商或其他无关的人员透露。</w:t>
      </w:r>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22.2</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在磋商期间，供应商试图影响采购单位和磋商小组的任何活动，将导致其响应被拒绝，并承担相应的法律责任。</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before="120" w:line="360" w:lineRule="auto"/>
        <w:ind w:left="900" w:hanging="900"/>
        <w:rPr>
          <w:color w:val="000000" w:themeColor="text1"/>
          <w14:textFill>
            <w14:solidFill>
              <w14:schemeClr w14:val="tx1"/>
            </w14:solidFill>
          </w14:textFill>
        </w:rPr>
      </w:pP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326" w:name="_Toc520356169"/>
      <w:bookmarkStart w:id="327" w:name="_Toc133737802"/>
      <w:bookmarkStart w:id="328" w:name="_Toc133737891"/>
      <w:bookmarkStart w:id="329" w:name="_Toc133916676"/>
      <w:bookmarkStart w:id="330" w:name="_Toc67860229"/>
      <w:bookmarkStart w:id="331" w:name="_Toc427315041"/>
      <w:bookmarkStart w:id="332" w:name="_Toc529733194"/>
      <w:bookmarkStart w:id="333" w:name="_Toc438203862"/>
      <w:bookmarkStart w:id="334" w:name="_Toc139531395"/>
      <w:r>
        <w:rPr>
          <w:rFonts w:hint="eastAsia" w:ascii="Times New Roman" w:hAnsi="Times New Roman" w:eastAsia="宋体"/>
          <w:color w:val="000000" w:themeColor="text1"/>
          <w:sz w:val="28"/>
          <w14:textFill>
            <w14:solidFill>
              <w14:schemeClr w14:val="tx1"/>
            </w14:solidFill>
          </w14:textFill>
        </w:rPr>
        <w:t xml:space="preserve">六  </w:t>
      </w:r>
      <w:bookmarkEnd w:id="326"/>
      <w:r>
        <w:rPr>
          <w:rFonts w:hint="eastAsia" w:ascii="Times New Roman" w:hAnsi="Times New Roman" w:eastAsia="宋体"/>
          <w:color w:val="000000" w:themeColor="text1"/>
          <w:sz w:val="28"/>
          <w14:textFill>
            <w14:solidFill>
              <w14:schemeClr w14:val="tx1"/>
            </w14:solidFill>
          </w14:textFill>
        </w:rPr>
        <w:t>确定</w:t>
      </w:r>
      <w:bookmarkEnd w:id="327"/>
      <w:bookmarkEnd w:id="328"/>
      <w:bookmarkEnd w:id="329"/>
      <w:r>
        <w:rPr>
          <w:rFonts w:hint="eastAsia" w:ascii="Times New Roman" w:hAnsi="Times New Roman" w:eastAsia="宋体"/>
          <w:color w:val="000000" w:themeColor="text1"/>
          <w:sz w:val="28"/>
          <w14:textFill>
            <w14:solidFill>
              <w14:schemeClr w14:val="tx1"/>
            </w14:solidFill>
          </w14:textFill>
        </w:rPr>
        <w:t>成交</w:t>
      </w:r>
      <w:bookmarkEnd w:id="330"/>
      <w:bookmarkEnd w:id="331"/>
      <w:bookmarkEnd w:id="332"/>
      <w:bookmarkEnd w:id="333"/>
      <w:bookmarkEnd w:id="334"/>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35" w:name="_Toc133737892"/>
      <w:bookmarkStart w:id="336" w:name="_Toc133737803"/>
      <w:bookmarkStart w:id="337" w:name="_Toc277942492"/>
      <w:bookmarkStart w:id="338" w:name="_Toc277153117"/>
      <w:bookmarkStart w:id="339" w:name="_Toc155238614"/>
      <w:bookmarkStart w:id="340" w:name="_Toc529733195"/>
      <w:bookmarkStart w:id="341" w:name="_Toc438203863"/>
      <w:bookmarkStart w:id="342" w:name="_Toc520356170"/>
      <w:bookmarkStart w:id="343" w:name="_Toc133916677"/>
      <w:bookmarkStart w:id="344" w:name="_Ref467307010"/>
      <w:bookmarkStart w:id="345" w:name="_Toc67860230"/>
      <w:bookmarkStart w:id="346" w:name="_Toc427315042"/>
      <w:bookmarkStart w:id="347" w:name="_Toc139531396"/>
      <w:r>
        <w:rPr>
          <w:rFonts w:hint="eastAsia" w:ascii="Times New Roman"/>
          <w:color w:val="000000" w:themeColor="text1"/>
          <w:u w:val="none"/>
          <w14:textFill>
            <w14:solidFill>
              <w14:schemeClr w14:val="tx1"/>
            </w14:solidFill>
          </w14:textFill>
        </w:rPr>
        <w:t>23.</w:t>
      </w:r>
      <w:r>
        <w:rPr>
          <w:rFonts w:hint="eastAsia" w:ascii="Times New Roman"/>
          <w:color w:val="000000" w:themeColor="text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成交候选供应商的确定原则及标准</w:t>
      </w:r>
      <w:bookmarkEnd w:id="335"/>
      <w:bookmarkEnd w:id="336"/>
      <w:bookmarkEnd w:id="337"/>
      <w:bookmarkEnd w:id="338"/>
      <w:bookmarkEnd w:id="339"/>
      <w:bookmarkEnd w:id="340"/>
      <w:bookmarkEnd w:id="341"/>
      <w:bookmarkEnd w:id="342"/>
      <w:bookmarkEnd w:id="343"/>
      <w:bookmarkEnd w:id="344"/>
      <w:bookmarkEnd w:id="345"/>
      <w:bookmarkEnd w:id="346"/>
      <w:bookmarkEnd w:id="347"/>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23.1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除第25条规定外，确定实质上响应磋商文件且满足下列条件者为该包成交候选供应商。</w:t>
      </w:r>
    </w:p>
    <w:p>
      <w:pPr>
        <w:spacing w:before="120" w:line="360" w:lineRule="auto"/>
        <w:ind w:left="897"/>
        <w:rPr>
          <w:color w:val="000000" w:themeColor="text1"/>
          <w14:textFill>
            <w14:solidFill>
              <w14:schemeClr w14:val="tx1"/>
            </w14:solidFill>
          </w14:textFill>
        </w:rPr>
      </w:pPr>
      <w:r>
        <w:rPr>
          <w:rFonts w:hint="eastAsia"/>
          <w:color w:val="000000" w:themeColor="text1"/>
          <w14:textFill>
            <w14:solidFill>
              <w14:schemeClr w14:val="tx1"/>
            </w14:solidFill>
          </w14:textFill>
        </w:rPr>
        <w:t>采用综合评分法，按评审后得分由高到低顺序排列。得分相同的，按评审价由低到高顺序排列，得分与评审价均相同的，按技术部分得分由高到低顺序排列。按本须知21.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条的规定确定成交候选供应商。</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48" w:name="_Toc520356171"/>
      <w:bookmarkStart w:id="349" w:name="_Toc67860231"/>
      <w:bookmarkStart w:id="350" w:name="_Toc438203864"/>
      <w:bookmarkStart w:id="351" w:name="_Toc133916678"/>
      <w:bookmarkStart w:id="352" w:name="_Toc155238615"/>
      <w:bookmarkStart w:id="353" w:name="_Toc529733196"/>
      <w:bookmarkStart w:id="354" w:name="_Toc427315043"/>
      <w:bookmarkStart w:id="355" w:name="_Toc133737893"/>
      <w:bookmarkStart w:id="356" w:name="_Toc277153118"/>
      <w:bookmarkStart w:id="357" w:name="_Toc277942493"/>
      <w:bookmarkStart w:id="358" w:name="_Toc139531397"/>
      <w:bookmarkStart w:id="359" w:name="_Toc133737804"/>
      <w:r>
        <w:rPr>
          <w:rFonts w:hint="eastAsia" w:ascii="Times New Roman"/>
          <w:color w:val="000000" w:themeColor="text1"/>
          <w:sz w:val="21"/>
          <w:u w:val="none"/>
          <w14:textFill>
            <w14:solidFill>
              <w14:schemeClr w14:val="tx1"/>
            </w14:solidFill>
          </w14:textFill>
        </w:rPr>
        <w:t>24.</w:t>
      </w:r>
      <w:r>
        <w:rPr>
          <w:rFonts w:hint="eastAsia" w:ascii="Times New Roman"/>
          <w:color w:val="000000" w:themeColor="text1"/>
          <w:sz w:val="21"/>
          <w:u w:val="none"/>
          <w14:textFill>
            <w14:solidFill>
              <w14:schemeClr w14:val="tx1"/>
            </w14:solidFill>
          </w14:textFill>
        </w:rPr>
        <w:tab/>
      </w:r>
      <w:bookmarkEnd w:id="348"/>
      <w:r>
        <w:rPr>
          <w:rFonts w:hint="eastAsia" w:ascii="Times New Roman"/>
          <w:color w:val="000000" w:themeColor="text1"/>
          <w:sz w:val="21"/>
          <w:u w:val="none"/>
          <w14:textFill>
            <w14:solidFill>
              <w14:schemeClr w14:val="tx1"/>
            </w14:solidFill>
          </w14:textFill>
        </w:rPr>
        <w:t>确定成交供应商</w:t>
      </w:r>
      <w:bookmarkEnd w:id="349"/>
      <w:bookmarkEnd w:id="350"/>
      <w:bookmarkEnd w:id="351"/>
      <w:bookmarkEnd w:id="352"/>
      <w:bookmarkEnd w:id="353"/>
      <w:bookmarkEnd w:id="354"/>
      <w:bookmarkEnd w:id="355"/>
      <w:bookmarkEnd w:id="356"/>
      <w:bookmarkEnd w:id="357"/>
      <w:bookmarkEnd w:id="358"/>
      <w:bookmarkEnd w:id="359"/>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24.1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磋商小组将根据评审标准，按包推荐成交候选供应商排序，由采购人根据排名顺序确定得分最高的成交候选供应商为该包成交供应商。在确定成交供应商前，采购单位不得与供应商就最终报价、最终响应方案等实质性内容进行谈判。</w:t>
      </w:r>
    </w:p>
    <w:p>
      <w:pPr>
        <w:spacing w:before="120" w:line="360" w:lineRule="auto"/>
        <w:ind w:left="900" w:hanging="900"/>
        <w:rPr>
          <w:color w:val="000000" w:themeColor="text1"/>
          <w:bdr w:val="single" w:color="auto" w:sz="4" w:space="0"/>
          <w14:textFill>
            <w14:solidFill>
              <w14:schemeClr w14:val="tx1"/>
            </w14:solidFill>
          </w14:textFill>
        </w:rPr>
      </w:pPr>
      <w:bookmarkStart w:id="360" w:name="_Toc520356172"/>
      <w:r>
        <w:rPr>
          <w:rFonts w:hint="eastAsia"/>
          <w:color w:val="000000" w:themeColor="text1"/>
          <w14:textFill>
            <w14:solidFill>
              <w14:schemeClr w14:val="tx1"/>
            </w14:solidFill>
          </w14:textFill>
        </w:rPr>
        <w:t>24.</w:t>
      </w:r>
      <w:r>
        <w:rPr>
          <w:color w:val="000000" w:themeColor="text1"/>
          <w14:textFill>
            <w14:solidFill>
              <w14:schemeClr w14:val="tx1"/>
            </w14:solidFill>
          </w14:textFill>
        </w:rPr>
        <w:t>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成交供应商拒绝签订合同、因不可抗力或者自身原因不能履行合同的，采购人可以与排位在成交供应商之后第一位的成交候选供应商签订采购合同，依此类推。采购人亦有权重新进行竞争性磋商。拒绝签订和履行政府采购合同的成交供应商不得参加对该项目重新开展的采购活动。</w:t>
      </w:r>
    </w:p>
    <w:bookmarkEnd w:id="360"/>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61" w:name="_Ref467306874"/>
      <w:bookmarkStart w:id="362" w:name="_Toc438203865"/>
      <w:bookmarkStart w:id="363" w:name="_Toc155238616"/>
      <w:bookmarkStart w:id="364" w:name="_Toc529733197"/>
      <w:bookmarkStart w:id="365" w:name="_Toc427315044"/>
      <w:bookmarkStart w:id="366" w:name="_Toc277153119"/>
      <w:bookmarkStart w:id="367" w:name="_Toc520356173"/>
      <w:bookmarkStart w:id="368" w:name="_Toc133916679"/>
      <w:bookmarkStart w:id="369" w:name="_Toc139531398"/>
      <w:bookmarkStart w:id="370" w:name="_Toc67860232"/>
      <w:bookmarkStart w:id="371" w:name="_Toc277942494"/>
      <w:bookmarkStart w:id="372" w:name="_Toc133737805"/>
      <w:bookmarkStart w:id="373" w:name="_Toc133737894"/>
      <w:r>
        <w:rPr>
          <w:rFonts w:hint="eastAsia" w:ascii="Times New Roman"/>
          <w:color w:val="000000" w:themeColor="text1"/>
          <w:sz w:val="21"/>
          <w:u w:val="none"/>
          <w14:textFill>
            <w14:solidFill>
              <w14:schemeClr w14:val="tx1"/>
            </w14:solidFill>
          </w14:textFill>
        </w:rPr>
        <w:t>25.</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接受和拒绝任何所有响应的权利</w:t>
      </w:r>
      <w:bookmarkEnd w:id="361"/>
      <w:bookmarkEnd w:id="362"/>
      <w:bookmarkEnd w:id="363"/>
      <w:bookmarkEnd w:id="364"/>
      <w:bookmarkEnd w:id="365"/>
      <w:bookmarkEnd w:id="366"/>
      <w:bookmarkEnd w:id="367"/>
      <w:bookmarkEnd w:id="368"/>
      <w:bookmarkEnd w:id="369"/>
      <w:bookmarkEnd w:id="370"/>
      <w:bookmarkEnd w:id="371"/>
      <w:bookmarkEnd w:id="372"/>
      <w:bookmarkEnd w:id="373"/>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25.1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为维护国家和社会公共利益，采购人保留在确定成交之前任何时候接受或拒绝任何供应商成交的权利，且对受影响的供应商不承担任何责任。</w:t>
      </w:r>
    </w:p>
    <w:p>
      <w:pPr>
        <w:pStyle w:val="20"/>
        <w:spacing w:before="156" w:line="360" w:lineRule="auto"/>
        <w:ind w:left="789" w:leftChars="1" w:hanging="787" w:hangingChars="375"/>
        <w:rPr>
          <w:rFonts w:ascii="Times New Roman" w:hAnsi="Times New Roman"/>
          <w:color w:val="000000" w:themeColor="text1"/>
          <w:szCs w:val="24"/>
          <w14:textFill>
            <w14:solidFill>
              <w14:schemeClr w14:val="tx1"/>
            </w14:solidFill>
          </w14:textFill>
        </w:rPr>
      </w:pPr>
      <w:bookmarkStart w:id="374" w:name="_Toc133737806"/>
      <w:bookmarkStart w:id="375" w:name="_Toc133737895"/>
      <w:bookmarkStart w:id="376" w:name="_Toc520356174"/>
      <w:r>
        <w:rPr>
          <w:rFonts w:hint="eastAsia" w:ascii="Times New Roman" w:hAnsi="Times New Roman"/>
          <w:color w:val="000000" w:themeColor="text1"/>
          <w14:textFill>
            <w14:solidFill>
              <w14:schemeClr w14:val="tx1"/>
            </w14:solidFill>
          </w14:textFill>
        </w:rPr>
        <w:t>25.2</w:t>
      </w:r>
      <w:bookmarkEnd w:id="374"/>
      <w:bookmarkEnd w:id="375"/>
      <w:r>
        <w:rPr>
          <w:rFonts w:ascii="Times New Roman" w:hAnsi="Times New Roman"/>
          <w:color w:val="000000" w:themeColor="text1"/>
          <w14:textFill>
            <w14:solidFill>
              <w14:schemeClr w14:val="tx1"/>
            </w14:solidFill>
          </w14:textFill>
        </w:rPr>
        <w:tab/>
      </w:r>
      <w:r>
        <w:rPr>
          <w:rFonts w:ascii="Times New Roman" w:hAnsi="Times New Roman"/>
          <w:color w:val="000000" w:themeColor="text1"/>
          <w:szCs w:val="24"/>
          <w14:textFill>
            <w14:solidFill>
              <w14:schemeClr w14:val="tx1"/>
            </w14:solidFill>
          </w14:textFill>
        </w:rPr>
        <w:t>在采购中，出现下列情形之一的，</w:t>
      </w:r>
      <w:r>
        <w:rPr>
          <w:rFonts w:hint="eastAsia" w:ascii="Times New Roman" w:hAnsi="Times New Roman"/>
          <w:color w:val="000000" w:themeColor="text1"/>
          <w:szCs w:val="24"/>
          <w14:textFill>
            <w14:solidFill>
              <w14:schemeClr w14:val="tx1"/>
            </w14:solidFill>
          </w14:textFill>
        </w:rPr>
        <w:t>采购单位应当终止该包磋商采购活动，发布项目终止公告并说明原因，重新开展该包采购活动：</w:t>
      </w:r>
    </w:p>
    <w:p>
      <w:pPr>
        <w:pStyle w:val="20"/>
        <w:spacing w:before="156" w:line="360" w:lineRule="auto"/>
        <w:ind w:left="789" w:leftChars="1" w:hanging="787" w:hangingChars="375"/>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25.2.1</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t>因情况变化，不再符合规定的竞争性磋商采购方式适用情形的；</w:t>
      </w:r>
    </w:p>
    <w:p>
      <w:pPr>
        <w:pStyle w:val="20"/>
        <w:spacing w:before="156" w:line="360" w:lineRule="auto"/>
        <w:ind w:left="789" w:leftChars="1" w:hanging="787" w:hangingChars="375"/>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25.2.2</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t>出现影响采购公正的违法、违规行为的；</w:t>
      </w:r>
    </w:p>
    <w:p>
      <w:pPr>
        <w:pStyle w:val="20"/>
        <w:spacing w:before="156" w:line="360" w:lineRule="auto"/>
        <w:ind w:left="789" w:leftChars="1" w:hanging="787" w:hangingChars="375"/>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25.2.3</w:t>
      </w:r>
      <w:r>
        <w:rPr>
          <w:rFonts w:ascii="Times New Roman" w:hAnsi="Times New Roman"/>
          <w:color w:val="000000" w:themeColor="text1"/>
          <w:szCs w:val="24"/>
          <w14:textFill>
            <w14:solidFill>
              <w14:schemeClr w14:val="tx1"/>
            </w14:solidFill>
          </w14:textFill>
        </w:rPr>
        <w:tab/>
      </w:r>
      <w:r>
        <w:rPr>
          <w:rFonts w:ascii="Times New Roman" w:hAnsi="Times New Roman"/>
          <w:color w:val="000000" w:themeColor="text1"/>
          <w:szCs w:val="24"/>
          <w14:textFill>
            <w14:solidFill>
              <w14:schemeClr w14:val="tx1"/>
            </w14:solidFill>
          </w14:textFill>
        </w:rPr>
        <w:t xml:space="preserve">在采购过程中符合要求的供应商或者报价未超过采购预算的供应商不足2家的； </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77" w:name="_Toc133737896"/>
      <w:bookmarkStart w:id="378" w:name="_Toc67860233"/>
      <w:bookmarkStart w:id="379" w:name="_Toc277153120"/>
      <w:bookmarkStart w:id="380" w:name="_Toc529733198"/>
      <w:bookmarkStart w:id="381" w:name="_Toc155238617"/>
      <w:bookmarkStart w:id="382" w:name="_Toc438203866"/>
      <w:bookmarkStart w:id="383" w:name="_Toc133916680"/>
      <w:bookmarkStart w:id="384" w:name="_Toc427315045"/>
      <w:bookmarkStart w:id="385" w:name="_Toc133737807"/>
      <w:bookmarkStart w:id="386" w:name="_Toc277942495"/>
      <w:bookmarkStart w:id="387" w:name="_Toc139531399"/>
      <w:r>
        <w:rPr>
          <w:rFonts w:hint="eastAsia" w:ascii="Times New Roman"/>
          <w:color w:val="000000" w:themeColor="text1"/>
          <w:sz w:val="21"/>
          <w:u w:val="none"/>
          <w14:textFill>
            <w14:solidFill>
              <w14:schemeClr w14:val="tx1"/>
            </w14:solidFill>
          </w14:textFill>
        </w:rPr>
        <w:t>26.</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成交通知书</w:t>
      </w:r>
      <w:bookmarkEnd w:id="376"/>
      <w:bookmarkEnd w:id="377"/>
      <w:bookmarkEnd w:id="378"/>
      <w:bookmarkEnd w:id="379"/>
      <w:bookmarkEnd w:id="380"/>
      <w:bookmarkEnd w:id="381"/>
      <w:bookmarkEnd w:id="382"/>
      <w:bookmarkEnd w:id="383"/>
      <w:bookmarkEnd w:id="384"/>
      <w:bookmarkEnd w:id="385"/>
      <w:bookmarkEnd w:id="386"/>
      <w:bookmarkEnd w:id="387"/>
    </w:p>
    <w:p>
      <w:pPr>
        <w:spacing w:before="120"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26.1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在磋商响应有效期内，成交供应商确定后，采购单位应当在财政部门指定的政府采购信息发布媒体上发布成交结果，并以书面形式向成交供应商发出成交通知书。</w:t>
      </w:r>
    </w:p>
    <w:p>
      <w:pPr>
        <w:spacing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26.2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成交通知书是合同的组成部分，对采购人和成交供应商具有同等法律效力。</w:t>
      </w:r>
    </w:p>
    <w:p>
      <w:pPr>
        <w:spacing w:before="120" w:line="360" w:lineRule="auto"/>
        <w:ind w:left="840" w:hanging="840" w:hangingChars="400"/>
        <w:rPr>
          <w:color w:val="000000" w:themeColor="text1"/>
          <w14:textFill>
            <w14:solidFill>
              <w14:schemeClr w14:val="tx1"/>
            </w14:solidFill>
          </w14:textFill>
        </w:rPr>
      </w:pPr>
      <w:r>
        <w:rPr>
          <w:rFonts w:hint="eastAsia"/>
          <w:color w:val="000000" w:themeColor="text1"/>
          <w14:textFill>
            <w14:solidFill>
              <w14:schemeClr w14:val="tx1"/>
            </w14:solidFill>
          </w14:textFill>
        </w:rPr>
        <w:t>26.3</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成交通知书发出后，采购人改变成交结果的，或者成交供应商放弃成交项目的，应当依法承担法律责任。</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388" w:name="_Ref467306377"/>
      <w:bookmarkStart w:id="389" w:name="_Toc133737897"/>
      <w:bookmarkStart w:id="390" w:name="_Toc520356175"/>
      <w:bookmarkStart w:id="391" w:name="_Toc529733199"/>
      <w:bookmarkStart w:id="392" w:name="_Toc155238618"/>
      <w:bookmarkStart w:id="393" w:name="_Toc277942496"/>
      <w:bookmarkStart w:id="394" w:name="_Toc438203867"/>
      <w:bookmarkStart w:id="395" w:name="_Toc133737808"/>
      <w:bookmarkStart w:id="396" w:name="_Toc139531400"/>
      <w:bookmarkStart w:id="397" w:name="_Toc427315046"/>
      <w:bookmarkStart w:id="398" w:name="_Ref467307204"/>
      <w:bookmarkStart w:id="399" w:name="_Ref467307062"/>
      <w:bookmarkStart w:id="400" w:name="_Toc67860234"/>
      <w:bookmarkStart w:id="401" w:name="_Ref467306978"/>
      <w:bookmarkStart w:id="402" w:name="_Toc277153121"/>
      <w:bookmarkStart w:id="403" w:name="_Toc133916681"/>
      <w:r>
        <w:rPr>
          <w:rFonts w:hint="eastAsia" w:ascii="Times New Roman"/>
          <w:color w:val="000000" w:themeColor="text1"/>
          <w:sz w:val="21"/>
          <w:u w:val="none"/>
          <w14:textFill>
            <w14:solidFill>
              <w14:schemeClr w14:val="tx1"/>
            </w14:solidFill>
          </w14:textFill>
        </w:rPr>
        <w:t>27.</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签订合同</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spacing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27.1</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成交供应商应当自收到成交通知书之日起30日内，与采购人签订合同。</w:t>
      </w:r>
    </w:p>
    <w:p>
      <w:pPr>
        <w:spacing w:line="360" w:lineRule="auto"/>
        <w:ind w:left="900" w:hanging="900"/>
        <w:rPr>
          <w:color w:val="000000" w:themeColor="text1"/>
          <w14:textFill>
            <w14:solidFill>
              <w14:schemeClr w14:val="tx1"/>
            </w14:solidFill>
          </w14:textFill>
        </w:rPr>
      </w:pPr>
      <w:r>
        <w:rPr>
          <w:rFonts w:hint="eastAsia"/>
          <w:color w:val="000000" w:themeColor="text1"/>
          <w14:textFill>
            <w14:solidFill>
              <w14:schemeClr w14:val="tx1"/>
            </w14:solidFill>
          </w14:textFill>
        </w:rPr>
        <w:t>27.2</w:t>
      </w:r>
      <w:r>
        <w:rPr>
          <w:rFonts w:hint="eastAsia"/>
          <w:color w:val="000000" w:themeColor="text1"/>
          <w14:textFill>
            <w14:solidFill>
              <w14:schemeClr w14:val="tx1"/>
            </w14:solidFill>
          </w14:textFill>
        </w:rPr>
        <w:tab/>
      </w:r>
      <w:bookmarkStart w:id="404" w:name="_Toc520356176"/>
      <w:bookmarkStart w:id="405" w:name="_Ref467307090"/>
      <w:bookmarkStart w:id="406" w:name="_Ref467306425"/>
      <w:r>
        <w:rPr>
          <w:rFonts w:hint="eastAsia"/>
          <w:color w:val="000000" w:themeColor="text1"/>
          <w14:textFill>
            <w14:solidFill>
              <w14:schemeClr w14:val="tx1"/>
            </w14:solidFill>
          </w14:textFill>
        </w:rPr>
        <w:t>磋商文件、成交供应商的磋商响应文件及其澄清文件等，均为签订合同的依据。</w:t>
      </w:r>
    </w:p>
    <w:bookmarkEnd w:id="404"/>
    <w:bookmarkEnd w:id="405"/>
    <w:bookmarkEnd w:id="406"/>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407" w:name="_Toc438203868"/>
      <w:bookmarkStart w:id="408" w:name="_Toc155238619"/>
      <w:bookmarkStart w:id="409" w:name="_Toc133916682"/>
      <w:bookmarkStart w:id="410" w:name="_Toc139531401"/>
      <w:bookmarkStart w:id="411" w:name="_Toc133737809"/>
      <w:bookmarkStart w:id="412" w:name="_Toc133737898"/>
      <w:bookmarkStart w:id="413" w:name="_Toc529733200"/>
      <w:bookmarkStart w:id="414" w:name="_Toc277153122"/>
      <w:bookmarkStart w:id="415" w:name="_Toc67860235"/>
      <w:bookmarkStart w:id="416" w:name="_Toc277942497"/>
      <w:bookmarkStart w:id="417" w:name="_Toc427315047"/>
      <w:r>
        <w:rPr>
          <w:rFonts w:hint="eastAsia" w:ascii="Times New Roman"/>
          <w:color w:val="000000" w:themeColor="text1"/>
          <w:sz w:val="21"/>
          <w:u w:val="none"/>
          <w14:textFill>
            <w14:solidFill>
              <w14:schemeClr w14:val="tx1"/>
            </w14:solidFill>
          </w14:textFill>
        </w:rPr>
        <w:t>28.</w:t>
      </w:r>
      <w:r>
        <w:rPr>
          <w:rFonts w:hint="eastAsia" w:ascii="Times New Roman"/>
          <w:color w:val="000000" w:themeColor="text1"/>
          <w:sz w:val="21"/>
          <w:u w:val="none"/>
          <w14:textFill>
            <w14:solidFill>
              <w14:schemeClr w14:val="tx1"/>
            </w14:solidFill>
          </w14:textFill>
        </w:rPr>
        <w:tab/>
      </w:r>
      <w:r>
        <w:rPr>
          <w:rFonts w:hint="eastAsia" w:ascii="Times New Roman"/>
          <w:color w:val="000000" w:themeColor="text1"/>
          <w:sz w:val="21"/>
          <w:u w:val="none"/>
          <w14:textFill>
            <w14:solidFill>
              <w14:schemeClr w14:val="tx1"/>
            </w14:solidFill>
          </w14:textFill>
        </w:rPr>
        <w:t>履约保证金</w:t>
      </w:r>
      <w:bookmarkEnd w:id="407"/>
      <w:bookmarkEnd w:id="408"/>
      <w:bookmarkEnd w:id="409"/>
      <w:bookmarkEnd w:id="410"/>
      <w:bookmarkEnd w:id="411"/>
      <w:bookmarkEnd w:id="412"/>
      <w:bookmarkEnd w:id="413"/>
      <w:bookmarkEnd w:id="414"/>
      <w:bookmarkEnd w:id="415"/>
      <w:bookmarkEnd w:id="416"/>
      <w:bookmarkEnd w:id="417"/>
    </w:p>
    <w:p>
      <w:pPr>
        <w:spacing w:line="360" w:lineRule="auto"/>
        <w:ind w:left="989" w:hanging="960"/>
        <w:rPr>
          <w:color w:val="000000" w:themeColor="text1"/>
          <w14:textFill>
            <w14:solidFill>
              <w14:schemeClr w14:val="tx1"/>
            </w14:solidFill>
          </w14:textFill>
        </w:rPr>
      </w:pPr>
      <w:r>
        <w:rPr>
          <w:rFonts w:hint="eastAsia"/>
          <w:color w:val="000000" w:themeColor="text1"/>
          <w14:textFill>
            <w14:solidFill>
              <w14:schemeClr w14:val="tx1"/>
            </w14:solidFill>
          </w14:textFill>
        </w:rPr>
        <w:t>28.1</w:t>
      </w:r>
      <w:r>
        <w:rPr>
          <w:color w:val="000000" w:themeColor="text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本项目按合同规定支付履约保证金（如有）。</w:t>
      </w:r>
    </w:p>
    <w:p>
      <w:pPr>
        <w:pStyle w:val="5"/>
        <w:keepNext w:val="0"/>
        <w:keepLines w:val="0"/>
        <w:spacing w:before="200" w:line="360" w:lineRule="auto"/>
        <w:ind w:left="902" w:hanging="902"/>
        <w:rPr>
          <w:rFonts w:ascii="Times New Roman"/>
          <w:color w:val="000000" w:themeColor="text1"/>
          <w:sz w:val="21"/>
          <w:u w:val="none"/>
          <w14:textFill>
            <w14:solidFill>
              <w14:schemeClr w14:val="tx1"/>
            </w14:solidFill>
          </w14:textFill>
        </w:rPr>
      </w:pPr>
      <w:bookmarkStart w:id="418" w:name="_Toc67860236"/>
      <w:bookmarkStart w:id="419" w:name="_Toc139531402"/>
      <w:bookmarkStart w:id="420" w:name="_Toc529733201"/>
      <w:r>
        <w:rPr>
          <w:rFonts w:ascii="Times New Roman"/>
          <w:color w:val="000000" w:themeColor="text1"/>
          <w:sz w:val="21"/>
          <w:u w:val="none"/>
          <w14:textFill>
            <w14:solidFill>
              <w14:schemeClr w14:val="tx1"/>
            </w14:solidFill>
          </w14:textFill>
        </w:rPr>
        <w:t>29</w:t>
      </w:r>
      <w:bookmarkStart w:id="421" w:name="_Toc507758468"/>
      <w:r>
        <w:rPr>
          <w:rFonts w:ascii="Times New Roman"/>
          <w:color w:val="000000" w:themeColor="text1"/>
          <w:sz w:val="21"/>
          <w:u w:val="none"/>
          <w14:textFill>
            <w14:solidFill>
              <w14:schemeClr w14:val="tx1"/>
            </w14:solidFill>
          </w14:textFill>
        </w:rPr>
        <w:t>.</w:t>
      </w:r>
      <w:r>
        <w:rPr>
          <w:rFonts w:ascii="Times New Roman"/>
          <w:color w:val="000000" w:themeColor="text1"/>
          <w:sz w:val="21"/>
          <w:u w:val="none"/>
          <w14:textFill>
            <w14:solidFill>
              <w14:schemeClr w14:val="tx1"/>
            </w14:solidFill>
          </w14:textFill>
        </w:rPr>
        <w:tab/>
      </w:r>
      <w:r>
        <w:rPr>
          <w:rFonts w:ascii="Times New Roman"/>
          <w:color w:val="000000" w:themeColor="text1"/>
          <w:sz w:val="21"/>
          <w:u w:val="none"/>
          <w14:textFill>
            <w14:solidFill>
              <w14:schemeClr w14:val="tx1"/>
            </w14:solidFill>
          </w14:textFill>
        </w:rPr>
        <w:t>质疑</w:t>
      </w:r>
      <w:bookmarkEnd w:id="418"/>
      <w:bookmarkEnd w:id="419"/>
      <w:bookmarkEnd w:id="420"/>
      <w:bookmarkEnd w:id="421"/>
    </w:p>
    <w:p>
      <w:pPr>
        <w:pStyle w:val="4"/>
        <w:spacing w:line="360" w:lineRule="auto"/>
        <w:ind w:left="735" w:hanging="735" w:hangingChars="350"/>
        <w:rPr>
          <w:rFonts w:hAnsi="宋体" w:cs="宋体"/>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29.1</w:t>
      </w:r>
      <w:r>
        <w:rPr>
          <w:rFonts w:ascii="Times New Roman"/>
          <w:color w:val="000000" w:themeColor="text1"/>
          <w:sz w:val="21"/>
          <w:szCs w:val="21"/>
          <w14:textFill>
            <w14:solidFill>
              <w14:schemeClr w14:val="tx1"/>
            </w14:solidFill>
          </w14:textFill>
        </w:rPr>
        <w:tab/>
      </w:r>
      <w:r>
        <w:rPr>
          <w:rFonts w:hAnsi="宋体"/>
          <w:color w:val="000000" w:themeColor="text1"/>
          <w:kern w:val="2"/>
          <w:sz w:val="21"/>
          <w:szCs w:val="21"/>
          <w14:textFill>
            <w14:solidFill>
              <w14:schemeClr w14:val="tx1"/>
            </w14:solidFill>
          </w14:textFill>
        </w:rPr>
        <w:t>供应商认为</w:t>
      </w:r>
      <w:r>
        <w:rPr>
          <w:rFonts w:hint="eastAsia" w:hAnsi="宋体"/>
          <w:color w:val="000000" w:themeColor="text1"/>
          <w:kern w:val="2"/>
          <w:sz w:val="21"/>
          <w:szCs w:val="21"/>
          <w14:textFill>
            <w14:solidFill>
              <w14:schemeClr w14:val="tx1"/>
            </w14:solidFill>
          </w14:textFill>
        </w:rPr>
        <w:t>采购</w:t>
      </w:r>
      <w:r>
        <w:rPr>
          <w:rFonts w:hAnsi="宋体"/>
          <w:color w:val="000000" w:themeColor="text1"/>
          <w:kern w:val="2"/>
          <w:sz w:val="21"/>
          <w:szCs w:val="21"/>
          <w14:textFill>
            <w14:solidFill>
              <w14:schemeClr w14:val="tx1"/>
            </w14:solidFill>
          </w14:textFill>
        </w:rPr>
        <w:t>文件、采购过程、成交结果使自己的权益受到损害的，可以在知道或者应知其权益受到损害之日起7个工作日内，以书面形式</w:t>
      </w:r>
      <w:r>
        <w:rPr>
          <w:rFonts w:hAnsi="宋体"/>
          <w:b/>
          <w:color w:val="000000" w:themeColor="text1"/>
          <w:kern w:val="2"/>
          <w:sz w:val="21"/>
          <w:szCs w:val="21"/>
          <w14:textFill>
            <w14:solidFill>
              <w14:schemeClr w14:val="tx1"/>
            </w14:solidFill>
          </w14:textFill>
        </w:rPr>
        <w:t>向采购代理机构</w:t>
      </w:r>
      <w:r>
        <w:rPr>
          <w:rFonts w:hint="eastAsia" w:hAnsi="宋体"/>
          <w:b/>
          <w:color w:val="000000" w:themeColor="text1"/>
          <w:kern w:val="2"/>
          <w:sz w:val="21"/>
          <w:szCs w:val="21"/>
          <w14:textFill>
            <w14:solidFill>
              <w14:schemeClr w14:val="tx1"/>
            </w14:solidFill>
          </w14:textFill>
        </w:rPr>
        <w:t>（具体联系方式见本</w:t>
      </w:r>
      <w:r>
        <w:rPr>
          <w:rFonts w:hAnsi="宋体"/>
          <w:b/>
          <w:color w:val="000000" w:themeColor="text1"/>
          <w:kern w:val="2"/>
          <w:sz w:val="21"/>
          <w:szCs w:val="21"/>
          <w14:textFill>
            <w14:solidFill>
              <w14:schemeClr w14:val="tx1"/>
            </w14:solidFill>
          </w14:textFill>
        </w:rPr>
        <w:t>磋商</w:t>
      </w:r>
      <w:r>
        <w:rPr>
          <w:rFonts w:hint="eastAsia" w:hAnsi="宋体"/>
          <w:b/>
          <w:color w:val="000000" w:themeColor="text1"/>
          <w:kern w:val="2"/>
          <w:sz w:val="21"/>
          <w:szCs w:val="21"/>
          <w14:textFill>
            <w14:solidFill>
              <w14:schemeClr w14:val="tx1"/>
            </w14:solidFill>
          </w14:textFill>
        </w:rPr>
        <w:t>文件第四章）</w:t>
      </w:r>
      <w:r>
        <w:rPr>
          <w:rFonts w:hAnsi="宋体"/>
          <w:color w:val="000000" w:themeColor="text1"/>
          <w:kern w:val="2"/>
          <w:sz w:val="21"/>
          <w:szCs w:val="21"/>
          <w14:textFill>
            <w14:solidFill>
              <w14:schemeClr w14:val="tx1"/>
            </w14:solidFill>
          </w14:textFill>
        </w:rPr>
        <w:t>提出质疑</w:t>
      </w:r>
      <w:r>
        <w:rPr>
          <w:rFonts w:hint="eastAsia" w:hAnsi="宋体"/>
          <w:color w:val="000000" w:themeColor="text1"/>
          <w:kern w:val="2"/>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针对同一采购程序环节的质疑</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供应商</w:t>
      </w:r>
      <w:r>
        <w:rPr>
          <w:rFonts w:hint="eastAsia" w:ascii="Arial" w:hAnsi="Arial" w:cs="Arial"/>
          <w:color w:val="000000" w:themeColor="text1"/>
          <w:sz w:val="21"/>
          <w:szCs w:val="21"/>
          <w14:textFill>
            <w14:solidFill>
              <w14:schemeClr w14:val="tx1"/>
            </w14:solidFill>
          </w14:textFill>
        </w:rPr>
        <w:t>应</w:t>
      </w:r>
      <w:r>
        <w:rPr>
          <w:rFonts w:ascii="Arial" w:hAnsi="Arial" w:cs="Arial"/>
          <w:color w:val="000000" w:themeColor="text1"/>
          <w:sz w:val="21"/>
          <w:szCs w:val="21"/>
          <w14:textFill>
            <w14:solidFill>
              <w14:schemeClr w14:val="tx1"/>
            </w14:solidFill>
          </w14:textFill>
        </w:rPr>
        <w:t>在法定质疑期内一次性提出</w:t>
      </w:r>
      <w:r>
        <w:rPr>
          <w:rFonts w:hint="eastAsia" w:ascii="Arial" w:hAnsi="Arial" w:cs="Arial"/>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应知其权益受到损害之日</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是指：</w:t>
      </w:r>
    </w:p>
    <w:p>
      <w:pPr>
        <w:pStyle w:val="4"/>
        <w:spacing w:line="360" w:lineRule="auto"/>
        <w:ind w:left="735" w:hanging="735" w:hangingChars="350"/>
        <w:rPr>
          <w:rFonts w:hAnsi="宋体" w:cs="宋体"/>
          <w:color w:val="000000" w:themeColor="text1"/>
          <w:sz w:val="21"/>
          <w:szCs w:val="21"/>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29.1.1</w:t>
      </w:r>
      <w:r>
        <w:rPr>
          <w:rFonts w:ascii="Times New Roman"/>
          <w:color w:val="000000" w:themeColor="text1"/>
          <w:kern w:val="2"/>
          <w:sz w:val="21"/>
          <w:szCs w:val="24"/>
          <w14:textFill>
            <w14:solidFill>
              <w14:schemeClr w14:val="tx1"/>
            </w14:solidFill>
          </w14:textFill>
        </w:rPr>
        <w:tab/>
      </w:r>
      <w:r>
        <w:rPr>
          <w:rFonts w:hAnsi="宋体" w:cs="宋体"/>
          <w:color w:val="000000" w:themeColor="text1"/>
          <w:sz w:val="21"/>
          <w:szCs w:val="21"/>
          <w14:textFill>
            <w14:solidFill>
              <w14:schemeClr w14:val="tx1"/>
            </w14:solidFill>
          </w14:textFill>
        </w:rPr>
        <w:t>对可以质疑的磋商文件提出质疑的，为</w:t>
      </w:r>
      <w:r>
        <w:rPr>
          <w:rFonts w:hint="eastAsia" w:hAnsi="宋体" w:cs="宋体"/>
          <w:color w:val="000000" w:themeColor="text1"/>
          <w:sz w:val="21"/>
          <w:szCs w:val="21"/>
          <w14:textFill>
            <w14:solidFill>
              <w14:schemeClr w14:val="tx1"/>
            </w14:solidFill>
          </w14:textFill>
        </w:rPr>
        <w:t>按要求购买并收到</w:t>
      </w:r>
      <w:r>
        <w:rPr>
          <w:rFonts w:hAnsi="宋体" w:cs="宋体"/>
          <w:color w:val="000000" w:themeColor="text1"/>
          <w:sz w:val="21"/>
          <w:szCs w:val="21"/>
          <w14:textFill>
            <w14:solidFill>
              <w14:schemeClr w14:val="tx1"/>
            </w14:solidFill>
          </w14:textFill>
        </w:rPr>
        <w:t>磋商文件之日；</w:t>
      </w:r>
    </w:p>
    <w:p>
      <w:pPr>
        <w:pStyle w:val="4"/>
        <w:spacing w:line="360" w:lineRule="auto"/>
        <w:ind w:left="735" w:hanging="735" w:hangingChars="350"/>
        <w:rPr>
          <w:rFonts w:hAnsi="宋体" w:cs="宋体"/>
          <w:color w:val="000000" w:themeColor="text1"/>
          <w:sz w:val="21"/>
          <w:szCs w:val="21"/>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29.1.2</w:t>
      </w:r>
      <w:r>
        <w:rPr>
          <w:rFonts w:ascii="Times New Roman"/>
          <w:color w:val="000000" w:themeColor="text1"/>
          <w:kern w:val="2"/>
          <w:sz w:val="21"/>
          <w:szCs w:val="24"/>
          <w14:textFill>
            <w14:solidFill>
              <w14:schemeClr w14:val="tx1"/>
            </w14:solidFill>
          </w14:textFill>
        </w:rPr>
        <w:tab/>
      </w:r>
      <w:r>
        <w:rPr>
          <w:rFonts w:hAnsi="宋体" w:cs="宋体"/>
          <w:color w:val="000000" w:themeColor="text1"/>
          <w:sz w:val="21"/>
          <w:szCs w:val="21"/>
          <w14:textFill>
            <w14:solidFill>
              <w14:schemeClr w14:val="tx1"/>
            </w14:solidFill>
          </w14:textFill>
        </w:rPr>
        <w:t>对采购过程提出质疑的，为各采购程序环节结束之日；</w:t>
      </w:r>
    </w:p>
    <w:p>
      <w:pPr>
        <w:pStyle w:val="4"/>
        <w:spacing w:line="360" w:lineRule="auto"/>
        <w:ind w:left="735" w:hanging="735" w:hangingChars="350"/>
        <w:rPr>
          <w:rFonts w:hAnsi="宋体"/>
          <w:color w:val="000000" w:themeColor="text1"/>
          <w:kern w:val="2"/>
          <w:sz w:val="21"/>
          <w:szCs w:val="21"/>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29.1.3</w:t>
      </w:r>
      <w:r>
        <w:rPr>
          <w:rFonts w:hAnsi="宋体" w:cs="宋体"/>
          <w:color w:val="000000" w:themeColor="text1"/>
          <w:sz w:val="21"/>
          <w:szCs w:val="21"/>
          <w14:textFill>
            <w14:solidFill>
              <w14:schemeClr w14:val="tx1"/>
            </w14:solidFill>
          </w14:textFill>
        </w:rPr>
        <w:tab/>
      </w:r>
      <w:r>
        <w:rPr>
          <w:rFonts w:hAnsi="宋体" w:cs="宋体"/>
          <w:color w:val="000000" w:themeColor="text1"/>
          <w:sz w:val="21"/>
          <w:szCs w:val="21"/>
          <w14:textFill>
            <w14:solidFill>
              <w14:schemeClr w14:val="tx1"/>
            </w14:solidFill>
          </w14:textFill>
        </w:rPr>
        <w:t>对成交结果提出质疑的，为成交结果公告期限届满之日。</w:t>
      </w:r>
    </w:p>
    <w:p>
      <w:pPr>
        <w:pStyle w:val="4"/>
        <w:spacing w:line="360" w:lineRule="auto"/>
        <w:ind w:left="735" w:hanging="735" w:hangingChars="350"/>
        <w:rPr>
          <w:rFonts w:hAnsi="宋体" w:cs="宋体"/>
          <w:color w:val="000000" w:themeColor="text1"/>
          <w:sz w:val="21"/>
          <w:szCs w:val="21"/>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29.2</w:t>
      </w:r>
      <w:r>
        <w:rPr>
          <w:rFonts w:ascii="Times New Roman"/>
          <w:color w:val="000000" w:themeColor="text1"/>
          <w:kern w:val="2"/>
          <w:sz w:val="21"/>
          <w:szCs w:val="24"/>
          <w14:textFill>
            <w14:solidFill>
              <w14:schemeClr w14:val="tx1"/>
            </w14:solidFill>
          </w14:textFill>
        </w:rPr>
        <w:tab/>
      </w:r>
      <w:r>
        <w:rPr>
          <w:rFonts w:ascii="Arial" w:hAnsi="Arial" w:cs="Arial"/>
          <w:color w:val="000000" w:themeColor="text1"/>
          <w:sz w:val="21"/>
          <w:szCs w:val="21"/>
          <w14:textFill>
            <w14:solidFill>
              <w14:schemeClr w14:val="tx1"/>
            </w14:solidFill>
          </w14:textFill>
        </w:rPr>
        <w:t>提出质疑的供应商应当是参与所质疑项目</w:t>
      </w:r>
      <w:r>
        <w:rPr>
          <w:rFonts w:hAnsi="宋体" w:cs="宋体"/>
          <w:color w:val="000000" w:themeColor="text1"/>
          <w:sz w:val="21"/>
          <w:szCs w:val="21"/>
          <w14:textFill>
            <w14:solidFill>
              <w14:schemeClr w14:val="tx1"/>
            </w14:solidFill>
          </w14:textFill>
        </w:rPr>
        <w:t>采购活动的供应商</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潜在供应商已</w:t>
      </w:r>
      <w:r>
        <w:rPr>
          <w:rFonts w:hint="eastAsia" w:hAnsi="宋体" w:cs="宋体"/>
          <w:color w:val="000000" w:themeColor="text1"/>
          <w:sz w:val="21"/>
          <w:szCs w:val="21"/>
          <w14:textFill>
            <w14:solidFill>
              <w14:schemeClr w14:val="tx1"/>
            </w14:solidFill>
          </w14:textFill>
        </w:rPr>
        <w:t>按要求购买</w:t>
      </w:r>
      <w:r>
        <w:rPr>
          <w:rFonts w:hAnsi="宋体" w:cs="宋体"/>
          <w:color w:val="000000" w:themeColor="text1"/>
          <w:sz w:val="21"/>
          <w:szCs w:val="21"/>
          <w14:textFill>
            <w14:solidFill>
              <w14:schemeClr w14:val="tx1"/>
            </w14:solidFill>
          </w14:textFill>
        </w:rPr>
        <w:t>磋商文件的，可以</w:t>
      </w:r>
      <w:r>
        <w:rPr>
          <w:rFonts w:hint="eastAsia" w:hAnsi="宋体" w:cs="宋体"/>
          <w:color w:val="000000" w:themeColor="text1"/>
          <w:sz w:val="21"/>
          <w:szCs w:val="21"/>
          <w14:textFill>
            <w14:solidFill>
              <w14:schemeClr w14:val="tx1"/>
            </w14:solidFill>
          </w14:textFill>
        </w:rPr>
        <w:t>按规定</w:t>
      </w:r>
      <w:r>
        <w:rPr>
          <w:rFonts w:hAnsi="宋体" w:cs="宋体"/>
          <w:color w:val="000000" w:themeColor="text1"/>
          <w:sz w:val="21"/>
          <w:szCs w:val="21"/>
          <w14:textFill>
            <w14:solidFill>
              <w14:schemeClr w14:val="tx1"/>
            </w14:solidFill>
          </w14:textFill>
        </w:rPr>
        <w:t>对磋商文件</w:t>
      </w:r>
      <w:r>
        <w:rPr>
          <w:rFonts w:hint="eastAsia" w:hAnsi="宋体" w:cs="宋体"/>
          <w:color w:val="000000" w:themeColor="text1"/>
          <w:sz w:val="21"/>
          <w:szCs w:val="21"/>
          <w14:textFill>
            <w14:solidFill>
              <w14:schemeClr w14:val="tx1"/>
            </w14:solidFill>
          </w14:textFill>
        </w:rPr>
        <w:t>提出</w:t>
      </w:r>
      <w:r>
        <w:rPr>
          <w:rFonts w:hAnsi="宋体" w:cs="宋体"/>
          <w:color w:val="000000" w:themeColor="text1"/>
          <w:sz w:val="21"/>
          <w:szCs w:val="21"/>
          <w14:textFill>
            <w14:solidFill>
              <w14:schemeClr w14:val="tx1"/>
            </w14:solidFill>
          </w14:textFill>
        </w:rPr>
        <w:t>质疑。</w:t>
      </w:r>
    </w:p>
    <w:p>
      <w:pPr>
        <w:pStyle w:val="4"/>
        <w:spacing w:line="360" w:lineRule="auto"/>
        <w:ind w:left="735" w:hanging="735" w:hangingChars="350"/>
        <w:rPr>
          <w:rFonts w:hAnsi="宋体" w:cs="宋体"/>
          <w:color w:val="000000" w:themeColor="text1"/>
          <w:sz w:val="21"/>
          <w:szCs w:val="21"/>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29.3</w:t>
      </w:r>
      <w:r>
        <w:rPr>
          <w:rFonts w:ascii="Times New Roman"/>
          <w:color w:val="000000" w:themeColor="text1"/>
          <w:kern w:val="2"/>
          <w:sz w:val="21"/>
          <w:szCs w:val="24"/>
          <w14:textFill>
            <w14:solidFill>
              <w14:schemeClr w14:val="tx1"/>
            </w14:solidFill>
          </w14:textFill>
        </w:rPr>
        <w:tab/>
      </w:r>
      <w:r>
        <w:rPr>
          <w:rFonts w:hAnsi="宋体" w:cs="宋体"/>
          <w:color w:val="000000" w:themeColor="text1"/>
          <w:sz w:val="21"/>
          <w:szCs w:val="21"/>
          <w14:textFill>
            <w14:solidFill>
              <w14:schemeClr w14:val="tx1"/>
            </w14:solidFill>
          </w14:textFill>
        </w:rPr>
        <w:t>供应商提出质疑应当提交质疑函和必要的证明材料</w:t>
      </w:r>
      <w:r>
        <w:rPr>
          <w:rFonts w:hint="eastAsia" w:hAnsi="宋体" w:cs="宋体"/>
          <w:color w:val="000000" w:themeColor="text1"/>
          <w:sz w:val="21"/>
          <w:szCs w:val="21"/>
          <w14:textFill>
            <w14:solidFill>
              <w14:schemeClr w14:val="tx1"/>
            </w14:solidFill>
          </w14:textFill>
        </w:rPr>
        <w:t>，质疑函</w:t>
      </w:r>
      <w:r>
        <w:rPr>
          <w:rFonts w:hAnsi="宋体" w:cs="宋体"/>
          <w:color w:val="000000" w:themeColor="text1"/>
          <w:sz w:val="21"/>
          <w:szCs w:val="21"/>
          <w14:textFill>
            <w14:solidFill>
              <w14:schemeClr w14:val="tx1"/>
            </w14:solidFill>
          </w14:textFill>
        </w:rPr>
        <w:t>应当由法定代表人</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主要负责人</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或者其授权代表签字</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或者盖章</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并加盖</w:t>
      </w:r>
      <w:r>
        <w:rPr>
          <w:rFonts w:hint="eastAsia" w:hAnsi="宋体" w:cs="宋体"/>
          <w:color w:val="000000" w:themeColor="text1"/>
          <w:sz w:val="21"/>
          <w:szCs w:val="21"/>
          <w14:textFill>
            <w14:solidFill>
              <w14:schemeClr w14:val="tx1"/>
            </w14:solidFill>
          </w14:textFill>
        </w:rPr>
        <w:t>单位</w:t>
      </w:r>
      <w:r>
        <w:rPr>
          <w:rFonts w:hAnsi="宋体" w:cs="宋体"/>
          <w:color w:val="000000" w:themeColor="text1"/>
          <w:sz w:val="21"/>
          <w:szCs w:val="21"/>
          <w14:textFill>
            <w14:solidFill>
              <w14:schemeClr w14:val="tx1"/>
            </w14:solidFill>
          </w14:textFill>
        </w:rPr>
        <w:t>公章</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供应商为自然人的，应当由本人签字</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供应商可以委托代理人进行质疑</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其授权委托书应当载明代理人的姓名或者名称、代理事项、具体权限、期限和相关事项</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由法定代表人</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主要负责人</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签字</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或者盖章</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并加盖</w:t>
      </w:r>
      <w:r>
        <w:rPr>
          <w:rFonts w:hint="eastAsia" w:hAnsi="宋体" w:cs="宋体"/>
          <w:color w:val="000000" w:themeColor="text1"/>
          <w:sz w:val="21"/>
          <w:szCs w:val="21"/>
          <w14:textFill>
            <w14:solidFill>
              <w14:schemeClr w14:val="tx1"/>
            </w14:solidFill>
          </w14:textFill>
        </w:rPr>
        <w:t>单位</w:t>
      </w:r>
      <w:r>
        <w:rPr>
          <w:rFonts w:hAnsi="宋体" w:cs="宋体"/>
          <w:color w:val="000000" w:themeColor="text1"/>
          <w:sz w:val="21"/>
          <w:szCs w:val="21"/>
          <w14:textFill>
            <w14:solidFill>
              <w14:schemeClr w14:val="tx1"/>
            </w14:solidFill>
          </w14:textFill>
        </w:rPr>
        <w:t>公章</w:t>
      </w:r>
      <w:r>
        <w:rPr>
          <w:rFonts w:hint="eastAsia" w:hAnsi="宋体" w:cs="宋体"/>
          <w:color w:val="000000" w:themeColor="text1"/>
          <w:sz w:val="21"/>
          <w:szCs w:val="21"/>
          <w14:textFill>
            <w14:solidFill>
              <w14:schemeClr w14:val="tx1"/>
            </w14:solidFill>
          </w14:textFill>
        </w:rPr>
        <w:t>，</w:t>
      </w:r>
      <w:r>
        <w:rPr>
          <w:rFonts w:hAnsi="宋体" w:cs="宋体"/>
          <w:color w:val="000000" w:themeColor="text1"/>
          <w:sz w:val="21"/>
          <w:szCs w:val="21"/>
          <w14:textFill>
            <w14:solidFill>
              <w14:schemeClr w14:val="tx1"/>
            </w14:solidFill>
          </w14:textFill>
        </w:rPr>
        <w:t>供应商为自然人的，应当由本人签字</w:t>
      </w:r>
      <w:r>
        <w:rPr>
          <w:rFonts w:hint="eastAsia" w:hAnsi="宋体" w:cs="宋体"/>
          <w:color w:val="000000" w:themeColor="text1"/>
          <w:sz w:val="21"/>
          <w:szCs w:val="21"/>
          <w14:textFill>
            <w14:solidFill>
              <w14:schemeClr w14:val="tx1"/>
            </w14:solidFill>
          </w14:textFill>
        </w:rPr>
        <w:t>。</w:t>
      </w:r>
    </w:p>
    <w:p>
      <w:pPr>
        <w:pStyle w:val="4"/>
        <w:spacing w:line="360" w:lineRule="auto"/>
        <w:ind w:left="735" w:hanging="735" w:hangingChars="350"/>
        <w:rPr>
          <w:rFonts w:hAnsi="宋体" w:cs="宋体"/>
          <w:color w:val="000000" w:themeColor="text1"/>
          <w:sz w:val="21"/>
          <w:szCs w:val="21"/>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29.4</w:t>
      </w:r>
      <w:r>
        <w:rPr>
          <w:rFonts w:ascii="Times New Roman"/>
          <w:color w:val="000000" w:themeColor="text1"/>
          <w:kern w:val="2"/>
          <w:sz w:val="21"/>
          <w:szCs w:val="24"/>
          <w14:textFill>
            <w14:solidFill>
              <w14:schemeClr w14:val="tx1"/>
            </w14:solidFill>
          </w14:textFill>
        </w:rPr>
        <w:tab/>
      </w:r>
      <w:r>
        <w:rPr>
          <w:rFonts w:hAnsi="宋体" w:cs="宋体"/>
          <w:color w:val="000000" w:themeColor="text1"/>
          <w:sz w:val="21"/>
          <w:szCs w:val="21"/>
          <w14:textFill>
            <w14:solidFill>
              <w14:schemeClr w14:val="tx1"/>
            </w14:solidFill>
          </w14:textFill>
        </w:rPr>
        <w:t>质疑函应当包括下列内容：</w:t>
      </w:r>
    </w:p>
    <w:p>
      <w:pPr>
        <w:pStyle w:val="4"/>
        <w:spacing w:line="360" w:lineRule="auto"/>
        <w:ind w:firstLine="630" w:firstLineChars="300"/>
        <w:rPr>
          <w:rFonts w:hAnsi="宋体" w:cs="宋体"/>
          <w:color w:val="000000" w:themeColor="text1"/>
          <w:sz w:val="21"/>
          <w:szCs w:val="21"/>
          <w14:textFill>
            <w14:solidFill>
              <w14:schemeClr w14:val="tx1"/>
            </w14:solidFill>
          </w14:textFill>
        </w:rPr>
      </w:pPr>
      <w:r>
        <w:rPr>
          <w:rFonts w:hAnsi="宋体" w:cs="宋体"/>
          <w:color w:val="000000" w:themeColor="text1"/>
          <w:sz w:val="21"/>
          <w:szCs w:val="21"/>
          <w14:textFill>
            <w14:solidFill>
              <w14:schemeClr w14:val="tx1"/>
            </w14:solidFill>
          </w14:textFill>
        </w:rPr>
        <w:t>（</w:t>
      </w:r>
      <w:r>
        <w:rPr>
          <w:rFonts w:hint="eastAsia" w:hAnsi="宋体" w:cs="宋体"/>
          <w:color w:val="000000" w:themeColor="text1"/>
          <w:sz w:val="21"/>
          <w:szCs w:val="21"/>
          <w14:textFill>
            <w14:solidFill>
              <w14:schemeClr w14:val="tx1"/>
            </w14:solidFill>
          </w14:textFill>
        </w:rPr>
        <w:t>1</w:t>
      </w:r>
      <w:r>
        <w:rPr>
          <w:rFonts w:hAnsi="宋体" w:cs="宋体"/>
          <w:color w:val="000000" w:themeColor="text1"/>
          <w:sz w:val="21"/>
          <w:szCs w:val="21"/>
          <w14:textFill>
            <w14:solidFill>
              <w14:schemeClr w14:val="tx1"/>
            </w14:solidFill>
          </w14:textFill>
        </w:rPr>
        <w:t>）供应商的姓名或者名称、地址、邮编、联系人及联系电话；</w:t>
      </w:r>
    </w:p>
    <w:p>
      <w:pPr>
        <w:pStyle w:val="4"/>
        <w:spacing w:line="360" w:lineRule="auto"/>
        <w:ind w:left="735" w:leftChars="300" w:hanging="105" w:hangingChars="50"/>
        <w:rPr>
          <w:rFonts w:hAnsi="宋体" w:cs="宋体"/>
          <w:color w:val="000000" w:themeColor="text1"/>
          <w:sz w:val="21"/>
          <w:szCs w:val="21"/>
          <w14:textFill>
            <w14:solidFill>
              <w14:schemeClr w14:val="tx1"/>
            </w14:solidFill>
          </w14:textFill>
        </w:rPr>
      </w:pPr>
      <w:r>
        <w:rPr>
          <w:rFonts w:hAnsi="宋体" w:cs="宋体"/>
          <w:color w:val="000000" w:themeColor="text1"/>
          <w:sz w:val="21"/>
          <w:szCs w:val="21"/>
          <w14:textFill>
            <w14:solidFill>
              <w14:schemeClr w14:val="tx1"/>
            </w14:solidFill>
          </w14:textFill>
        </w:rPr>
        <w:t>（</w:t>
      </w:r>
      <w:r>
        <w:rPr>
          <w:rFonts w:hint="eastAsia" w:hAnsi="宋体" w:cs="宋体"/>
          <w:color w:val="000000" w:themeColor="text1"/>
          <w:sz w:val="21"/>
          <w:szCs w:val="21"/>
          <w14:textFill>
            <w14:solidFill>
              <w14:schemeClr w14:val="tx1"/>
            </w14:solidFill>
          </w14:textFill>
        </w:rPr>
        <w:t>2</w:t>
      </w:r>
      <w:r>
        <w:rPr>
          <w:rFonts w:hAnsi="宋体" w:cs="宋体"/>
          <w:color w:val="000000" w:themeColor="text1"/>
          <w:sz w:val="21"/>
          <w:szCs w:val="21"/>
          <w14:textFill>
            <w14:solidFill>
              <w14:schemeClr w14:val="tx1"/>
            </w14:solidFill>
          </w14:textFill>
        </w:rPr>
        <w:t>）质疑项目的名称、编号；</w:t>
      </w:r>
    </w:p>
    <w:p>
      <w:pPr>
        <w:pStyle w:val="4"/>
        <w:spacing w:line="360" w:lineRule="auto"/>
        <w:ind w:left="735" w:leftChars="300" w:hanging="105" w:hangingChars="50"/>
        <w:rPr>
          <w:rFonts w:hAnsi="宋体" w:cs="宋体"/>
          <w:color w:val="000000" w:themeColor="text1"/>
          <w:sz w:val="21"/>
          <w:szCs w:val="21"/>
          <w14:textFill>
            <w14:solidFill>
              <w14:schemeClr w14:val="tx1"/>
            </w14:solidFill>
          </w14:textFill>
        </w:rPr>
      </w:pPr>
      <w:r>
        <w:rPr>
          <w:rFonts w:hAnsi="宋体" w:cs="宋体"/>
          <w:color w:val="000000" w:themeColor="text1"/>
          <w:sz w:val="21"/>
          <w:szCs w:val="21"/>
          <w14:textFill>
            <w14:solidFill>
              <w14:schemeClr w14:val="tx1"/>
            </w14:solidFill>
          </w14:textFill>
        </w:rPr>
        <w:t>（</w:t>
      </w:r>
      <w:r>
        <w:rPr>
          <w:rFonts w:hint="eastAsia" w:hAnsi="宋体" w:cs="宋体"/>
          <w:color w:val="000000" w:themeColor="text1"/>
          <w:sz w:val="21"/>
          <w:szCs w:val="21"/>
          <w14:textFill>
            <w14:solidFill>
              <w14:schemeClr w14:val="tx1"/>
            </w14:solidFill>
          </w14:textFill>
        </w:rPr>
        <w:t>3</w:t>
      </w:r>
      <w:r>
        <w:rPr>
          <w:rFonts w:hAnsi="宋体" w:cs="宋体"/>
          <w:color w:val="000000" w:themeColor="text1"/>
          <w:sz w:val="21"/>
          <w:szCs w:val="21"/>
          <w14:textFill>
            <w14:solidFill>
              <w14:schemeClr w14:val="tx1"/>
            </w14:solidFill>
          </w14:textFill>
        </w:rPr>
        <w:t>）具体、明确的质疑事项和与质疑事项相关的请求；</w:t>
      </w:r>
    </w:p>
    <w:p>
      <w:pPr>
        <w:pStyle w:val="4"/>
        <w:spacing w:line="360" w:lineRule="auto"/>
        <w:ind w:left="735" w:leftChars="300" w:hanging="105" w:hangingChars="50"/>
        <w:rPr>
          <w:rFonts w:hAnsi="宋体" w:cs="宋体"/>
          <w:color w:val="000000" w:themeColor="text1"/>
          <w:sz w:val="21"/>
          <w:szCs w:val="21"/>
          <w14:textFill>
            <w14:solidFill>
              <w14:schemeClr w14:val="tx1"/>
            </w14:solidFill>
          </w14:textFill>
        </w:rPr>
      </w:pPr>
      <w:r>
        <w:rPr>
          <w:rFonts w:hAnsi="宋体" w:cs="宋体"/>
          <w:color w:val="000000" w:themeColor="text1"/>
          <w:sz w:val="21"/>
          <w:szCs w:val="21"/>
          <w14:textFill>
            <w14:solidFill>
              <w14:schemeClr w14:val="tx1"/>
            </w14:solidFill>
          </w14:textFill>
        </w:rPr>
        <w:t>（</w:t>
      </w:r>
      <w:r>
        <w:rPr>
          <w:rFonts w:hint="eastAsia" w:hAnsi="宋体" w:cs="宋体"/>
          <w:color w:val="000000" w:themeColor="text1"/>
          <w:sz w:val="21"/>
          <w:szCs w:val="21"/>
          <w14:textFill>
            <w14:solidFill>
              <w14:schemeClr w14:val="tx1"/>
            </w14:solidFill>
          </w14:textFill>
        </w:rPr>
        <w:t>4</w:t>
      </w:r>
      <w:r>
        <w:rPr>
          <w:rFonts w:hAnsi="宋体" w:cs="宋体"/>
          <w:color w:val="000000" w:themeColor="text1"/>
          <w:sz w:val="21"/>
          <w:szCs w:val="21"/>
          <w14:textFill>
            <w14:solidFill>
              <w14:schemeClr w14:val="tx1"/>
            </w14:solidFill>
          </w14:textFill>
        </w:rPr>
        <w:t>）事实依据；</w:t>
      </w:r>
    </w:p>
    <w:p>
      <w:pPr>
        <w:pStyle w:val="4"/>
        <w:spacing w:line="360" w:lineRule="auto"/>
        <w:ind w:left="735" w:leftChars="300" w:hanging="105" w:hangingChars="50"/>
        <w:rPr>
          <w:rFonts w:hAnsi="宋体" w:cs="宋体"/>
          <w:color w:val="000000" w:themeColor="text1"/>
          <w:sz w:val="21"/>
          <w:szCs w:val="21"/>
          <w14:textFill>
            <w14:solidFill>
              <w14:schemeClr w14:val="tx1"/>
            </w14:solidFill>
          </w14:textFill>
        </w:rPr>
      </w:pPr>
      <w:r>
        <w:rPr>
          <w:rFonts w:hAnsi="宋体" w:cs="宋体"/>
          <w:color w:val="000000" w:themeColor="text1"/>
          <w:sz w:val="21"/>
          <w:szCs w:val="21"/>
          <w14:textFill>
            <w14:solidFill>
              <w14:schemeClr w14:val="tx1"/>
            </w14:solidFill>
          </w14:textFill>
        </w:rPr>
        <w:t>（</w:t>
      </w:r>
      <w:r>
        <w:rPr>
          <w:rFonts w:hint="eastAsia" w:hAnsi="宋体" w:cs="宋体"/>
          <w:color w:val="000000" w:themeColor="text1"/>
          <w:sz w:val="21"/>
          <w:szCs w:val="21"/>
          <w14:textFill>
            <w14:solidFill>
              <w14:schemeClr w14:val="tx1"/>
            </w14:solidFill>
          </w14:textFill>
        </w:rPr>
        <w:t>5</w:t>
      </w:r>
      <w:r>
        <w:rPr>
          <w:rFonts w:hAnsi="宋体" w:cs="宋体"/>
          <w:color w:val="000000" w:themeColor="text1"/>
          <w:sz w:val="21"/>
          <w:szCs w:val="21"/>
          <w14:textFill>
            <w14:solidFill>
              <w14:schemeClr w14:val="tx1"/>
            </w14:solidFill>
          </w14:textFill>
        </w:rPr>
        <w:t>）必要的法律依据；</w:t>
      </w:r>
    </w:p>
    <w:p>
      <w:pPr>
        <w:pStyle w:val="4"/>
        <w:spacing w:line="360" w:lineRule="auto"/>
        <w:ind w:left="735" w:leftChars="300" w:hanging="105" w:hangingChars="50"/>
        <w:rPr>
          <w:rFonts w:hAnsi="宋体" w:cs="宋体"/>
          <w:color w:val="000000" w:themeColor="text1"/>
          <w:sz w:val="21"/>
          <w:szCs w:val="21"/>
          <w14:textFill>
            <w14:solidFill>
              <w14:schemeClr w14:val="tx1"/>
            </w14:solidFill>
          </w14:textFill>
        </w:rPr>
      </w:pPr>
      <w:r>
        <w:rPr>
          <w:rFonts w:hAnsi="宋体" w:cs="宋体"/>
          <w:color w:val="000000" w:themeColor="text1"/>
          <w:sz w:val="21"/>
          <w:szCs w:val="21"/>
          <w14:textFill>
            <w14:solidFill>
              <w14:schemeClr w14:val="tx1"/>
            </w14:solidFill>
          </w14:textFill>
        </w:rPr>
        <w:t>（</w:t>
      </w:r>
      <w:r>
        <w:rPr>
          <w:rFonts w:hint="eastAsia" w:hAnsi="宋体" w:cs="宋体"/>
          <w:color w:val="000000" w:themeColor="text1"/>
          <w:sz w:val="21"/>
          <w:szCs w:val="21"/>
          <w14:textFill>
            <w14:solidFill>
              <w14:schemeClr w14:val="tx1"/>
            </w14:solidFill>
          </w14:textFill>
        </w:rPr>
        <w:t>6</w:t>
      </w:r>
      <w:r>
        <w:rPr>
          <w:rFonts w:hAnsi="宋体" w:cs="宋体"/>
          <w:color w:val="000000" w:themeColor="text1"/>
          <w:sz w:val="21"/>
          <w:szCs w:val="21"/>
          <w14:textFill>
            <w14:solidFill>
              <w14:schemeClr w14:val="tx1"/>
            </w14:solidFill>
          </w14:textFill>
        </w:rPr>
        <w:t>）提出质疑的日期。</w:t>
      </w:r>
    </w:p>
    <w:p>
      <w:pPr>
        <w:pStyle w:val="4"/>
        <w:spacing w:line="360" w:lineRule="auto"/>
        <w:ind w:left="735" w:hanging="735" w:hangingChars="350"/>
        <w:rPr>
          <w:rFonts w:hAnsi="宋体" w:cs="宋体"/>
          <w:color w:val="000000" w:themeColor="text1"/>
          <w:sz w:val="21"/>
          <w:szCs w:val="21"/>
          <w14:textFill>
            <w14:solidFill>
              <w14:schemeClr w14:val="tx1"/>
            </w14:solidFill>
          </w14:textFill>
        </w:rPr>
      </w:pPr>
      <w:r>
        <w:rPr>
          <w:rFonts w:hint="eastAsia" w:ascii="Times New Roman"/>
          <w:color w:val="000000" w:themeColor="text1"/>
          <w:kern w:val="2"/>
          <w:sz w:val="21"/>
          <w:szCs w:val="24"/>
          <w14:textFill>
            <w14:solidFill>
              <w14:schemeClr w14:val="tx1"/>
            </w14:solidFill>
          </w14:textFill>
        </w:rPr>
        <w:t>29.5</w:t>
      </w:r>
      <w:r>
        <w:rPr>
          <w:rFonts w:ascii="Times New Roman"/>
          <w:color w:val="000000" w:themeColor="text1"/>
          <w:kern w:val="2"/>
          <w:sz w:val="21"/>
          <w:szCs w:val="24"/>
          <w14:textFill>
            <w14:solidFill>
              <w14:schemeClr w14:val="tx1"/>
            </w14:solidFill>
          </w14:textFill>
        </w:rPr>
        <w:tab/>
      </w:r>
      <w:r>
        <w:rPr>
          <w:rFonts w:hAnsi="宋体" w:cs="宋体"/>
          <w:color w:val="000000" w:themeColor="text1"/>
          <w:sz w:val="21"/>
          <w:szCs w:val="21"/>
          <w14:textFill>
            <w14:solidFill>
              <w14:schemeClr w14:val="tx1"/>
            </w14:solidFill>
          </w14:textFill>
        </w:rPr>
        <w:t>采购代理机构不得拒收质疑供应商在法定质疑期内发出的质疑函，应当在收到质疑函后7个工作日内作出答复，并以书面形式通知质疑供应商和其他有关供应商。质疑答复的内容不得涉及商业秘密。供应商对</w:t>
      </w:r>
      <w:r>
        <w:rPr>
          <w:rFonts w:hint="eastAsia" w:hAnsi="宋体" w:cs="宋体"/>
          <w:color w:val="000000" w:themeColor="text1"/>
          <w:sz w:val="21"/>
          <w:szCs w:val="21"/>
          <w14:textFill>
            <w14:solidFill>
              <w14:schemeClr w14:val="tx1"/>
            </w14:solidFill>
          </w14:textFill>
        </w:rPr>
        <w:t>评</w:t>
      </w:r>
      <w:r>
        <w:rPr>
          <w:rFonts w:hAnsi="宋体" w:cs="宋体"/>
          <w:color w:val="000000" w:themeColor="text1"/>
          <w:sz w:val="21"/>
          <w:szCs w:val="21"/>
          <w14:textFill>
            <w14:solidFill>
              <w14:schemeClr w14:val="tx1"/>
            </w14:solidFill>
          </w14:textFill>
        </w:rPr>
        <w:t>审过程、成交结果提出质疑的，采购代理机构可以组织原评审委员会协助答复质疑。</w:t>
      </w:r>
    </w:p>
    <w:p>
      <w:pPr>
        <w:widowControl/>
        <w:spacing w:line="360" w:lineRule="auto"/>
        <w:ind w:left="735" w:hanging="735" w:hangingChars="350"/>
        <w:jc w:val="left"/>
        <w:rPr>
          <w:rFonts w:ascii="宋体" w:hAnsi="宋体" w:cs="宋体"/>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29.6</w:t>
      </w:r>
      <w:r>
        <w:rPr>
          <w:color w:val="000000" w:themeColor="text1"/>
          <w14:textFill>
            <w14:solidFill>
              <w14:schemeClr w14:val="tx1"/>
            </w14:solidFill>
          </w14:textFill>
        </w:rPr>
        <w:tab/>
      </w:r>
      <w:r>
        <w:rPr>
          <w:rFonts w:ascii="宋体" w:hAnsi="宋体" w:cs="宋体"/>
          <w:color w:val="000000" w:themeColor="text1"/>
          <w:kern w:val="0"/>
          <w:szCs w:val="21"/>
          <w14:textFill>
            <w14:solidFill>
              <w14:schemeClr w14:val="tx1"/>
            </w14:solidFill>
          </w14:textFill>
        </w:rPr>
        <w:t>采购人、采购代理机构认为供应商质疑不成立，或者成立但未对成交结果构成影响的，继续开展采购活动；认为供应商质疑成立且影响或者可能影响成交结果的，按照下列情况处理：</w:t>
      </w:r>
    </w:p>
    <w:p>
      <w:pPr>
        <w:autoSpaceDE w:val="0"/>
        <w:autoSpaceDN w:val="0"/>
        <w:spacing w:line="360" w:lineRule="auto"/>
        <w:ind w:left="1260" w:leftChars="350" w:hanging="525" w:hangingChars="25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）对磋商文件提出的质疑，依法通过澄清或者修改可以继续开展采购活动的，澄清或者修改磋商文件后继续开展采购活动；否则应当修改磋商文件后重新开展采购活动。</w:t>
      </w:r>
    </w:p>
    <w:p>
      <w:pPr>
        <w:widowControl/>
        <w:spacing w:line="360" w:lineRule="auto"/>
        <w:ind w:left="1260" w:leftChars="350" w:hanging="525" w:hangingChars="25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2</w:t>
      </w:r>
      <w:r>
        <w:rPr>
          <w:rFonts w:ascii="宋体" w:hAnsi="宋体" w:cs="宋体"/>
          <w:color w:val="000000" w:themeColor="text1"/>
          <w:kern w:val="0"/>
          <w:szCs w:val="21"/>
          <w14:textFill>
            <w14:solidFill>
              <w14:schemeClr w14:val="tx1"/>
            </w14:solidFill>
          </w14:textFill>
        </w:rPr>
        <w:t>）对采购过程、成交结果提出的质疑，合格供应商符合法定数量时，可以从合格的成交候选人中另行确定成交供应商的，应当依法另行确定成交供应商；否则应当重新开展采购活动。</w:t>
      </w:r>
    </w:p>
    <w:p>
      <w:pPr>
        <w:spacing w:line="360" w:lineRule="auto"/>
        <w:ind w:left="840" w:hanging="840" w:hangingChars="400"/>
        <w:jc w:val="left"/>
        <w:rPr>
          <w:color w:val="000000" w:themeColor="text1"/>
          <w:sz w:val="24"/>
          <w:szCs w:val="20"/>
          <w14:textFill>
            <w14:solidFill>
              <w14:schemeClr w14:val="tx1"/>
            </w14:solidFill>
          </w14:textFill>
        </w:rPr>
      </w:pPr>
      <w:r>
        <w:rPr>
          <w:rFonts w:hint="eastAsia"/>
          <w:color w:val="000000" w:themeColor="text1"/>
          <w14:textFill>
            <w14:solidFill>
              <w14:schemeClr w14:val="tx1"/>
            </w14:solidFill>
          </w14:textFill>
        </w:rPr>
        <w:t>29.7</w:t>
      </w:r>
      <w:r>
        <w:rPr>
          <w:color w:val="000000" w:themeColor="text1"/>
          <w14:textFill>
            <w14:solidFill>
              <w14:schemeClr w14:val="tx1"/>
            </w14:solidFill>
          </w14:textFill>
        </w:rPr>
        <w:tab/>
      </w:r>
      <w:r>
        <w:rPr>
          <w:rFonts w:hAnsi="宋体" w:cs="宋体"/>
          <w:color w:val="000000" w:themeColor="text1"/>
          <w:szCs w:val="21"/>
          <w14:textFill>
            <w14:solidFill>
              <w14:schemeClr w14:val="tx1"/>
            </w14:solidFill>
          </w14:textFill>
        </w:rPr>
        <w:t>质疑答复导致成交结果改变的，采购人或者采购代理机构应当将有关情况书面报告本级财政部门。</w:t>
      </w:r>
    </w:p>
    <w:p>
      <w:pPr>
        <w:spacing w:line="360" w:lineRule="auto"/>
        <w:rPr>
          <w:color w:val="000000" w:themeColor="text1"/>
          <w:sz w:val="24"/>
          <w14:textFill>
            <w14:solidFill>
              <w14:schemeClr w14:val="tx1"/>
            </w14:solidFill>
          </w14:textFill>
        </w:rPr>
        <w:sectPr>
          <w:pgSz w:w="11907" w:h="16840"/>
          <w:pgMar w:top="1758" w:right="1701" w:bottom="1588" w:left="1259" w:header="851" w:footer="851" w:gutter="0"/>
          <w:cols w:space="720" w:num="1"/>
          <w:titlePg/>
          <w:docGrid w:linePitch="462" w:charSpace="0"/>
        </w:sectPr>
      </w:pPr>
    </w:p>
    <w:p>
      <w:pPr>
        <w:pStyle w:val="2"/>
        <w:keepNext w:val="0"/>
        <w:keepLines w:val="0"/>
        <w:rPr>
          <w:rFonts w:hAnsi="宋体"/>
          <w:color w:val="000000" w:themeColor="text1"/>
          <w14:textFill>
            <w14:solidFill>
              <w14:schemeClr w14:val="tx1"/>
            </w14:solidFill>
          </w14:textFill>
        </w:rPr>
      </w:pPr>
      <w:bookmarkStart w:id="422" w:name="_Toc139531403"/>
      <w:bookmarkStart w:id="423" w:name="OLE_LINK86"/>
      <w:bookmarkStart w:id="424" w:name="_Toc133737843"/>
      <w:bookmarkStart w:id="425" w:name="_Toc133737932"/>
      <w:bookmarkStart w:id="426" w:name="_Toc133916713"/>
      <w:r>
        <w:rPr>
          <w:rFonts w:hint="eastAsia" w:hAnsi="宋体"/>
          <w:color w:val="000000" w:themeColor="text1"/>
          <w14:textFill>
            <w14:solidFill>
              <w14:schemeClr w14:val="tx1"/>
            </w14:solidFill>
          </w14:textFill>
        </w:rPr>
        <w:t xml:space="preserve">第二章 </w:t>
      </w:r>
      <w:r>
        <w:rPr>
          <w:rFonts w:hAnsi="宋体"/>
          <w:color w:val="000000" w:themeColor="text1"/>
          <w14:textFill>
            <w14:solidFill>
              <w14:schemeClr w14:val="tx1"/>
            </w14:solidFill>
          </w14:textFill>
        </w:rPr>
        <w:t xml:space="preserve"> </w:t>
      </w:r>
      <w:r>
        <w:rPr>
          <w:rFonts w:hint="eastAsia" w:hAnsi="宋体"/>
          <w:color w:val="000000" w:themeColor="text1"/>
          <w14:textFill>
            <w14:solidFill>
              <w14:schemeClr w14:val="tx1"/>
            </w14:solidFill>
          </w14:textFill>
        </w:rPr>
        <w:t>合同格式及主要条款</w:t>
      </w:r>
      <w:bookmarkEnd w:id="422"/>
    </w:p>
    <w:p>
      <w:pPr>
        <w:widowControl/>
        <w:autoSpaceDE w:val="0"/>
        <w:autoSpaceDN w:val="0"/>
        <w:spacing w:line="360" w:lineRule="auto"/>
        <w:textAlignment w:val="bottom"/>
        <w:rPr>
          <w:rFonts w:ascii="Arial" w:hAnsi="Arial" w:cs="Arial"/>
          <w:b/>
          <w:bCs/>
          <w:color w:val="FF0000"/>
          <w:sz w:val="28"/>
          <w:shd w:val="pct10" w:color="auto" w:fill="FFFFFF"/>
        </w:rPr>
      </w:pPr>
      <w:r>
        <w:rPr>
          <w:rFonts w:hint="eastAsia" w:ascii="Arial" w:hAnsi="Arial" w:cs="Arial"/>
          <w:b/>
          <w:bCs/>
          <w:color w:val="FF0000"/>
          <w:sz w:val="28"/>
          <w:shd w:val="pct10" w:color="auto" w:fill="FFFFFF"/>
        </w:rPr>
        <w:t>货物类</w:t>
      </w:r>
    </w:p>
    <w:p>
      <w:pPr>
        <w:widowControl/>
        <w:autoSpaceDE w:val="0"/>
        <w:autoSpaceDN w:val="0"/>
        <w:spacing w:line="360" w:lineRule="auto"/>
        <w:textAlignment w:val="bottom"/>
        <w:rPr>
          <w:rFonts w:ascii="Arial" w:hAnsi="Arial" w:cs="Arial"/>
          <w:bCs/>
        </w:rPr>
      </w:pPr>
      <w:r>
        <w:rPr>
          <w:rFonts w:hint="eastAsia" w:ascii="Arial" w:hAnsi="Arial" w:cs="Arial"/>
          <w:bCs/>
          <w:shd w:val="pct10" w:color="auto" w:fill="FFFFFF"/>
        </w:rPr>
        <w:t>合同编号：</w:t>
      </w:r>
      <w:r>
        <w:rPr>
          <w:rFonts w:hint="eastAsia" w:ascii="Arial" w:hAnsi="Arial" w:cs="Arial"/>
          <w:bCs/>
          <w:color w:val="FF0000"/>
          <w:shd w:val="pct10" w:color="auto" w:fill="FFFFFF"/>
        </w:rPr>
        <w:t>（即招标</w:t>
      </w:r>
      <w:r>
        <w:rPr>
          <w:rFonts w:ascii="Arial" w:hAnsi="Arial" w:cs="Arial"/>
          <w:bCs/>
          <w:color w:val="FF0000"/>
          <w:shd w:val="pct10" w:color="auto" w:fill="FFFFFF"/>
        </w:rPr>
        <w:t>编号</w:t>
      </w:r>
      <w:r>
        <w:rPr>
          <w:rFonts w:hint="eastAsia" w:ascii="Arial" w:hAnsi="Arial" w:cs="Arial"/>
          <w:bCs/>
          <w:color w:val="FF0000"/>
          <w:shd w:val="pct10" w:color="auto" w:fill="FFFFFF"/>
        </w:rPr>
        <w:t>）</w:t>
      </w:r>
    </w:p>
    <w:p>
      <w:pPr>
        <w:widowControl/>
        <w:autoSpaceDE w:val="0"/>
        <w:autoSpaceDN w:val="0"/>
        <w:spacing w:line="360" w:lineRule="auto"/>
        <w:textAlignment w:val="bottom"/>
        <w:rPr>
          <w:rFonts w:ascii="Arial" w:hAnsi="Arial" w:cs="Arial"/>
          <w:bCs/>
          <w:color w:val="000000" w:themeColor="text1"/>
          <w14:textFill>
            <w14:solidFill>
              <w14:schemeClr w14:val="tx1"/>
            </w14:solidFill>
          </w14:textFill>
        </w:rPr>
      </w:pPr>
    </w:p>
    <w:p>
      <w:pPr>
        <w:spacing w:line="360" w:lineRule="auto"/>
        <w:jc w:val="center"/>
        <w:rPr>
          <w:rFonts w:ascii="宋体" w:hAnsi="宋体"/>
          <w:b/>
          <w:sz w:val="36"/>
          <w:szCs w:val="36"/>
        </w:rPr>
      </w:pPr>
      <w:r>
        <w:rPr>
          <w:rFonts w:hint="eastAsia" w:ascii="宋体" w:hAnsi="宋体"/>
          <w:b/>
          <w:color w:val="000000" w:themeColor="text1"/>
          <w:sz w:val="36"/>
          <w:szCs w:val="36"/>
          <w14:textFill>
            <w14:solidFill>
              <w14:schemeClr w14:val="tx1"/>
            </w14:solidFill>
          </w14:textFill>
        </w:rPr>
        <w:t>*</w:t>
      </w:r>
      <w:r>
        <w:rPr>
          <w:rFonts w:hint="eastAsia" w:ascii="宋体" w:hAnsi="宋体"/>
          <w:b/>
          <w:sz w:val="36"/>
          <w:szCs w:val="36"/>
        </w:rPr>
        <w:t>****购销合同</w:t>
      </w:r>
    </w:p>
    <w:p>
      <w:pPr>
        <w:spacing w:line="360" w:lineRule="auto"/>
        <w:rPr>
          <w:rFonts w:ascii="宋体" w:hAnsi="宋体"/>
          <w:sz w:val="24"/>
        </w:rPr>
      </w:pP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本合同由中华人民共和国的</w:t>
      </w:r>
      <w:r>
        <w:rPr>
          <w:rFonts w:hint="eastAsia" w:ascii="宋体" w:hAnsi="宋体"/>
          <w:sz w:val="24"/>
          <w:u w:val="single"/>
        </w:rPr>
        <w:t>北京交通大学</w:t>
      </w:r>
      <w:r>
        <w:rPr>
          <w:rFonts w:hint="eastAsia" w:ascii="宋体" w:hAnsi="宋体"/>
          <w:sz w:val="24"/>
        </w:rPr>
        <w:t>（以下简称“买方”）和</w:t>
      </w:r>
      <w:r>
        <w:rPr>
          <w:rFonts w:hint="eastAsia" w:ascii="宋体" w:hAnsi="宋体"/>
          <w:sz w:val="24"/>
          <w:u w:val="single"/>
        </w:rPr>
        <w:t>********公司</w:t>
      </w:r>
      <w:r>
        <w:rPr>
          <w:rFonts w:hint="eastAsia" w:ascii="宋体" w:hAnsi="宋体"/>
          <w:sz w:val="24"/>
        </w:rPr>
        <w:t>（以下简称“卖方”）按下述条款和条件签署。</w:t>
      </w:r>
    </w:p>
    <w:p>
      <w:pPr>
        <w:spacing w:line="360" w:lineRule="auto"/>
        <w:ind w:firstLine="480" w:firstLineChars="200"/>
        <w:jc w:val="left"/>
        <w:rPr>
          <w:rFonts w:ascii="宋体" w:hAnsi="宋体"/>
          <w:sz w:val="24"/>
        </w:rPr>
      </w:pPr>
      <w:r>
        <w:rPr>
          <w:rFonts w:hint="eastAsia" w:ascii="宋体" w:hAnsi="宋体"/>
          <w:sz w:val="24"/>
        </w:rPr>
        <w:t>鉴于买方为获得以下货物和伴随服务，即（</w:t>
      </w:r>
      <w:r>
        <w:rPr>
          <w:rFonts w:hint="eastAsia" w:ascii="宋体" w:hAnsi="宋体"/>
          <w:sz w:val="24"/>
          <w:u w:val="single"/>
        </w:rPr>
        <w:t>****</w:t>
      </w:r>
      <w:r>
        <w:rPr>
          <w:rFonts w:ascii="宋体" w:hAnsi="宋体"/>
          <w:sz w:val="24"/>
          <w:u w:val="single"/>
        </w:rPr>
        <w:t>****</w:t>
      </w:r>
      <w:r>
        <w:rPr>
          <w:rFonts w:hint="eastAsia" w:ascii="宋体" w:hAnsi="宋体"/>
          <w:sz w:val="24"/>
          <w:u w:val="single"/>
        </w:rPr>
        <w:t>**</w:t>
      </w:r>
      <w:r>
        <w:rPr>
          <w:rFonts w:hint="eastAsia" w:ascii="宋体" w:hAnsi="宋体"/>
          <w:sz w:val="24"/>
        </w:rPr>
        <w:t>）而公开投标，投标项目名称为“北京交通大学******”，招标编号为*******。并接受了卖方以总金额（</w:t>
      </w:r>
      <w:r>
        <w:rPr>
          <w:rFonts w:hint="eastAsia" w:ascii="宋体" w:hAnsi="宋体"/>
          <w:sz w:val="24"/>
          <w:u w:val="single"/>
        </w:rPr>
        <w:t>人民币：*******</w:t>
      </w:r>
      <w:r>
        <w:rPr>
          <w:rFonts w:hint="eastAsia" w:ascii="宋体" w:hAnsi="宋体"/>
          <w:sz w:val="24"/>
        </w:rPr>
        <w:t>万元，</w:t>
      </w:r>
      <w:r>
        <w:rPr>
          <w:rFonts w:hint="eastAsia" w:ascii="宋体" w:hAnsi="宋体"/>
          <w:sz w:val="24"/>
          <w:u w:val="single"/>
        </w:rPr>
        <w:t>￥*******</w:t>
      </w:r>
      <w:r>
        <w:rPr>
          <w:rFonts w:hint="eastAsia" w:ascii="宋体" w:hAnsi="宋体"/>
          <w:sz w:val="24"/>
        </w:rPr>
        <w:t>）（以下简称“合同价”）提供上述货物和伴随服务的投标。</w:t>
      </w:r>
    </w:p>
    <w:p>
      <w:pPr>
        <w:spacing w:line="360" w:lineRule="auto"/>
        <w:ind w:firstLine="480" w:firstLineChars="200"/>
        <w:rPr>
          <w:rFonts w:ascii="宋体" w:hAnsi="宋体"/>
          <w:sz w:val="24"/>
        </w:rPr>
      </w:pPr>
      <w:r>
        <w:rPr>
          <w:rFonts w:hint="eastAsia" w:ascii="宋体" w:hAnsi="宋体"/>
          <w:sz w:val="24"/>
        </w:rPr>
        <w:t>本合同在此声明如下：</w:t>
      </w:r>
    </w:p>
    <w:p>
      <w:pPr>
        <w:numPr>
          <w:ilvl w:val="0"/>
          <w:numId w:val="8"/>
        </w:numPr>
        <w:spacing w:line="360" w:lineRule="auto"/>
        <w:rPr>
          <w:rFonts w:ascii="宋体" w:hAnsi="宋体"/>
          <w:sz w:val="24"/>
        </w:rPr>
      </w:pPr>
      <w:r>
        <w:rPr>
          <w:rFonts w:hint="eastAsia" w:ascii="宋体" w:hAnsi="宋体"/>
          <w:sz w:val="24"/>
        </w:rPr>
        <w:t>下述文件是本合同的一部分，并与本合同一起阅读和解释；</w:t>
      </w:r>
    </w:p>
    <w:p>
      <w:pPr>
        <w:numPr>
          <w:ilvl w:val="0"/>
          <w:numId w:val="9"/>
        </w:numPr>
        <w:spacing w:line="360" w:lineRule="auto"/>
        <w:rPr>
          <w:rFonts w:ascii="宋体" w:hAnsi="宋体"/>
          <w:sz w:val="24"/>
        </w:rPr>
      </w:pPr>
      <w:r>
        <w:rPr>
          <w:rFonts w:hint="eastAsia" w:ascii="宋体" w:hAnsi="宋体"/>
          <w:sz w:val="24"/>
        </w:rPr>
        <w:t>合同条款</w:t>
      </w:r>
    </w:p>
    <w:p>
      <w:pPr>
        <w:numPr>
          <w:ilvl w:val="0"/>
          <w:numId w:val="10"/>
        </w:numPr>
        <w:spacing w:line="360" w:lineRule="auto"/>
        <w:rPr>
          <w:rFonts w:ascii="宋体" w:hAnsi="宋体"/>
          <w:sz w:val="24"/>
        </w:rPr>
      </w:pPr>
      <w:r>
        <w:rPr>
          <w:rFonts w:hint="eastAsia" w:ascii="宋体" w:hAnsi="宋体"/>
          <w:sz w:val="24"/>
        </w:rPr>
        <w:t>投标文件</w:t>
      </w:r>
    </w:p>
    <w:p>
      <w:pPr>
        <w:numPr>
          <w:ilvl w:val="0"/>
          <w:numId w:val="10"/>
        </w:numPr>
        <w:spacing w:line="360" w:lineRule="auto"/>
        <w:rPr>
          <w:rFonts w:ascii="宋体" w:hAnsi="宋体"/>
          <w:sz w:val="24"/>
        </w:rPr>
      </w:pPr>
      <w:r>
        <w:rPr>
          <w:rFonts w:hint="eastAsia" w:ascii="宋体" w:hAnsi="宋体"/>
          <w:sz w:val="24"/>
        </w:rPr>
        <w:t>招标文件</w:t>
      </w:r>
    </w:p>
    <w:p>
      <w:pPr>
        <w:numPr>
          <w:ilvl w:val="0"/>
          <w:numId w:val="10"/>
        </w:numPr>
        <w:spacing w:line="360" w:lineRule="auto"/>
        <w:rPr>
          <w:rFonts w:ascii="宋体" w:hAnsi="宋体"/>
          <w:sz w:val="24"/>
        </w:rPr>
      </w:pPr>
      <w:r>
        <w:rPr>
          <w:rFonts w:hint="eastAsia" w:ascii="宋体" w:hAnsi="宋体"/>
          <w:sz w:val="24"/>
        </w:rPr>
        <w:t>中标通知书</w:t>
      </w:r>
    </w:p>
    <w:p>
      <w:pPr>
        <w:numPr>
          <w:ilvl w:val="0"/>
          <w:numId w:val="8"/>
        </w:numPr>
        <w:spacing w:line="360" w:lineRule="auto"/>
        <w:rPr>
          <w:rFonts w:ascii="宋体" w:hAnsi="宋体"/>
          <w:sz w:val="24"/>
        </w:rPr>
      </w:pPr>
      <w:r>
        <w:rPr>
          <w:rFonts w:hint="eastAsia" w:ascii="宋体" w:hAnsi="宋体"/>
          <w:sz w:val="24"/>
        </w:rPr>
        <w:t>考虑到买方将按照本合同向卖方支付，卖方在此保证全部按照合同的规定向买方提供货物和服务，并修补缺陷。</w:t>
      </w:r>
    </w:p>
    <w:p>
      <w:pPr>
        <w:numPr>
          <w:ilvl w:val="0"/>
          <w:numId w:val="8"/>
        </w:numPr>
        <w:spacing w:line="360" w:lineRule="auto"/>
        <w:rPr>
          <w:rFonts w:ascii="宋体" w:hAnsi="宋体"/>
          <w:sz w:val="24"/>
        </w:rPr>
      </w:pPr>
      <w:r>
        <w:rPr>
          <w:rFonts w:hint="eastAsia" w:ascii="宋体" w:hAnsi="宋体"/>
          <w:sz w:val="24"/>
        </w:rPr>
        <w:t>考虑到卖方提供的货物和服务并修补缺陷，买方在此保证按照合同规定的时间和方式向卖方支付合同价或其他按合同规定应支付的金额。</w:t>
      </w:r>
    </w:p>
    <w:p>
      <w:pPr>
        <w:numPr>
          <w:ilvl w:val="0"/>
          <w:numId w:val="8"/>
        </w:numPr>
        <w:spacing w:line="360" w:lineRule="auto"/>
        <w:rPr>
          <w:rFonts w:ascii="宋体" w:hAnsi="宋体"/>
          <w:sz w:val="24"/>
        </w:rPr>
      </w:pPr>
      <w:r>
        <w:rPr>
          <w:rFonts w:hint="eastAsia" w:ascii="宋体" w:hAnsi="宋体"/>
          <w:sz w:val="24"/>
        </w:rPr>
        <w:t>双方根据相关法律法规签署本合同。</w:t>
      </w:r>
    </w:p>
    <w:p>
      <w:pPr>
        <w:spacing w:line="360" w:lineRule="auto"/>
        <w:ind w:firstLine="480" w:firstLineChars="200"/>
        <w:rPr>
          <w:rFonts w:ascii="宋体" w:hAnsi="宋体"/>
          <w:sz w:val="24"/>
        </w:rPr>
      </w:pPr>
    </w:p>
    <w:p>
      <w:pPr>
        <w:widowControl/>
        <w:autoSpaceDE w:val="0"/>
        <w:autoSpaceDN w:val="0"/>
        <w:spacing w:line="360" w:lineRule="auto"/>
        <w:jc w:val="center"/>
        <w:textAlignment w:val="bottom"/>
        <w:rPr>
          <w:rFonts w:ascii="宋体" w:hAnsi="宋体"/>
          <w:b/>
          <w:sz w:val="30"/>
          <w:szCs w:val="30"/>
        </w:rPr>
      </w:pPr>
      <w:r>
        <w:rPr>
          <w:rFonts w:ascii="宋体" w:hAnsi="宋体"/>
          <w:sz w:val="24"/>
          <w:u w:val="single"/>
        </w:rPr>
        <w:br w:type="page"/>
      </w:r>
      <w:r>
        <w:rPr>
          <w:rFonts w:hint="eastAsia" w:ascii="宋体" w:hAnsi="宋体"/>
          <w:b/>
          <w:sz w:val="30"/>
          <w:szCs w:val="30"/>
        </w:rPr>
        <w:t>合同条款</w:t>
      </w:r>
    </w:p>
    <w:p>
      <w:pPr>
        <w:spacing w:line="360" w:lineRule="auto"/>
        <w:ind w:firstLine="482" w:firstLineChars="200"/>
        <w:jc w:val="left"/>
        <w:rPr>
          <w:rFonts w:ascii="Arial" w:hAnsi="Arial" w:cs="Arial"/>
          <w:b/>
          <w:sz w:val="24"/>
        </w:rPr>
      </w:pPr>
    </w:p>
    <w:p>
      <w:pPr>
        <w:spacing w:line="360" w:lineRule="auto"/>
        <w:ind w:firstLine="482" w:firstLineChars="200"/>
        <w:jc w:val="left"/>
        <w:rPr>
          <w:rFonts w:ascii="Arial" w:hAnsi="Arial" w:cs="Arial"/>
          <w:b/>
          <w:sz w:val="24"/>
        </w:rPr>
      </w:pPr>
      <w:r>
        <w:rPr>
          <w:rFonts w:hint="eastAsia" w:ascii="Arial" w:hAnsi="Arial" w:cs="Arial"/>
          <w:b/>
          <w:sz w:val="24"/>
        </w:rPr>
        <w:t>买方：北京交通大学</w:t>
      </w:r>
    </w:p>
    <w:p>
      <w:pPr>
        <w:spacing w:line="360" w:lineRule="auto"/>
        <w:ind w:firstLine="482" w:firstLineChars="200"/>
        <w:jc w:val="left"/>
        <w:rPr>
          <w:rFonts w:ascii="Arial" w:hAnsi="Arial" w:cs="Arial"/>
          <w:b/>
          <w:sz w:val="24"/>
        </w:rPr>
      </w:pPr>
      <w:r>
        <w:rPr>
          <w:rFonts w:hint="eastAsia" w:ascii="Arial" w:hAnsi="Arial" w:cs="Arial"/>
          <w:b/>
          <w:sz w:val="24"/>
        </w:rPr>
        <w:t>卖方：</w:t>
      </w:r>
      <w:r>
        <w:rPr>
          <w:rFonts w:hint="eastAsia" w:ascii="宋体" w:hAnsi="宋体"/>
          <w:b/>
          <w:sz w:val="24"/>
        </w:rPr>
        <w:t>*******公司</w:t>
      </w:r>
    </w:p>
    <w:p>
      <w:pPr>
        <w:spacing w:line="360" w:lineRule="auto"/>
        <w:ind w:firstLine="482" w:firstLineChars="200"/>
        <w:jc w:val="left"/>
        <w:rPr>
          <w:rFonts w:ascii="Arial" w:hAnsi="Arial" w:cs="Arial"/>
          <w:b/>
          <w:sz w:val="24"/>
        </w:rPr>
      </w:pPr>
    </w:p>
    <w:p>
      <w:pPr>
        <w:spacing w:line="360" w:lineRule="auto"/>
        <w:ind w:firstLine="482" w:firstLineChars="200"/>
        <w:rPr>
          <w:rFonts w:ascii="宋体" w:hAnsi="宋体" w:cs="宋体"/>
          <w:b/>
          <w:color w:val="0D0D0D"/>
          <w:sz w:val="24"/>
        </w:rPr>
      </w:pPr>
      <w:r>
        <w:rPr>
          <w:rFonts w:hint="eastAsia" w:ascii="宋体" w:hAnsi="宋体" w:cs="宋体"/>
          <w:b/>
          <w:color w:val="0D0D0D"/>
          <w:sz w:val="24"/>
        </w:rPr>
        <w:t>1</w:t>
      </w:r>
      <w:r>
        <w:rPr>
          <w:rFonts w:ascii="宋体" w:hAnsi="宋体" w:cs="宋体"/>
          <w:b/>
          <w:color w:val="0D0D0D"/>
          <w:sz w:val="24"/>
        </w:rPr>
        <w:t>.</w:t>
      </w:r>
      <w:r>
        <w:rPr>
          <w:rFonts w:hint="eastAsia" w:ascii="宋体" w:hAnsi="宋体" w:cs="宋体"/>
          <w:b/>
          <w:color w:val="0D0D0D"/>
          <w:sz w:val="24"/>
        </w:rPr>
        <w:t>货物名称、货物数量、货物价格</w:t>
      </w:r>
    </w:p>
    <w:p>
      <w:pPr>
        <w:numPr>
          <w:ilvl w:val="0"/>
          <w:numId w:val="11"/>
        </w:numPr>
        <w:spacing w:line="360" w:lineRule="auto"/>
        <w:ind w:left="0" w:firstLine="426"/>
        <w:rPr>
          <w:sz w:val="24"/>
        </w:rPr>
      </w:pPr>
      <w:r>
        <w:rPr>
          <w:rFonts w:hint="eastAsia"/>
          <w:sz w:val="24"/>
        </w:rPr>
        <w:t>买方向卖方购买的货物的名称、数量和价格（人民币</w:t>
      </w:r>
      <w:r>
        <w:rPr>
          <w:rFonts w:hint="eastAsia" w:ascii="宋体" w:hAnsi="宋体"/>
          <w:sz w:val="24"/>
        </w:rPr>
        <w:t>/</w:t>
      </w:r>
      <w:r>
        <w:rPr>
          <w:rFonts w:hint="eastAsia"/>
          <w:sz w:val="24"/>
        </w:rPr>
        <w:t>元）</w:t>
      </w:r>
    </w:p>
    <w:tbl>
      <w:tblPr>
        <w:tblStyle w:val="39"/>
        <w:tblW w:w="9068" w:type="dxa"/>
        <w:jc w:val="center"/>
        <w:tblLayout w:type="autofit"/>
        <w:tblCellMar>
          <w:top w:w="0" w:type="dxa"/>
          <w:left w:w="108" w:type="dxa"/>
          <w:bottom w:w="0" w:type="dxa"/>
          <w:right w:w="108" w:type="dxa"/>
        </w:tblCellMar>
      </w:tblPr>
      <w:tblGrid>
        <w:gridCol w:w="804"/>
        <w:gridCol w:w="2606"/>
        <w:gridCol w:w="1880"/>
        <w:gridCol w:w="1228"/>
        <w:gridCol w:w="1268"/>
        <w:gridCol w:w="1282"/>
      </w:tblGrid>
      <w:tr>
        <w:tblPrEx>
          <w:tblCellMar>
            <w:top w:w="0" w:type="dxa"/>
            <w:left w:w="108" w:type="dxa"/>
            <w:bottom w:w="0" w:type="dxa"/>
            <w:right w:w="108" w:type="dxa"/>
          </w:tblCellMar>
        </w:tblPrEx>
        <w:trPr>
          <w:trHeight w:val="660" w:hRule="atLeast"/>
          <w:jc w:val="center"/>
        </w:trPr>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黑体" w:hAnsi="宋体" w:eastAsia="黑体" w:cs="宋体"/>
                <w:kern w:val="0"/>
                <w:sz w:val="24"/>
              </w:rPr>
            </w:pPr>
            <w:r>
              <w:rPr>
                <w:rFonts w:hint="eastAsia" w:ascii="黑体" w:hAnsi="宋体" w:eastAsia="黑体" w:cs="宋体"/>
                <w:kern w:val="0"/>
                <w:sz w:val="24"/>
              </w:rPr>
              <w:t>序号</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黑体" w:hAnsi="宋体" w:eastAsia="黑体" w:cs="宋体"/>
                <w:kern w:val="0"/>
                <w:sz w:val="24"/>
              </w:rPr>
            </w:pPr>
            <w:r>
              <w:rPr>
                <w:rFonts w:hint="eastAsia" w:ascii="黑体" w:hAnsi="宋体" w:eastAsia="黑体" w:cs="宋体"/>
                <w:kern w:val="0"/>
                <w:sz w:val="24"/>
              </w:rPr>
              <w:t>货物名称</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黑体" w:hAnsi="宋体" w:eastAsia="黑体" w:cs="宋体"/>
                <w:kern w:val="0"/>
                <w:sz w:val="24"/>
              </w:rPr>
            </w:pPr>
            <w:r>
              <w:rPr>
                <w:rFonts w:hint="eastAsia" w:ascii="黑体" w:hAnsi="宋体" w:eastAsia="黑体" w:cs="宋体"/>
                <w:kern w:val="0"/>
                <w:sz w:val="24"/>
              </w:rPr>
              <w:t>品牌、型号</w:t>
            </w:r>
          </w:p>
        </w:tc>
        <w:tc>
          <w:tcPr>
            <w:tcW w:w="122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黑体" w:hAnsi="宋体" w:eastAsia="黑体" w:cs="宋体"/>
                <w:kern w:val="0"/>
                <w:sz w:val="24"/>
              </w:rPr>
            </w:pPr>
            <w:r>
              <w:rPr>
                <w:rFonts w:hint="eastAsia" w:ascii="黑体" w:hAnsi="宋体" w:eastAsia="黑体" w:cs="宋体"/>
                <w:kern w:val="0"/>
                <w:sz w:val="24"/>
              </w:rPr>
              <w:t>数量</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宋体" w:eastAsia="黑体" w:cs="宋体"/>
                <w:kern w:val="0"/>
                <w:sz w:val="24"/>
              </w:rPr>
            </w:pPr>
            <w:r>
              <w:rPr>
                <w:rFonts w:hint="eastAsia" w:ascii="黑体" w:hAnsi="宋体" w:eastAsia="黑体" w:cs="宋体"/>
                <w:kern w:val="0"/>
                <w:sz w:val="24"/>
              </w:rPr>
              <w:t>单价</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宋体" w:eastAsia="黑体" w:cs="宋体"/>
                <w:kern w:val="0"/>
                <w:sz w:val="24"/>
              </w:rPr>
            </w:pPr>
            <w:r>
              <w:rPr>
                <w:rFonts w:hint="eastAsia" w:ascii="黑体" w:hAnsi="宋体" w:eastAsia="黑体" w:cs="宋体"/>
                <w:kern w:val="0"/>
                <w:sz w:val="24"/>
              </w:rPr>
              <w:t>总价</w:t>
            </w:r>
          </w:p>
        </w:tc>
      </w:tr>
      <w:tr>
        <w:tblPrEx>
          <w:tblCellMar>
            <w:top w:w="0" w:type="dxa"/>
            <w:left w:w="108" w:type="dxa"/>
            <w:bottom w:w="0" w:type="dxa"/>
            <w:right w:w="108" w:type="dxa"/>
          </w:tblCellMar>
        </w:tblPrEx>
        <w:trPr>
          <w:trHeight w:val="630" w:hRule="atLeast"/>
          <w:jc w:val="center"/>
        </w:trPr>
        <w:tc>
          <w:tcPr>
            <w:tcW w:w="804"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Arial" w:hAnsi="Arial" w:cs="Arial"/>
                <w:b/>
                <w:bCs/>
                <w:kern w:val="0"/>
                <w:sz w:val="24"/>
              </w:rPr>
            </w:pPr>
            <w:r>
              <w:rPr>
                <w:rFonts w:ascii="Arial" w:hAnsi="Arial" w:cs="Arial"/>
                <w:b/>
                <w:bCs/>
                <w:kern w:val="0"/>
                <w:sz w:val="24"/>
              </w:rPr>
              <w:t>1</w:t>
            </w:r>
          </w:p>
        </w:tc>
        <w:tc>
          <w:tcPr>
            <w:tcW w:w="260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Arial" w:hAnsi="Arial" w:cs="Arial"/>
                <w:kern w:val="0"/>
                <w:sz w:val="24"/>
              </w:rPr>
            </w:pPr>
          </w:p>
        </w:tc>
        <w:tc>
          <w:tcPr>
            <w:tcW w:w="122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Arial" w:hAnsi="Arial" w:cs="Arial"/>
                <w:kern w:val="0"/>
                <w:sz w:val="24"/>
              </w:rPr>
            </w:pPr>
          </w:p>
        </w:tc>
        <w:tc>
          <w:tcPr>
            <w:tcW w:w="1268"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Arial" w:hAnsi="Arial" w:cs="Arial"/>
                <w:kern w:val="0"/>
                <w:sz w:val="24"/>
              </w:rPr>
            </w:pPr>
          </w:p>
        </w:tc>
        <w:tc>
          <w:tcPr>
            <w:tcW w:w="128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Arial" w:hAnsi="Arial" w:cs="Arial"/>
                <w:kern w:val="0"/>
                <w:sz w:val="24"/>
              </w:rPr>
            </w:pPr>
          </w:p>
        </w:tc>
      </w:tr>
      <w:tr>
        <w:tblPrEx>
          <w:tblCellMar>
            <w:top w:w="0" w:type="dxa"/>
            <w:left w:w="108" w:type="dxa"/>
            <w:bottom w:w="0" w:type="dxa"/>
            <w:right w:w="108" w:type="dxa"/>
          </w:tblCellMar>
        </w:tblPrEx>
        <w:trPr>
          <w:trHeight w:val="598" w:hRule="atLeast"/>
          <w:jc w:val="center"/>
        </w:trPr>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Arial" w:hAnsi="Arial" w:cs="Arial"/>
                <w:b/>
                <w:bCs/>
                <w:kern w:val="0"/>
                <w:sz w:val="24"/>
              </w:rPr>
            </w:pPr>
            <w:r>
              <w:rPr>
                <w:rFonts w:hint="eastAsia" w:ascii="Arial" w:hAnsi="Arial" w:cs="Arial"/>
                <w:b/>
                <w:bCs/>
                <w:kern w:val="0"/>
                <w:sz w:val="24"/>
              </w:rPr>
              <w:t>2</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p>
        </w:tc>
        <w:tc>
          <w:tcPr>
            <w:tcW w:w="188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Arial" w:hAnsi="Arial" w:cs="Arial"/>
                <w:kern w:val="0"/>
                <w:sz w:val="24"/>
              </w:rPr>
            </w:pPr>
          </w:p>
        </w:tc>
        <w:tc>
          <w:tcPr>
            <w:tcW w:w="122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Arial" w:hAnsi="Arial" w:cs="Arial"/>
                <w:kern w:val="0"/>
                <w:sz w:val="24"/>
              </w:rPr>
            </w:pPr>
          </w:p>
        </w:tc>
        <w:tc>
          <w:tcPr>
            <w:tcW w:w="1268"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Arial" w:hAnsi="Arial" w:cs="Arial"/>
                <w:kern w:val="0"/>
                <w:sz w:val="24"/>
              </w:rPr>
            </w:pPr>
          </w:p>
        </w:tc>
        <w:tc>
          <w:tcPr>
            <w:tcW w:w="128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Arial" w:hAnsi="Arial" w:cs="Arial"/>
                <w:kern w:val="0"/>
                <w:sz w:val="24"/>
              </w:rPr>
            </w:pPr>
          </w:p>
        </w:tc>
      </w:tr>
      <w:tr>
        <w:tblPrEx>
          <w:tblCellMar>
            <w:top w:w="0" w:type="dxa"/>
            <w:left w:w="108" w:type="dxa"/>
            <w:bottom w:w="0" w:type="dxa"/>
            <w:right w:w="108" w:type="dxa"/>
          </w:tblCellMar>
        </w:tblPrEx>
        <w:trPr>
          <w:trHeight w:val="720" w:hRule="atLeast"/>
          <w:jc w:val="center"/>
        </w:trPr>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Arial" w:hAnsi="Arial" w:cs="Arial"/>
                <w:b/>
                <w:bCs/>
                <w:kern w:val="0"/>
                <w:sz w:val="24"/>
              </w:rPr>
            </w:pPr>
            <w:r>
              <w:rPr>
                <w:rFonts w:hint="eastAsia" w:ascii="Arial" w:hAnsi="Arial" w:cs="Arial"/>
                <w:b/>
                <w:bCs/>
                <w:kern w:val="0"/>
                <w:sz w:val="24"/>
              </w:rPr>
              <w:t>3</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p>
        </w:tc>
        <w:tc>
          <w:tcPr>
            <w:tcW w:w="188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Arial" w:hAnsi="Arial" w:cs="Arial"/>
                <w:kern w:val="0"/>
                <w:sz w:val="24"/>
              </w:rPr>
            </w:pPr>
          </w:p>
        </w:tc>
        <w:tc>
          <w:tcPr>
            <w:tcW w:w="122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Arial" w:hAnsi="Arial" w:cs="Arial"/>
                <w:kern w:val="0"/>
                <w:sz w:val="24"/>
              </w:rPr>
            </w:pPr>
          </w:p>
        </w:tc>
        <w:tc>
          <w:tcPr>
            <w:tcW w:w="1268"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Arial" w:hAnsi="Arial" w:cs="Arial"/>
                <w:kern w:val="0"/>
                <w:sz w:val="24"/>
              </w:rPr>
            </w:pPr>
          </w:p>
        </w:tc>
        <w:tc>
          <w:tcPr>
            <w:tcW w:w="128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Arial" w:hAnsi="Arial" w:cs="Arial"/>
                <w:kern w:val="0"/>
                <w:sz w:val="24"/>
              </w:rPr>
            </w:pPr>
          </w:p>
        </w:tc>
      </w:tr>
      <w:tr>
        <w:tblPrEx>
          <w:tblCellMar>
            <w:top w:w="0" w:type="dxa"/>
            <w:left w:w="108" w:type="dxa"/>
            <w:bottom w:w="0" w:type="dxa"/>
            <w:right w:w="108" w:type="dxa"/>
          </w:tblCellMar>
        </w:tblPrEx>
        <w:trPr>
          <w:trHeight w:val="720" w:hRule="atLeast"/>
          <w:jc w:val="center"/>
        </w:trPr>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Arial" w:hAnsi="Arial" w:cs="Arial"/>
                <w:b/>
                <w:bCs/>
                <w:kern w:val="0"/>
                <w:sz w:val="24"/>
              </w:rPr>
            </w:pPr>
            <w:r>
              <w:rPr>
                <w:rFonts w:hint="eastAsia" w:ascii="Arial" w:hAnsi="Arial" w:cs="Arial"/>
                <w:b/>
                <w:bCs/>
                <w:kern w:val="0"/>
                <w:sz w:val="24"/>
              </w:rPr>
              <w:t>合计</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w:t>
            </w:r>
          </w:p>
        </w:tc>
        <w:tc>
          <w:tcPr>
            <w:tcW w:w="188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Arial"/>
                <w:kern w:val="0"/>
                <w:sz w:val="24"/>
              </w:rPr>
            </w:pPr>
            <w:r>
              <w:rPr>
                <w:rFonts w:hint="eastAsia" w:ascii="仿宋" w:hAnsi="仿宋" w:eastAsia="仿宋" w:cs="Arial"/>
                <w:kern w:val="0"/>
                <w:sz w:val="24"/>
              </w:rPr>
              <w:t>--</w:t>
            </w:r>
          </w:p>
        </w:tc>
        <w:tc>
          <w:tcPr>
            <w:tcW w:w="122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Arial"/>
                <w:kern w:val="0"/>
                <w:sz w:val="24"/>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Arial"/>
                <w:kern w:val="0"/>
                <w:sz w:val="24"/>
              </w:rPr>
            </w:pPr>
            <w:r>
              <w:rPr>
                <w:rFonts w:hint="eastAsia" w:ascii="仿宋" w:hAnsi="仿宋" w:eastAsia="仿宋" w:cs="Arial"/>
                <w:kern w:val="0"/>
                <w:sz w:val="24"/>
              </w:rPr>
              <w:t>--</w:t>
            </w:r>
          </w:p>
        </w:tc>
        <w:tc>
          <w:tcPr>
            <w:tcW w:w="128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Arial" w:hAnsi="Arial" w:cs="Arial"/>
                <w:kern w:val="0"/>
                <w:sz w:val="24"/>
              </w:rPr>
            </w:pPr>
          </w:p>
        </w:tc>
      </w:tr>
    </w:tbl>
    <w:p>
      <w:pPr>
        <w:numPr>
          <w:ilvl w:val="0"/>
          <w:numId w:val="11"/>
        </w:numPr>
        <w:spacing w:line="360" w:lineRule="auto"/>
        <w:ind w:left="0" w:firstLine="426"/>
        <w:rPr>
          <w:sz w:val="24"/>
        </w:rPr>
      </w:pPr>
      <w:r>
        <w:rPr>
          <w:rFonts w:hint="eastAsia"/>
          <w:sz w:val="24"/>
        </w:rPr>
        <w:t>合同金额总计：</w:t>
      </w:r>
      <w:r>
        <w:rPr>
          <w:rFonts w:hint="eastAsia"/>
          <w:sz w:val="24"/>
          <w:u w:val="single"/>
        </w:rPr>
        <w:t xml:space="preserve">                     </w:t>
      </w:r>
      <w:r>
        <w:rPr>
          <w:rFonts w:hint="eastAsia"/>
          <w:sz w:val="24"/>
        </w:rPr>
        <w:t>人民币</w:t>
      </w:r>
    </w:p>
    <w:p>
      <w:pPr>
        <w:numPr>
          <w:ilvl w:val="0"/>
          <w:numId w:val="11"/>
        </w:numPr>
        <w:spacing w:line="360" w:lineRule="auto"/>
        <w:ind w:left="0" w:firstLine="426"/>
        <w:rPr>
          <w:rFonts w:ascii="宋体" w:hAnsi="宋体"/>
          <w:b/>
          <w:sz w:val="24"/>
        </w:rPr>
      </w:pPr>
      <w:r>
        <w:rPr>
          <w:rFonts w:hint="eastAsia" w:ascii="宋体" w:hAnsi="宋体"/>
          <w:sz w:val="24"/>
        </w:rPr>
        <w:t>本合同价格为包含了购买货物及其相关服务的费用和所需缴纳的所有税费,并包含了货物发运到指定地点所需的一切费用。</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2.生效、付款方式</w:t>
      </w:r>
    </w:p>
    <w:p>
      <w:pPr>
        <w:numPr>
          <w:ilvl w:val="0"/>
          <w:numId w:val="12"/>
        </w:numPr>
        <w:spacing w:line="360" w:lineRule="auto"/>
        <w:ind w:left="0" w:firstLine="426"/>
        <w:rPr>
          <w:rFonts w:ascii="Arial" w:hAnsi="Arial" w:cs="Arial"/>
          <w:sz w:val="24"/>
        </w:rPr>
      </w:pPr>
      <w:r>
        <w:rPr>
          <w:rFonts w:hint="eastAsia" w:ascii="宋体" w:hAnsi="宋体"/>
          <w:sz w:val="24"/>
        </w:rPr>
        <w:t>本合同经双方法定代表人（负责人）或授权代表签字并加盖单位合同章或公章后生效</w:t>
      </w:r>
      <w:r>
        <w:rPr>
          <w:rFonts w:hint="eastAsia" w:ascii="Arial" w:hAnsi="Arial" w:cs="Arial"/>
          <w:sz w:val="24"/>
        </w:rPr>
        <w:t>。</w:t>
      </w:r>
    </w:p>
    <w:p>
      <w:pPr>
        <w:numPr>
          <w:ilvl w:val="0"/>
          <w:numId w:val="12"/>
        </w:numPr>
        <w:spacing w:line="360" w:lineRule="auto"/>
        <w:ind w:firstLine="6"/>
        <w:rPr>
          <w:rFonts w:ascii="宋体" w:hAnsi="宋体"/>
          <w:color w:val="0D0D0D"/>
          <w:sz w:val="24"/>
        </w:rPr>
      </w:pPr>
      <w:r>
        <w:rPr>
          <w:rFonts w:hint="eastAsia" w:ascii="宋体" w:hAnsi="宋体"/>
          <w:color w:val="0D0D0D"/>
          <w:sz w:val="24"/>
        </w:rPr>
        <w:t>付款方式：本合同选择以下第</w:t>
      </w:r>
      <w:r>
        <w:rPr>
          <w:rFonts w:hint="eastAsia" w:ascii="宋体" w:hAnsi="宋体"/>
          <w:color w:val="0D0D0D"/>
          <w:sz w:val="24"/>
          <w:u w:val="single"/>
        </w:rPr>
        <w:t xml:space="preserve"> 一 </w:t>
      </w:r>
      <w:r>
        <w:rPr>
          <w:rFonts w:hint="eastAsia" w:ascii="宋体" w:hAnsi="宋体"/>
          <w:color w:val="0D0D0D"/>
          <w:sz w:val="24"/>
        </w:rPr>
        <w:t xml:space="preserve">类付款方式，进行付款。 </w:t>
      </w:r>
    </w:p>
    <w:p>
      <w:pPr>
        <w:spacing w:line="360" w:lineRule="auto"/>
        <w:ind w:firstLine="482" w:firstLineChars="200"/>
        <w:rPr>
          <w:rFonts w:ascii="宋体" w:hAnsi="宋体"/>
          <w:b/>
          <w:color w:val="0D0D0D"/>
          <w:sz w:val="24"/>
        </w:rPr>
      </w:pPr>
      <w:r>
        <w:rPr>
          <w:rFonts w:hint="eastAsia" w:ascii="宋体" w:hAnsi="宋体"/>
          <w:b/>
          <w:color w:val="0D0D0D"/>
          <w:sz w:val="24"/>
        </w:rPr>
        <w:t>（1）第一类</w:t>
      </w:r>
    </w:p>
    <w:p>
      <w:pPr>
        <w:spacing w:line="360" w:lineRule="auto"/>
        <w:ind w:firstLine="480" w:firstLineChars="200"/>
        <w:rPr>
          <w:rFonts w:ascii="宋体" w:hAnsi="宋体"/>
          <w:color w:val="0D0D0D"/>
          <w:sz w:val="24"/>
        </w:rPr>
      </w:pPr>
      <w:r>
        <w:rPr>
          <w:rFonts w:hint="eastAsia" w:ascii="宋体" w:hAnsi="宋体"/>
          <w:color w:val="0D0D0D"/>
          <w:sz w:val="24"/>
        </w:rPr>
        <w:t>①合同签订后买方向卖方支付合同总价款的30%，即人民币</w:t>
      </w:r>
      <w:r>
        <w:rPr>
          <w:rFonts w:hint="eastAsia" w:ascii="宋体" w:hAnsi="宋体"/>
          <w:color w:val="0D0D0D"/>
          <w:sz w:val="24"/>
          <w:u w:val="single"/>
        </w:rPr>
        <w:t xml:space="preserve">             </w:t>
      </w:r>
      <w:r>
        <w:rPr>
          <w:rFonts w:hint="eastAsia" w:ascii="宋体" w:hAnsi="宋体"/>
          <w:color w:val="0D0D0D"/>
          <w:sz w:val="24"/>
        </w:rPr>
        <w:t>元。</w:t>
      </w:r>
    </w:p>
    <w:p>
      <w:pPr>
        <w:spacing w:line="360" w:lineRule="auto"/>
        <w:ind w:firstLine="480" w:firstLineChars="200"/>
        <w:rPr>
          <w:rFonts w:ascii="宋体" w:hAnsi="宋体"/>
          <w:color w:val="0D0D0D"/>
          <w:sz w:val="24"/>
        </w:rPr>
      </w:pPr>
      <w:r>
        <w:rPr>
          <w:rFonts w:hint="eastAsia" w:ascii="宋体" w:hAnsi="宋体"/>
          <w:color w:val="0D0D0D"/>
          <w:sz w:val="24"/>
        </w:rPr>
        <w:t>②卖方应在合同签订后的60日内，按买方指定的方式向买方缴纳合同总价10％的履约保证金（银行无条件保函形式</w:t>
      </w:r>
      <w:r>
        <w:rPr>
          <w:rFonts w:hint="eastAsia" w:ascii="宋体" w:hAnsi="宋体"/>
          <w:color w:val="0D0D0D"/>
          <w:sz w:val="24"/>
          <w:u w:val="single"/>
        </w:rPr>
        <w:t xml:space="preserve">）              </w:t>
      </w:r>
      <w:r>
        <w:rPr>
          <w:rFonts w:hint="eastAsia" w:ascii="宋体" w:hAnsi="宋体"/>
          <w:color w:val="0D0D0D"/>
          <w:sz w:val="24"/>
        </w:rPr>
        <w:t>元。项目验收通过并质保期过后，若卖方履行了合同所规定的各项责任，质量保证条款得以实现，则买方无息全额退还卖方履约保证金。如果卖方未能按合同规定履行其责任和义务，买方有权从履约保证金中取得补偿。</w:t>
      </w:r>
    </w:p>
    <w:p>
      <w:pPr>
        <w:spacing w:line="360" w:lineRule="auto"/>
        <w:ind w:firstLine="480" w:firstLineChars="200"/>
        <w:rPr>
          <w:rFonts w:ascii="宋体" w:hAnsi="宋体"/>
          <w:color w:val="0D0D0D"/>
          <w:sz w:val="24"/>
        </w:rPr>
      </w:pPr>
      <w:r>
        <w:rPr>
          <w:rFonts w:hint="eastAsia" w:ascii="宋体" w:hAnsi="宋体"/>
          <w:color w:val="0D0D0D"/>
          <w:sz w:val="24"/>
        </w:rPr>
        <w:t>③在本合同规定的货物及相关服务交付并验收合格后，买方向卖方支付本合同总价款的70%，即人民币</w:t>
      </w:r>
      <w:r>
        <w:rPr>
          <w:rFonts w:hint="eastAsia" w:ascii="宋体" w:hAnsi="宋体"/>
          <w:color w:val="0D0D0D"/>
          <w:sz w:val="24"/>
          <w:u w:val="single"/>
        </w:rPr>
        <w:t xml:space="preserve">           </w:t>
      </w:r>
      <w:r>
        <w:rPr>
          <w:rFonts w:hint="eastAsia" w:ascii="宋体" w:hAnsi="宋体"/>
          <w:color w:val="0D0D0D"/>
          <w:sz w:val="24"/>
        </w:rPr>
        <w:t>元。</w:t>
      </w:r>
    </w:p>
    <w:p>
      <w:pPr>
        <w:spacing w:line="360" w:lineRule="auto"/>
        <w:ind w:firstLine="482" w:firstLineChars="200"/>
        <w:rPr>
          <w:rFonts w:ascii="宋体" w:hAnsi="宋体"/>
          <w:b/>
          <w:color w:val="0D0D0D"/>
          <w:sz w:val="24"/>
        </w:rPr>
      </w:pPr>
      <w:r>
        <w:rPr>
          <w:rFonts w:hint="eastAsia" w:ascii="宋体" w:hAnsi="宋体"/>
          <w:b/>
          <w:color w:val="0D0D0D"/>
          <w:sz w:val="24"/>
        </w:rPr>
        <w:t>（2）第二类</w:t>
      </w:r>
    </w:p>
    <w:p>
      <w:pPr>
        <w:spacing w:line="360" w:lineRule="auto"/>
        <w:ind w:firstLine="480" w:firstLineChars="200"/>
        <w:rPr>
          <w:rFonts w:ascii="宋体" w:hAnsi="宋体"/>
          <w:color w:val="0D0D0D"/>
          <w:sz w:val="24"/>
        </w:rPr>
      </w:pPr>
      <w:r>
        <w:rPr>
          <w:rFonts w:hint="eastAsia" w:ascii="宋体" w:hAnsi="宋体"/>
          <w:color w:val="0D0D0D"/>
          <w:sz w:val="24"/>
        </w:rPr>
        <w:t>在本合同规定的货物及相关服务交付并验收合格后的一个工作周内，买方向卖方支付本合同总价款的100%，即人民币</w:t>
      </w:r>
      <w:r>
        <w:rPr>
          <w:rFonts w:hint="eastAsia" w:ascii="宋体" w:hAnsi="宋体"/>
          <w:color w:val="0D0D0D"/>
          <w:sz w:val="24"/>
          <w:u w:val="single"/>
        </w:rPr>
        <w:t xml:space="preserve">         </w:t>
      </w:r>
      <w:r>
        <w:rPr>
          <w:rFonts w:hint="eastAsia" w:ascii="宋体" w:hAnsi="宋体"/>
          <w:color w:val="0D0D0D"/>
          <w:sz w:val="24"/>
        </w:rPr>
        <w:t>元。</w:t>
      </w:r>
    </w:p>
    <w:p>
      <w:pPr>
        <w:spacing w:line="360" w:lineRule="auto"/>
        <w:ind w:firstLine="480" w:firstLineChars="200"/>
        <w:rPr>
          <w:rFonts w:ascii="宋体" w:hAnsi="宋体"/>
          <w:color w:val="0D0D0D"/>
          <w:sz w:val="24"/>
        </w:rPr>
      </w:pPr>
      <w:r>
        <w:rPr>
          <w:rFonts w:hint="eastAsia" w:ascii="宋体" w:hAnsi="宋体"/>
          <w:color w:val="0D0D0D"/>
          <w:sz w:val="24"/>
        </w:rPr>
        <w:t>3）卖方在项目交付时，应向买方开具合同总额的商业发票。</w:t>
      </w:r>
    </w:p>
    <w:p>
      <w:pPr>
        <w:spacing w:line="360" w:lineRule="auto"/>
        <w:ind w:firstLine="480" w:firstLineChars="200"/>
        <w:rPr>
          <w:rFonts w:ascii="宋体" w:hAnsi="宋体"/>
          <w:color w:val="0D0D0D"/>
          <w:sz w:val="24"/>
        </w:rPr>
      </w:pPr>
      <w:r>
        <w:rPr>
          <w:rFonts w:hint="eastAsia" w:ascii="宋体" w:hAnsi="宋体"/>
          <w:color w:val="0D0D0D"/>
          <w:sz w:val="24"/>
        </w:rPr>
        <w:t>4）如卖方根据本合同规定有责任向买方支付违约金或其它赔偿时，买方在书面通知卖方后,有权从上述付款中扣除该等款项。</w:t>
      </w:r>
    </w:p>
    <w:p>
      <w:pPr>
        <w:spacing w:line="360" w:lineRule="auto"/>
        <w:ind w:firstLine="480" w:firstLineChars="200"/>
        <w:rPr>
          <w:rFonts w:ascii="宋体" w:hAnsi="宋体"/>
          <w:color w:val="0D0D0D"/>
          <w:sz w:val="24"/>
        </w:rPr>
      </w:pPr>
      <w:r>
        <w:rPr>
          <w:rFonts w:hint="eastAsia" w:ascii="宋体" w:hAnsi="宋体"/>
          <w:color w:val="0D0D0D"/>
          <w:sz w:val="24"/>
        </w:rPr>
        <w:t>5）付款信息：</w:t>
      </w:r>
    </w:p>
    <w:p>
      <w:pPr>
        <w:spacing w:line="360" w:lineRule="auto"/>
        <w:ind w:firstLine="480" w:firstLineChars="200"/>
        <w:rPr>
          <w:rFonts w:ascii="宋体" w:hAnsi="宋体"/>
          <w:color w:val="0D0D0D"/>
          <w:sz w:val="24"/>
        </w:rPr>
      </w:pPr>
      <w:r>
        <w:rPr>
          <w:rFonts w:hint="eastAsia" w:ascii="宋体" w:hAnsi="宋体"/>
          <w:color w:val="0D0D0D"/>
          <w:sz w:val="24"/>
        </w:rPr>
        <w:t>卖方开户行名称：</w:t>
      </w:r>
    </w:p>
    <w:p>
      <w:pPr>
        <w:spacing w:line="360" w:lineRule="auto"/>
        <w:ind w:firstLine="480" w:firstLineChars="200"/>
        <w:rPr>
          <w:rFonts w:ascii="宋体" w:hAnsi="宋体"/>
          <w:color w:val="0D0D0D"/>
          <w:sz w:val="24"/>
        </w:rPr>
      </w:pPr>
      <w:r>
        <w:rPr>
          <w:rFonts w:hint="eastAsia" w:ascii="宋体" w:hAnsi="宋体"/>
          <w:color w:val="0D0D0D"/>
          <w:sz w:val="24"/>
        </w:rPr>
        <w:t>公司名称：</w:t>
      </w:r>
    </w:p>
    <w:p>
      <w:pPr>
        <w:spacing w:line="360" w:lineRule="auto"/>
        <w:ind w:firstLine="480" w:firstLineChars="200"/>
        <w:rPr>
          <w:rFonts w:ascii="宋体" w:hAnsi="宋体"/>
          <w:color w:val="0D0D0D"/>
          <w:sz w:val="24"/>
        </w:rPr>
      </w:pPr>
      <w:r>
        <w:rPr>
          <w:rFonts w:hint="eastAsia" w:ascii="宋体" w:hAnsi="宋体"/>
          <w:color w:val="0D0D0D"/>
          <w:sz w:val="24"/>
        </w:rPr>
        <w:t>公司账号：</w:t>
      </w:r>
    </w:p>
    <w:p>
      <w:pPr>
        <w:spacing w:line="360" w:lineRule="auto"/>
        <w:ind w:firstLine="480" w:firstLineChars="200"/>
        <w:rPr>
          <w:rFonts w:ascii="宋体" w:hAnsi="宋体"/>
          <w:color w:val="0D0D0D"/>
          <w:sz w:val="24"/>
        </w:rPr>
      </w:pPr>
      <w:r>
        <w:rPr>
          <w:rFonts w:hint="eastAsia" w:ascii="宋体" w:hAnsi="宋体"/>
          <w:color w:val="0D0D0D"/>
          <w:sz w:val="24"/>
        </w:rPr>
        <w:t>其    它：</w:t>
      </w:r>
    </w:p>
    <w:p>
      <w:pPr>
        <w:spacing w:line="360" w:lineRule="auto"/>
        <w:ind w:firstLine="480" w:firstLineChars="200"/>
        <w:rPr>
          <w:rFonts w:ascii="宋体" w:hAnsi="宋体"/>
          <w:b/>
          <w:color w:val="0D0D0D"/>
          <w:sz w:val="24"/>
        </w:rPr>
      </w:pPr>
      <w:r>
        <w:rPr>
          <w:rFonts w:hint="eastAsia" w:ascii="宋体" w:hAnsi="宋体"/>
          <w:color w:val="0D0D0D"/>
          <w:sz w:val="24"/>
        </w:rPr>
        <w:t>账户信息变更的，卖方应当在变更之日起10日内书面通知买方，否则由此产生的不利后果全部由卖方承担。</w:t>
      </w:r>
    </w:p>
    <w:p>
      <w:pPr>
        <w:spacing w:line="360" w:lineRule="auto"/>
        <w:ind w:firstLine="482" w:firstLineChars="200"/>
        <w:rPr>
          <w:rFonts w:ascii="宋体" w:hAnsi="宋体" w:cs="宋体"/>
          <w:b/>
          <w:color w:val="0D0D0D"/>
          <w:sz w:val="24"/>
        </w:rPr>
      </w:pPr>
      <w:r>
        <w:rPr>
          <w:rFonts w:ascii="宋体" w:hAnsi="宋体"/>
          <w:b/>
          <w:color w:val="0D0D0D"/>
          <w:sz w:val="24"/>
        </w:rPr>
        <w:t>3.</w:t>
      </w:r>
      <w:r>
        <w:rPr>
          <w:rFonts w:hint="eastAsia" w:ascii="宋体" w:hAnsi="宋体" w:cs="宋体"/>
          <w:b/>
          <w:color w:val="0D0D0D"/>
          <w:sz w:val="24"/>
        </w:rPr>
        <w:t>交货期与质保期</w:t>
      </w:r>
    </w:p>
    <w:p>
      <w:pPr>
        <w:spacing w:line="360" w:lineRule="auto"/>
        <w:ind w:firstLine="480" w:firstLineChars="200"/>
        <w:rPr>
          <w:rFonts w:ascii="宋体" w:hAnsi="宋体"/>
          <w:sz w:val="24"/>
        </w:rPr>
      </w:pPr>
      <w:r>
        <w:rPr>
          <w:rFonts w:hint="eastAsia" w:ascii="宋体" w:hAnsi="宋体"/>
          <w:sz w:val="24"/>
        </w:rPr>
        <w:t>1）交货方式：用户指定方式交付。</w:t>
      </w:r>
    </w:p>
    <w:p>
      <w:pPr>
        <w:spacing w:line="360" w:lineRule="auto"/>
        <w:ind w:firstLine="480" w:firstLineChars="200"/>
        <w:rPr>
          <w:rFonts w:ascii="宋体" w:hAnsi="宋体"/>
          <w:sz w:val="24"/>
        </w:rPr>
      </w:pPr>
      <w:r>
        <w:rPr>
          <w:rFonts w:hint="eastAsia" w:ascii="宋体" w:hAnsi="宋体"/>
          <w:sz w:val="24"/>
        </w:rPr>
        <w:t>2）交货地点：</w:t>
      </w:r>
      <w:r>
        <w:rPr>
          <w:rFonts w:hint="eastAsia" w:ascii="宋体" w:hAnsi="宋体"/>
          <w:sz w:val="24"/>
          <w:u w:val="single"/>
        </w:rPr>
        <w:t xml:space="preserve"> </w:t>
      </w:r>
      <w:r>
        <w:rPr>
          <w:rFonts w:hint="eastAsia" w:ascii="宋体" w:hAnsi="宋体"/>
          <w:b/>
          <w:sz w:val="24"/>
          <w:u w:val="single"/>
        </w:rPr>
        <w:t>北京交通大学</w:t>
      </w:r>
      <w:r>
        <w:rPr>
          <w:rFonts w:hint="eastAsia" w:ascii="宋体" w:hAnsi="宋体"/>
          <w:sz w:val="24"/>
          <w:u w:val="single"/>
        </w:rPr>
        <w:t xml:space="preserve">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3）质保期：指设备验收合格</w:t>
      </w:r>
      <w:r>
        <w:rPr>
          <w:rFonts w:hint="eastAsia" w:ascii="宋体" w:hAnsi="宋体"/>
          <w:color w:val="000000" w:themeColor="text1"/>
          <w:sz w:val="24"/>
          <w14:textFill>
            <w14:solidFill>
              <w14:schemeClr w14:val="tx1"/>
            </w14:solidFill>
          </w14:textFill>
        </w:rPr>
        <w:t>之日算起</w:t>
      </w:r>
      <w:r>
        <w:rPr>
          <w:rFonts w:hint="eastAsia" w:ascii="宋体" w:hAnsi="宋体"/>
          <w:b/>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年免费质</w:t>
      </w:r>
      <w:r>
        <w:rPr>
          <w:rFonts w:hint="eastAsia" w:ascii="宋体" w:hAnsi="宋体"/>
          <w:sz w:val="24"/>
        </w:rPr>
        <w:t>保，</w:t>
      </w:r>
      <w:r>
        <w:rPr>
          <w:rFonts w:hint="eastAsia" w:ascii="宋体"/>
          <w:sz w:val="24"/>
        </w:rPr>
        <w:t>终生维修，</w:t>
      </w:r>
      <w:r>
        <w:rPr>
          <w:rFonts w:hint="eastAsia"/>
          <w:sz w:val="24"/>
        </w:rPr>
        <w:t>保修期后</w:t>
      </w:r>
      <w:r>
        <w:rPr>
          <w:rFonts w:hint="eastAsia" w:ascii="宋体"/>
          <w:sz w:val="24"/>
        </w:rPr>
        <w:t>供方修理只适当收取修理费 。</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4.违约责任</w:t>
      </w:r>
    </w:p>
    <w:p>
      <w:pPr>
        <w:numPr>
          <w:ilvl w:val="0"/>
          <w:numId w:val="13"/>
        </w:numPr>
        <w:spacing w:line="360" w:lineRule="auto"/>
        <w:ind w:left="0" w:firstLine="426"/>
        <w:rPr>
          <w:rFonts w:ascii="Arial" w:hAnsi="Arial" w:cs="Arial"/>
          <w:sz w:val="24"/>
        </w:rPr>
      </w:pPr>
      <w:r>
        <w:rPr>
          <w:rFonts w:hint="eastAsia" w:ascii="Arial" w:hAnsi="Arial" w:cs="Arial"/>
          <w:sz w:val="24"/>
        </w:rPr>
        <w:t>买方未能按合同约定提供经费或未能提供必要的支持，导致卖方工作延误的，应允许合同规定的完成期限相应顺延。</w:t>
      </w:r>
    </w:p>
    <w:p>
      <w:pPr>
        <w:numPr>
          <w:ilvl w:val="0"/>
          <w:numId w:val="13"/>
        </w:numPr>
        <w:spacing w:line="360" w:lineRule="auto"/>
        <w:ind w:left="0" w:firstLine="426"/>
        <w:rPr>
          <w:rFonts w:ascii="Arial" w:hAnsi="Arial" w:cs="Arial"/>
          <w:sz w:val="24"/>
        </w:rPr>
      </w:pPr>
      <w:r>
        <w:rPr>
          <w:rFonts w:hint="eastAsia" w:ascii="Arial" w:hAnsi="Arial" w:cs="Arial"/>
          <w:sz w:val="24"/>
        </w:rPr>
        <w:t>如果</w:t>
      </w:r>
      <w:r>
        <w:rPr>
          <w:rFonts w:hint="eastAsia" w:ascii="宋体" w:hAnsi="宋体"/>
          <w:sz w:val="24"/>
        </w:rPr>
        <w:t>卖方</w:t>
      </w:r>
      <w:r>
        <w:rPr>
          <w:rFonts w:hint="eastAsia" w:ascii="Arial" w:hAnsi="Arial" w:cs="Arial"/>
          <w:sz w:val="24"/>
        </w:rPr>
        <w:t>未按照合同规定的要求交付合同货物和提供服务；或卖方在收到买方要求更换有缺陷的货物或部件的通知后十日内或在卖方签署货损证明后十日内没有补足或更换货物、或交货仍不符合要求；或卖方未能履行合同规定的任何其他义务时，买方有权向卖方发出违约通知书，卖方应按照买方选择的下列一种或多种方式承担赔偿责任：</w:t>
      </w:r>
    </w:p>
    <w:p>
      <w:pPr>
        <w:spacing w:line="360" w:lineRule="auto"/>
        <w:ind w:firstLine="480" w:firstLineChars="200"/>
        <w:rPr>
          <w:rFonts w:ascii="宋体" w:hAnsi="宋体" w:cs="宋体"/>
          <w:color w:val="0D0D0D"/>
          <w:sz w:val="24"/>
        </w:rPr>
      </w:pPr>
      <w:r>
        <w:rPr>
          <w:rFonts w:hint="eastAsia" w:ascii="宋体" w:hAnsi="宋体" w:cs="宋体"/>
          <w:color w:val="0D0D0D"/>
          <w:sz w:val="24"/>
        </w:rPr>
        <w:t>（1）在买方规定的时间内，用符合合同规定的规格、质量和性能要求的新零件、部件或货物来更换有缺陷的零件、部件和货物或／和修补缺陷部分以达到合同规定的要求，卖方应承担由此发生的一切费用和风险。此时，相关货物的质量保修期也应相应延长。</w:t>
      </w:r>
    </w:p>
    <w:p>
      <w:pPr>
        <w:spacing w:line="360" w:lineRule="auto"/>
        <w:ind w:firstLine="480" w:firstLineChars="200"/>
        <w:rPr>
          <w:rFonts w:ascii="Arial" w:hAnsi="Arial" w:cs="Arial"/>
          <w:sz w:val="24"/>
        </w:rPr>
      </w:pPr>
      <w:r>
        <w:rPr>
          <w:rFonts w:hint="eastAsia" w:ascii="Arial" w:hAnsi="Arial" w:cs="Arial"/>
          <w:sz w:val="24"/>
        </w:rPr>
        <w:t>（2）买方有权部分或全部解除合同并要求卖方赔偿由此造成的损失。此时买方可采取必要的补救措施，相关费用由卖方承担。</w:t>
      </w:r>
    </w:p>
    <w:p>
      <w:pPr>
        <w:spacing w:line="360" w:lineRule="auto"/>
        <w:ind w:firstLine="480" w:firstLineChars="200"/>
        <w:rPr>
          <w:rFonts w:ascii="宋体" w:hAnsi="宋体" w:cs="宋体"/>
          <w:color w:val="0D0D0D"/>
          <w:sz w:val="24"/>
        </w:rPr>
      </w:pPr>
      <w:r>
        <w:rPr>
          <w:rFonts w:hint="eastAsia" w:ascii="Arial" w:hAnsi="Arial" w:cs="Arial"/>
          <w:sz w:val="24"/>
        </w:rPr>
        <w:t>（3）如果卖方在收到买方的违约通知书后十日内未作答复也没有按照买方选择的方式承担违约责任，则买方有权从尚未支付的合同价款中扣回索赔金额。如果这些金额不足以补偿，买方有权向卖方提出不足部分的赔偿要求。</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5.质量标准和验收</w:t>
      </w:r>
    </w:p>
    <w:p>
      <w:pPr>
        <w:numPr>
          <w:ilvl w:val="0"/>
          <w:numId w:val="14"/>
        </w:numPr>
        <w:spacing w:line="360" w:lineRule="auto"/>
        <w:ind w:left="0" w:firstLine="426"/>
        <w:rPr>
          <w:rFonts w:ascii="Arial" w:hAnsi="Arial" w:eastAsia="黑体" w:cs="Arial"/>
          <w:sz w:val="24"/>
        </w:rPr>
      </w:pPr>
      <w:r>
        <w:rPr>
          <w:rFonts w:hint="eastAsia" w:ascii="宋体" w:hAnsi="宋体"/>
          <w:color w:val="000000" w:themeColor="text1"/>
          <w:sz w:val="24"/>
          <w14:textFill>
            <w14:solidFill>
              <w14:schemeClr w14:val="tx1"/>
            </w14:solidFill>
          </w14:textFill>
        </w:rPr>
        <w:t>验收根据“</w:t>
      </w:r>
      <w:r>
        <w:rPr>
          <w:rFonts w:hint="eastAsia"/>
          <w:color w:val="000000" w:themeColor="text1"/>
          <w:sz w:val="24"/>
          <w14:textFill>
            <w14:solidFill>
              <w14:schemeClr w14:val="tx1"/>
            </w14:solidFill>
          </w14:textFill>
        </w:rPr>
        <w:t>北京交通大学</w:t>
      </w:r>
      <w:r>
        <w:rPr>
          <w:rFonts w:hint="eastAsia" w:ascii="宋体" w:hAnsi="宋体"/>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”【招标编号：</w:t>
      </w: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】的招</w:t>
      </w:r>
      <w:r>
        <w:rPr>
          <w:rFonts w:hint="eastAsia"/>
          <w:sz w:val="24"/>
        </w:rPr>
        <w:t>标文件、投标文件、技术指标</w:t>
      </w:r>
      <w:r>
        <w:rPr>
          <w:rFonts w:hint="eastAsia" w:ascii="宋体" w:hAnsi="宋体"/>
          <w:sz w:val="24"/>
        </w:rPr>
        <w:t>进行，合同货物质量应符合中华人民共和国部颁标准及相应的技术规范要求。</w:t>
      </w:r>
    </w:p>
    <w:p>
      <w:pPr>
        <w:numPr>
          <w:ilvl w:val="0"/>
          <w:numId w:val="14"/>
        </w:numPr>
        <w:spacing w:line="360" w:lineRule="auto"/>
        <w:ind w:left="0" w:firstLine="426"/>
        <w:rPr>
          <w:rFonts w:ascii="Arial" w:hAnsi="Arial" w:eastAsia="黑体" w:cs="Arial"/>
          <w:sz w:val="24"/>
        </w:rPr>
      </w:pPr>
      <w:r>
        <w:rPr>
          <w:rFonts w:hint="eastAsia" w:ascii="宋体" w:hAnsi="宋体"/>
          <w:sz w:val="24"/>
        </w:rPr>
        <w:t>卖方应保证所提供的货物经正确安装、合理操作和维护保养在其使用寿命期内具有令买方满意的性能，并对由于合同货物的设计、工艺或材料的缺陷而发生的任何故障负责。</w:t>
      </w:r>
    </w:p>
    <w:p>
      <w:pPr>
        <w:numPr>
          <w:ilvl w:val="0"/>
          <w:numId w:val="14"/>
        </w:numPr>
        <w:spacing w:line="360" w:lineRule="auto"/>
        <w:ind w:left="0" w:firstLine="426"/>
        <w:rPr>
          <w:rFonts w:ascii="Arial" w:hAnsi="Arial" w:eastAsia="黑体" w:cs="Arial"/>
          <w:sz w:val="24"/>
        </w:rPr>
      </w:pPr>
      <w:r>
        <w:rPr>
          <w:rFonts w:hint="eastAsia" w:ascii="宋体" w:hAnsi="宋体"/>
          <w:sz w:val="24"/>
        </w:rPr>
        <w:t>卖方保证向买方提供的技术资料是清晰的、正确的、完整的。买方在清点卖方提供的技术资料时如发现缺失，卖方应在接到买方通知后七日内予以补足。</w:t>
      </w:r>
    </w:p>
    <w:p>
      <w:pPr>
        <w:numPr>
          <w:ilvl w:val="0"/>
          <w:numId w:val="14"/>
        </w:numPr>
        <w:spacing w:line="360" w:lineRule="auto"/>
        <w:ind w:left="0" w:firstLine="426"/>
        <w:rPr>
          <w:rFonts w:ascii="Arial" w:hAnsi="Arial" w:eastAsia="黑体" w:cs="Arial"/>
          <w:sz w:val="24"/>
        </w:rPr>
      </w:pPr>
      <w:r>
        <w:rPr>
          <w:rFonts w:hint="eastAsia" w:ascii="宋体" w:hAnsi="宋体"/>
          <w:sz w:val="24"/>
        </w:rPr>
        <w:t>在双方签署验收证书后三十日内，如果买方发现货物内在的、非显而易见的损坏，或者货物的质量与合同规定不符，或者在货物质量保证期内证实货物是有缺陷的（包括潜在的缺陷或使用不符合要求的材料等），买方有权要求卖方免费更换有缺陷的货物或部件。买方应在发现该情况之日起三日内以书面形式通知卖方，卖方应在收到买方通知后十日内免费更换有缺陷的货物或部件，相关费用由卖方承担。</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6.不可抗力</w:t>
      </w:r>
    </w:p>
    <w:p>
      <w:pPr>
        <w:spacing w:line="360" w:lineRule="auto"/>
        <w:ind w:firstLine="480" w:firstLineChars="200"/>
        <w:rPr>
          <w:rFonts w:ascii="宋体" w:hAnsi="宋体"/>
          <w:sz w:val="24"/>
        </w:rPr>
      </w:pPr>
      <w:r>
        <w:rPr>
          <w:rFonts w:hint="eastAsia" w:ascii="宋体" w:hAnsi="宋体"/>
          <w:sz w:val="24"/>
        </w:rPr>
        <w:t>不可抗力指下列事件：战争、动乱、瘟疫、严重火灾、洪水、地震、风暴或其他自然灾害，以及本合同各方不可预见、不可防止并不能避免或克服的一切其他事件。</w:t>
      </w:r>
    </w:p>
    <w:p>
      <w:pPr>
        <w:spacing w:line="360" w:lineRule="auto"/>
        <w:ind w:firstLine="480" w:firstLineChars="200"/>
        <w:rPr>
          <w:rFonts w:ascii="宋体" w:hAnsi="宋体"/>
          <w:sz w:val="24"/>
        </w:rPr>
      </w:pPr>
      <w:r>
        <w:rPr>
          <w:rFonts w:hint="eastAsia" w:ascii="宋体" w:hAnsi="宋体"/>
          <w:sz w:val="24"/>
        </w:rPr>
        <w:t>任何一方因不可抗力不能履行本合同规定的全部或部分义务，该方应尽快通知另一方，并须在不可抗力发生后三日内以书面形式向另一方提供详细情况报告及不可抗力对履行本合同的影响程度的说明。</w:t>
      </w:r>
    </w:p>
    <w:p>
      <w:pPr>
        <w:spacing w:line="360" w:lineRule="auto"/>
        <w:ind w:firstLine="480" w:firstLineChars="200"/>
        <w:rPr>
          <w:rFonts w:ascii="宋体" w:hAnsi="宋体"/>
          <w:sz w:val="24"/>
        </w:rPr>
      </w:pPr>
      <w:r>
        <w:rPr>
          <w:rFonts w:hint="eastAsia" w:ascii="宋体" w:hAnsi="宋体"/>
          <w:sz w:val="24"/>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pPr>
        <w:spacing w:line="360" w:lineRule="auto"/>
        <w:ind w:firstLine="480" w:firstLineChars="200"/>
        <w:rPr>
          <w:rFonts w:ascii="宋体" w:hAnsi="宋体"/>
          <w:sz w:val="24"/>
        </w:rPr>
      </w:pPr>
      <w:r>
        <w:rPr>
          <w:rFonts w:hint="eastAsia" w:ascii="宋体" w:hAnsi="宋体"/>
          <w:sz w:val="24"/>
        </w:rPr>
        <w:t>合同各方应根据不可抗力对本合同履行的影响程度，协商确定是否终止本合同，或是继续履行本合同。</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7.保密条款</w:t>
      </w:r>
    </w:p>
    <w:p>
      <w:pPr>
        <w:spacing w:line="360" w:lineRule="auto"/>
        <w:ind w:firstLine="480" w:firstLineChars="200"/>
        <w:rPr>
          <w:rFonts w:ascii="宋体" w:hAnsi="宋体"/>
          <w:sz w:val="24"/>
        </w:rPr>
      </w:pPr>
      <w:r>
        <w:rPr>
          <w:rFonts w:hint="eastAsia" w:ascii="宋体" w:hAnsi="宋体"/>
          <w:sz w:val="24"/>
        </w:rPr>
        <w:t>任何一方对其获知的本合同及附件中其他各方的商业秘密和国家秘密负有保密义务。</w:t>
      </w:r>
    </w:p>
    <w:p>
      <w:pPr>
        <w:spacing w:line="360" w:lineRule="auto"/>
        <w:ind w:firstLine="480" w:firstLineChars="200"/>
        <w:rPr>
          <w:rFonts w:ascii="宋体" w:hAnsi="宋体"/>
          <w:sz w:val="24"/>
        </w:rPr>
      </w:pPr>
      <w:r>
        <w:rPr>
          <w:rFonts w:hint="eastAsia" w:ascii="宋体" w:hAnsi="宋体"/>
          <w:sz w:val="24"/>
        </w:rPr>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8.合同的解释和法律适用</w:t>
      </w:r>
    </w:p>
    <w:p>
      <w:pPr>
        <w:spacing w:line="360" w:lineRule="auto"/>
        <w:ind w:firstLine="480" w:firstLineChars="200"/>
        <w:rPr>
          <w:rFonts w:ascii="宋体" w:hAnsi="宋体"/>
          <w:sz w:val="24"/>
        </w:rPr>
      </w:pPr>
      <w:r>
        <w:rPr>
          <w:rFonts w:hint="eastAsia" w:ascii="宋体" w:hAnsi="宋体"/>
          <w:sz w:val="24"/>
        </w:rPr>
        <w:t>任何一方对本合同及其附件的解释均应遵循诚实信用原则,依照本合同签订时有效的中国法律、法规以及通常的理解进行。</w:t>
      </w:r>
    </w:p>
    <w:p>
      <w:pPr>
        <w:spacing w:line="360" w:lineRule="auto"/>
        <w:ind w:firstLine="480" w:firstLineChars="200"/>
        <w:rPr>
          <w:rFonts w:ascii="宋体" w:hAnsi="宋体"/>
          <w:sz w:val="24"/>
        </w:rPr>
      </w:pPr>
      <w:r>
        <w:rPr>
          <w:rFonts w:hint="eastAsia" w:ascii="宋体" w:hAnsi="宋体"/>
          <w:sz w:val="24"/>
        </w:rPr>
        <w:t>本合同标题仅供查阅方便，并非对本合同的诠释或解释；本合同中以日表述的时间期限均指自然日。</w:t>
      </w:r>
    </w:p>
    <w:p>
      <w:pPr>
        <w:spacing w:line="360" w:lineRule="auto"/>
        <w:ind w:firstLine="480" w:firstLineChars="200"/>
        <w:rPr>
          <w:rFonts w:ascii="宋体" w:hAnsi="宋体"/>
          <w:sz w:val="24"/>
        </w:rPr>
      </w:pPr>
      <w:r>
        <w:rPr>
          <w:rFonts w:hint="eastAsia" w:ascii="宋体" w:hAnsi="宋体"/>
          <w:sz w:val="24"/>
        </w:rPr>
        <w:t>对本合同的任何解释均应以书面作出。</w:t>
      </w:r>
    </w:p>
    <w:p>
      <w:pPr>
        <w:spacing w:line="360" w:lineRule="auto"/>
        <w:ind w:firstLine="480" w:firstLineChars="200"/>
        <w:rPr>
          <w:rFonts w:ascii="宋体" w:hAnsi="宋体"/>
          <w:sz w:val="24"/>
        </w:rPr>
      </w:pPr>
      <w:r>
        <w:rPr>
          <w:rFonts w:hint="eastAsia" w:ascii="宋体" w:hAnsi="宋体"/>
          <w:sz w:val="24"/>
        </w:rPr>
        <w:t>本合同及附件的订立、效力、解释、履行、争议的解决等适用本合同签订时有效的中华人民共和国法律、法规的有关规定。</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9.权利的保留</w:t>
      </w:r>
    </w:p>
    <w:p>
      <w:pPr>
        <w:spacing w:line="360" w:lineRule="auto"/>
        <w:ind w:firstLine="480" w:firstLineChars="200"/>
        <w:rPr>
          <w:rFonts w:ascii="宋体" w:hAnsi="宋体"/>
          <w:sz w:val="24"/>
        </w:rPr>
      </w:pPr>
      <w:r>
        <w:rPr>
          <w:rFonts w:hint="eastAsia" w:ascii="宋体" w:hAnsi="宋体"/>
          <w:sz w:val="24"/>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pPr>
        <w:spacing w:line="360" w:lineRule="auto"/>
        <w:ind w:firstLine="480" w:firstLineChars="200"/>
        <w:rPr>
          <w:rFonts w:ascii="宋体" w:hAnsi="宋体"/>
          <w:sz w:val="24"/>
        </w:rPr>
      </w:pPr>
      <w:r>
        <w:rPr>
          <w:rFonts w:hint="eastAsia" w:ascii="宋体" w:hAnsi="宋体"/>
          <w:sz w:val="24"/>
        </w:rPr>
        <w:t>在本合同履行期间，因中国法律、法规、政策的变化致使本合同的部分条款相冲突、无效或失去可强制执行效力时，双方同意合作尽快修改本合同中相冲突或无效或失去强制执行效力的有关条款。</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10.争议</w:t>
      </w:r>
    </w:p>
    <w:p>
      <w:pPr>
        <w:spacing w:line="360" w:lineRule="auto"/>
        <w:ind w:firstLine="480" w:firstLineChars="200"/>
        <w:rPr>
          <w:rFonts w:ascii="Arial" w:hAnsi="Arial" w:eastAsia="黑体" w:cs="Arial"/>
          <w:sz w:val="24"/>
        </w:rPr>
      </w:pPr>
      <w:r>
        <w:rPr>
          <w:rFonts w:hint="eastAsia" w:ascii="Arial" w:hAnsi="Arial" w:cs="Arial"/>
          <w:sz w:val="24"/>
        </w:rPr>
        <w:t>在有争议情况下，由双方协商解决，若双方无法协商解决，由仲裁机构按法律规定解决，或向买方所在地法院提请起诉。相关费用除仲裁和判决结果有规定的，由败诉方负责。</w:t>
      </w:r>
    </w:p>
    <w:p>
      <w:pPr>
        <w:spacing w:line="360" w:lineRule="auto"/>
        <w:ind w:firstLine="482" w:firstLineChars="200"/>
        <w:rPr>
          <w:rFonts w:ascii="宋体" w:hAnsi="宋体" w:cs="宋体"/>
          <w:b/>
          <w:color w:val="0D0D0D"/>
          <w:sz w:val="24"/>
        </w:rPr>
      </w:pPr>
      <w:r>
        <w:rPr>
          <w:rFonts w:hint="eastAsia" w:ascii="宋体" w:hAnsi="宋体" w:cs="宋体"/>
          <w:b/>
          <w:color w:val="0D0D0D"/>
          <w:sz w:val="24"/>
        </w:rPr>
        <w:t>11.其它</w:t>
      </w:r>
    </w:p>
    <w:p>
      <w:pPr>
        <w:widowControl/>
        <w:autoSpaceDE w:val="0"/>
        <w:autoSpaceDN w:val="0"/>
        <w:spacing w:line="360" w:lineRule="auto"/>
        <w:ind w:left="360" w:right="84"/>
        <w:textAlignment w:val="bottom"/>
        <w:rPr>
          <w:rFonts w:ascii="Arial" w:hAnsi="Arial" w:cs="Arial"/>
          <w:sz w:val="24"/>
        </w:rPr>
      </w:pPr>
      <w:r>
        <w:rPr>
          <w:rFonts w:hint="eastAsia" w:ascii="Arial" w:hAnsi="Arial" w:cs="Arial"/>
          <w:sz w:val="24"/>
        </w:rPr>
        <w:t>本合同一式6份，买方执3份，卖方执3份，具有同等法律效力。</w:t>
      </w:r>
    </w:p>
    <w:p>
      <w:pPr>
        <w:widowControl/>
        <w:autoSpaceDE w:val="0"/>
        <w:autoSpaceDN w:val="0"/>
        <w:spacing w:line="360" w:lineRule="auto"/>
        <w:ind w:left="360" w:right="84"/>
        <w:textAlignment w:val="bottom"/>
        <w:rPr>
          <w:rFonts w:ascii="Arial" w:hAnsi="Arial" w:cs="Arial"/>
          <w:sz w:val="24"/>
        </w:rPr>
      </w:pPr>
      <w:r>
        <w:rPr>
          <w:rFonts w:hint="eastAsia" w:ascii="Arial" w:hAnsi="Arial" w:cs="Arial"/>
          <w:sz w:val="24"/>
        </w:rPr>
        <w:t>本合同由买方提供经“信用中国”网站（www.creditchina.gov.cn）、中国政府采购网 （www.ccgp.gov.cn）等渠道查询的卖方截止到本合同签订之日（含签订之日）之前的信用记录情况的网页截图，作为本合同附件。</w:t>
      </w:r>
    </w:p>
    <w:p>
      <w:pPr>
        <w:widowControl/>
        <w:autoSpaceDE w:val="0"/>
        <w:autoSpaceDN w:val="0"/>
        <w:spacing w:line="360" w:lineRule="auto"/>
        <w:ind w:left="360" w:right="84"/>
        <w:textAlignment w:val="bottom"/>
        <w:rPr>
          <w:rFonts w:ascii="Arial" w:hAnsi="Arial" w:cs="Arial"/>
          <w:sz w:val="24"/>
        </w:rPr>
      </w:pPr>
      <w:r>
        <w:rPr>
          <w:rFonts w:hint="eastAsia" w:ascii="Arial" w:hAnsi="Arial" w:cs="Arial"/>
          <w:sz w:val="24"/>
        </w:rPr>
        <w:t>本次采购活动的项目负责人及相关工作人员与卖方均不存在利害关系，如有不实，项目负责人将承担一切法律责任。</w:t>
      </w:r>
    </w:p>
    <w:p>
      <w:pPr>
        <w:widowControl/>
        <w:autoSpaceDE w:val="0"/>
        <w:autoSpaceDN w:val="0"/>
        <w:spacing w:line="360" w:lineRule="auto"/>
        <w:ind w:left="360" w:right="84"/>
        <w:textAlignment w:val="bottom"/>
        <w:rPr>
          <w:rFonts w:ascii="Arial" w:hAnsi="Arial" w:cs="Arial"/>
          <w:sz w:val="24"/>
        </w:rPr>
      </w:pPr>
      <w:r>
        <w:rPr>
          <w:rFonts w:hint="eastAsia" w:ascii="Arial" w:hAnsi="Arial" w:cs="Arial"/>
          <w:sz w:val="24"/>
        </w:rPr>
        <w:t>本合同未尽事宜，双方友好协商处理。</w:t>
      </w:r>
    </w:p>
    <w:p>
      <w:pPr>
        <w:widowControl/>
        <w:autoSpaceDE w:val="0"/>
        <w:autoSpaceDN w:val="0"/>
        <w:spacing w:line="360" w:lineRule="auto"/>
        <w:ind w:left="360" w:right="84"/>
        <w:textAlignment w:val="bottom"/>
        <w:rPr>
          <w:rFonts w:ascii="Arial" w:hAnsi="Arial" w:cs="Arial"/>
          <w:sz w:val="24"/>
        </w:rPr>
      </w:pPr>
    </w:p>
    <w:tbl>
      <w:tblPr>
        <w:tblStyle w:val="39"/>
        <w:tblW w:w="8190" w:type="dxa"/>
        <w:jc w:val="center"/>
        <w:tblLayout w:type="fixed"/>
        <w:tblCellMar>
          <w:top w:w="0" w:type="dxa"/>
          <w:left w:w="108" w:type="dxa"/>
          <w:bottom w:w="0" w:type="dxa"/>
          <w:right w:w="108" w:type="dxa"/>
        </w:tblCellMar>
      </w:tblPr>
      <w:tblGrid>
        <w:gridCol w:w="3969"/>
        <w:gridCol w:w="4221"/>
      </w:tblGrid>
      <w:tr>
        <w:tblPrEx>
          <w:tblCellMar>
            <w:top w:w="0" w:type="dxa"/>
            <w:left w:w="108" w:type="dxa"/>
            <w:bottom w:w="0" w:type="dxa"/>
            <w:right w:w="108" w:type="dxa"/>
          </w:tblCellMar>
        </w:tblPrEx>
        <w:trPr>
          <w:jc w:val="center"/>
        </w:trPr>
        <w:tc>
          <w:tcPr>
            <w:tcW w:w="3969" w:type="dxa"/>
          </w:tcPr>
          <w:p>
            <w:pPr>
              <w:autoSpaceDE w:val="0"/>
              <w:autoSpaceDN w:val="0"/>
              <w:spacing w:before="120" w:after="120"/>
              <w:textAlignment w:val="bottom"/>
              <w:rPr>
                <w:rFonts w:ascii="Arial" w:hAnsi="Arial" w:cs="Arial"/>
                <w:b/>
              </w:rPr>
            </w:pPr>
            <w:r>
              <w:rPr>
                <w:rFonts w:hint="eastAsia" w:ascii="Arial" w:hAnsi="Arial" w:cs="Arial"/>
                <w:b/>
              </w:rPr>
              <w:t>买方</w:t>
            </w:r>
            <w:r>
              <w:rPr>
                <w:rFonts w:ascii="Arial" w:hAnsi="Arial" w:cs="Arial"/>
                <w:b/>
              </w:rPr>
              <w:t>:</w:t>
            </w:r>
            <w:r>
              <w:rPr>
                <w:rFonts w:hint="eastAsia" w:ascii="Arial" w:hAnsi="Arial" w:cs="Arial"/>
                <w:b/>
              </w:rPr>
              <w:t xml:space="preserve"> 北京交通大学         </w:t>
            </w:r>
          </w:p>
        </w:tc>
        <w:tc>
          <w:tcPr>
            <w:tcW w:w="4221" w:type="dxa"/>
          </w:tcPr>
          <w:p>
            <w:pPr>
              <w:autoSpaceDE w:val="0"/>
              <w:autoSpaceDN w:val="0"/>
              <w:spacing w:before="120" w:after="120"/>
              <w:textAlignment w:val="bottom"/>
              <w:rPr>
                <w:rFonts w:ascii="Arial" w:hAnsi="Arial" w:cs="Arial"/>
                <w:b/>
              </w:rPr>
            </w:pPr>
            <w:r>
              <w:rPr>
                <w:rFonts w:hint="eastAsia" w:ascii="Arial" w:hAnsi="Arial" w:cs="Arial"/>
                <w:b/>
              </w:rPr>
              <w:t>卖方</w:t>
            </w:r>
            <w:r>
              <w:rPr>
                <w:rFonts w:ascii="Arial" w:hAnsi="Arial" w:cs="Arial"/>
                <w:b/>
              </w:rPr>
              <w:t>:</w:t>
            </w:r>
            <w:r>
              <w:rPr>
                <w:rFonts w:hint="eastAsia" w:ascii="Arial" w:hAnsi="Arial" w:cs="Arial"/>
                <w:b/>
              </w:rPr>
              <w:t xml:space="preserve"> </w:t>
            </w:r>
          </w:p>
        </w:tc>
      </w:tr>
      <w:tr>
        <w:tblPrEx>
          <w:tblCellMar>
            <w:top w:w="0" w:type="dxa"/>
            <w:left w:w="108" w:type="dxa"/>
            <w:bottom w:w="0" w:type="dxa"/>
            <w:right w:w="108" w:type="dxa"/>
          </w:tblCellMar>
        </w:tblPrEx>
        <w:trPr>
          <w:trHeight w:val="1263" w:hRule="atLeast"/>
          <w:jc w:val="center"/>
        </w:trPr>
        <w:tc>
          <w:tcPr>
            <w:tcW w:w="3969" w:type="dxa"/>
          </w:tcPr>
          <w:p>
            <w:pPr>
              <w:autoSpaceDE w:val="0"/>
              <w:autoSpaceDN w:val="0"/>
              <w:spacing w:before="120" w:after="120"/>
              <w:textAlignment w:val="bottom"/>
              <w:rPr>
                <w:rFonts w:ascii="Arial" w:hAnsi="Arial" w:cs="Arial"/>
                <w:b/>
              </w:rPr>
            </w:pPr>
            <w:r>
              <w:rPr>
                <w:rFonts w:hint="eastAsia" w:ascii="Arial" w:hAnsi="Arial" w:cs="Arial"/>
                <w:b/>
              </w:rPr>
              <w:t>项目负责人：</w:t>
            </w:r>
          </w:p>
          <w:p>
            <w:pPr>
              <w:autoSpaceDE w:val="0"/>
              <w:autoSpaceDN w:val="0"/>
              <w:spacing w:before="120" w:after="120"/>
              <w:textAlignment w:val="bottom"/>
              <w:rPr>
                <w:rFonts w:ascii="Arial" w:hAnsi="Arial" w:cs="Arial"/>
                <w:b/>
              </w:rPr>
            </w:pPr>
          </w:p>
          <w:p>
            <w:pPr>
              <w:autoSpaceDE w:val="0"/>
              <w:autoSpaceDN w:val="0"/>
              <w:spacing w:before="120" w:after="120"/>
              <w:textAlignment w:val="bottom"/>
              <w:rPr>
                <w:rFonts w:ascii="Arial" w:hAnsi="Arial" w:cs="Arial"/>
                <w:b/>
              </w:rPr>
            </w:pPr>
          </w:p>
          <w:p>
            <w:pPr>
              <w:autoSpaceDE w:val="0"/>
              <w:autoSpaceDN w:val="0"/>
              <w:spacing w:before="120" w:after="120"/>
              <w:textAlignment w:val="bottom"/>
              <w:rPr>
                <w:rFonts w:ascii="Arial" w:hAnsi="Arial" w:cs="Arial"/>
                <w:b/>
              </w:rPr>
            </w:pPr>
            <w:r>
              <w:rPr>
                <w:rFonts w:hint="eastAsia" w:ascii="Arial" w:hAnsi="Arial" w:cs="Arial"/>
                <w:b/>
              </w:rPr>
              <w:t>委托代理人：</w:t>
            </w:r>
          </w:p>
          <w:p>
            <w:pPr>
              <w:spacing w:line="360" w:lineRule="auto"/>
              <w:rPr>
                <w:rFonts w:ascii="宋体" w:hAnsi="宋体"/>
                <w:sz w:val="24"/>
              </w:rPr>
            </w:pPr>
          </w:p>
          <w:p>
            <w:pPr>
              <w:spacing w:line="360" w:lineRule="auto"/>
              <w:rPr>
                <w:rFonts w:ascii="宋体" w:hAnsi="宋体"/>
                <w:sz w:val="24"/>
              </w:rPr>
            </w:pPr>
          </w:p>
          <w:p>
            <w:pPr>
              <w:autoSpaceDE w:val="0"/>
              <w:autoSpaceDN w:val="0"/>
              <w:spacing w:before="120" w:after="120"/>
              <w:textAlignment w:val="bottom"/>
              <w:rPr>
                <w:rFonts w:ascii="Arial" w:hAnsi="Arial" w:cs="Arial"/>
                <w:b/>
              </w:rPr>
            </w:pPr>
            <w:r>
              <w:rPr>
                <w:rFonts w:hint="eastAsia" w:ascii="Arial" w:hAnsi="Arial" w:cs="Arial"/>
                <w:b/>
              </w:rPr>
              <w:t>签字日期：</w:t>
            </w:r>
          </w:p>
        </w:tc>
        <w:tc>
          <w:tcPr>
            <w:tcW w:w="4221" w:type="dxa"/>
          </w:tcPr>
          <w:p>
            <w:pPr>
              <w:autoSpaceDE w:val="0"/>
              <w:autoSpaceDN w:val="0"/>
              <w:spacing w:before="120" w:after="120"/>
              <w:textAlignment w:val="bottom"/>
              <w:rPr>
                <w:rFonts w:ascii="Arial" w:hAnsi="Arial" w:cs="Arial"/>
                <w:b/>
              </w:rPr>
            </w:pPr>
            <w:r>
              <w:rPr>
                <w:rFonts w:hint="eastAsia" w:ascii="Arial" w:hAnsi="Arial" w:cs="Arial"/>
                <w:b/>
              </w:rPr>
              <w:t>项目负责人：</w:t>
            </w:r>
            <w:r>
              <w:rPr>
                <w:rFonts w:ascii="Arial" w:hAnsi="Arial" w:cs="Arial"/>
                <w:b/>
              </w:rPr>
              <w:t xml:space="preserve"> </w:t>
            </w:r>
          </w:p>
          <w:p>
            <w:pPr>
              <w:autoSpaceDE w:val="0"/>
              <w:autoSpaceDN w:val="0"/>
              <w:spacing w:before="120" w:after="120"/>
              <w:textAlignment w:val="bottom"/>
              <w:rPr>
                <w:rFonts w:ascii="Arial" w:hAnsi="Arial" w:cs="Arial"/>
                <w:b/>
              </w:rPr>
            </w:pPr>
          </w:p>
          <w:p>
            <w:pPr>
              <w:autoSpaceDE w:val="0"/>
              <w:autoSpaceDN w:val="0"/>
              <w:spacing w:before="120" w:after="120"/>
              <w:textAlignment w:val="bottom"/>
              <w:rPr>
                <w:rFonts w:ascii="Arial" w:hAnsi="Arial" w:cs="Arial"/>
                <w:b/>
              </w:rPr>
            </w:pPr>
          </w:p>
          <w:p>
            <w:pPr>
              <w:autoSpaceDE w:val="0"/>
              <w:autoSpaceDN w:val="0"/>
              <w:spacing w:before="120" w:after="120"/>
              <w:textAlignment w:val="bottom"/>
              <w:rPr>
                <w:rFonts w:ascii="Arial" w:hAnsi="Arial" w:cs="Arial"/>
                <w:b/>
              </w:rPr>
            </w:pPr>
            <w:r>
              <w:rPr>
                <w:rFonts w:hint="eastAsia" w:ascii="Arial" w:hAnsi="Arial" w:cs="Arial"/>
                <w:b/>
              </w:rPr>
              <w:t>委托代理人：</w:t>
            </w:r>
          </w:p>
          <w:p>
            <w:pPr>
              <w:spacing w:line="360" w:lineRule="auto"/>
              <w:rPr>
                <w:rFonts w:ascii="宋体" w:hAnsi="宋体"/>
                <w:sz w:val="24"/>
              </w:rPr>
            </w:pPr>
          </w:p>
          <w:p>
            <w:pPr>
              <w:spacing w:line="360" w:lineRule="auto"/>
              <w:rPr>
                <w:rFonts w:ascii="宋体" w:hAnsi="宋体"/>
                <w:sz w:val="24"/>
              </w:rPr>
            </w:pPr>
          </w:p>
          <w:p>
            <w:pPr>
              <w:autoSpaceDE w:val="0"/>
              <w:autoSpaceDN w:val="0"/>
              <w:spacing w:before="120" w:after="120"/>
              <w:textAlignment w:val="bottom"/>
              <w:rPr>
                <w:rFonts w:ascii="Arial" w:hAnsi="Arial" w:cs="Arial"/>
                <w:b/>
              </w:rPr>
            </w:pPr>
            <w:r>
              <w:rPr>
                <w:rFonts w:hint="eastAsia" w:ascii="Arial" w:hAnsi="Arial" w:cs="Arial"/>
                <w:b/>
              </w:rPr>
              <w:t>签字日期：</w:t>
            </w:r>
          </w:p>
        </w:tc>
      </w:tr>
    </w:tbl>
    <w:p>
      <w:pPr>
        <w:spacing w:line="360" w:lineRule="auto"/>
        <w:ind w:firstLine="480" w:firstLineChars="200"/>
        <w:rPr>
          <w:rFonts w:ascii="宋体" w:hAnsi="宋体"/>
          <w:sz w:val="24"/>
        </w:rPr>
      </w:pPr>
      <w:r>
        <w:rPr>
          <w:rFonts w:hint="eastAsia" w:ascii="宋体" w:hAnsi="宋体"/>
          <w:sz w:val="24"/>
        </w:rPr>
        <w:t xml:space="preserve">                             </w:t>
      </w:r>
    </w:p>
    <w:p>
      <w:pPr>
        <w:widowControl/>
        <w:autoSpaceDE w:val="0"/>
        <w:autoSpaceDN w:val="0"/>
        <w:spacing w:line="360" w:lineRule="auto"/>
        <w:ind w:right="84"/>
        <w:textAlignment w:val="bottom"/>
        <w:rPr>
          <w:rFonts w:ascii="宋体" w:hAnsi="宋体"/>
          <w:sz w:val="24"/>
        </w:rPr>
      </w:pPr>
      <w:r>
        <w:rPr>
          <w:rFonts w:hint="eastAsia" w:ascii="宋体" w:hAnsi="宋体"/>
          <w:sz w:val="24"/>
          <w:u w:val="single"/>
        </w:rPr>
        <w:t xml:space="preserve">     </w:t>
      </w:r>
      <w:r>
        <w:rPr>
          <w:rFonts w:ascii="宋体" w:hAnsi="宋体"/>
          <w:sz w:val="24"/>
        </w:rPr>
        <w:t>年</w:t>
      </w:r>
      <w:r>
        <w:rPr>
          <w:rFonts w:hint="eastAsia" w:ascii="宋体" w:hAnsi="宋体"/>
          <w:sz w:val="24"/>
          <w:u w:val="single"/>
        </w:rPr>
        <w:t xml:space="preserve">     </w:t>
      </w:r>
      <w:r>
        <w:rPr>
          <w:rFonts w:ascii="宋体" w:hAnsi="宋体"/>
          <w:sz w:val="24"/>
        </w:rPr>
        <w:t>月</w:t>
      </w:r>
      <w:r>
        <w:rPr>
          <w:rFonts w:hint="eastAsia" w:ascii="宋体" w:hAnsi="宋体"/>
          <w:sz w:val="24"/>
          <w:u w:val="single"/>
        </w:rPr>
        <w:t xml:space="preserve">     </w:t>
      </w:r>
      <w:r>
        <w:rPr>
          <w:rFonts w:ascii="宋体" w:hAnsi="宋体"/>
          <w:sz w:val="24"/>
        </w:rPr>
        <w:t>日</w:t>
      </w:r>
      <w:r>
        <w:rPr>
          <w:rFonts w:hint="eastAsia" w:ascii="宋体" w:hAnsi="宋体"/>
          <w:sz w:val="24"/>
        </w:rPr>
        <w:t xml:space="preserve">              </w:t>
      </w:r>
      <w:r>
        <w:rPr>
          <w:rFonts w:hint="eastAsia" w:ascii="宋体" w:hAnsi="宋体"/>
          <w:sz w:val="24"/>
          <w:u w:val="single"/>
        </w:rPr>
        <w:t xml:space="preserve">     </w:t>
      </w:r>
      <w:r>
        <w:rPr>
          <w:rFonts w:ascii="宋体" w:hAnsi="宋体"/>
          <w:sz w:val="24"/>
        </w:rPr>
        <w:t>年</w:t>
      </w:r>
      <w:r>
        <w:rPr>
          <w:rFonts w:hint="eastAsia" w:ascii="宋体" w:hAnsi="宋体"/>
          <w:sz w:val="24"/>
          <w:u w:val="single"/>
        </w:rPr>
        <w:t xml:space="preserve">    </w:t>
      </w:r>
      <w:r>
        <w:rPr>
          <w:rFonts w:ascii="宋体" w:hAnsi="宋体"/>
          <w:sz w:val="24"/>
        </w:rPr>
        <w:t>月</w:t>
      </w:r>
      <w:r>
        <w:rPr>
          <w:rFonts w:hint="eastAsia" w:ascii="宋体" w:hAnsi="宋体"/>
          <w:sz w:val="24"/>
          <w:u w:val="single"/>
        </w:rPr>
        <w:t xml:space="preserve">     </w:t>
      </w:r>
      <w:r>
        <w:rPr>
          <w:rFonts w:ascii="宋体" w:hAnsi="宋体"/>
          <w:sz w:val="24"/>
        </w:rPr>
        <w:t>日</w:t>
      </w:r>
    </w:p>
    <w:p>
      <w:pPr>
        <w:widowControl/>
        <w:autoSpaceDE w:val="0"/>
        <w:autoSpaceDN w:val="0"/>
        <w:ind w:firstLine="480" w:firstLineChars="200"/>
        <w:textAlignment w:val="bottom"/>
        <w:rPr>
          <w:rFonts w:ascii="宋体" w:hAnsi="宋体"/>
          <w:color w:val="000000" w:themeColor="text1"/>
          <w:sz w:val="24"/>
          <w14:textFill>
            <w14:solidFill>
              <w14:schemeClr w14:val="tx1"/>
            </w14:solidFill>
          </w14:textFill>
        </w:rPr>
      </w:pPr>
    </w:p>
    <w:p>
      <w:pPr>
        <w:widowControl/>
        <w:autoSpaceDE w:val="0"/>
        <w:autoSpaceDN w:val="0"/>
        <w:spacing w:line="360" w:lineRule="auto"/>
        <w:textAlignment w:val="bottom"/>
        <w:rPr>
          <w:rFonts w:ascii="Arial" w:hAnsi="Arial" w:cs="Arial"/>
          <w:bCs/>
          <w:color w:val="000000" w:themeColor="text1"/>
          <w14:textFill>
            <w14:solidFill>
              <w14:schemeClr w14:val="tx1"/>
            </w14:solidFill>
          </w14:textFill>
        </w:rPr>
      </w:pPr>
    </w:p>
    <w:p>
      <w:pPr>
        <w:widowControl/>
        <w:autoSpaceDE w:val="0"/>
        <w:autoSpaceDN w:val="0"/>
        <w:spacing w:line="360" w:lineRule="auto"/>
        <w:textAlignment w:val="bottom"/>
        <w:rPr>
          <w:rFonts w:ascii="Arial" w:hAnsi="Arial" w:cs="Arial"/>
          <w:bCs/>
          <w:color w:val="000000" w:themeColor="text1"/>
          <w14:textFill>
            <w14:solidFill>
              <w14:schemeClr w14:val="tx1"/>
            </w14:solidFill>
          </w14:textFill>
        </w:rPr>
      </w:pPr>
    </w:p>
    <w:p>
      <w:pPr>
        <w:rPr>
          <w:b/>
          <w:color w:val="000000" w:themeColor="text1"/>
          <w:sz w:val="32"/>
          <w:szCs w:val="32"/>
          <w14:textFill>
            <w14:solidFill>
              <w14:schemeClr w14:val="tx1"/>
            </w14:solidFill>
          </w14:textFill>
        </w:rPr>
      </w:pPr>
    </w:p>
    <w:p>
      <w:pPr>
        <w:spacing w:after="240" w:line="360" w:lineRule="auto"/>
        <w:rPr>
          <w:rFonts w:ascii="仿宋" w:hAnsi="仿宋" w:eastAsia="仿宋"/>
          <w:color w:val="000000" w:themeColor="text1"/>
          <w:sz w:val="22"/>
          <w:szCs w:val="22"/>
          <w14:textFill>
            <w14:solidFill>
              <w14:schemeClr w14:val="tx1"/>
            </w14:solidFill>
          </w14:textFill>
        </w:rPr>
      </w:pPr>
    </w:p>
    <w:p>
      <w:pPr>
        <w:spacing w:after="240" w:line="360" w:lineRule="auto"/>
        <w:rPr>
          <w:rFonts w:ascii="仿宋" w:hAnsi="仿宋" w:eastAsia="仿宋"/>
          <w:color w:val="000000" w:themeColor="text1"/>
          <w:sz w:val="22"/>
          <w:szCs w:val="22"/>
          <w14:textFill>
            <w14:solidFill>
              <w14:schemeClr w14:val="tx1"/>
            </w14:solidFill>
          </w14:textFill>
        </w:rPr>
      </w:pPr>
      <w:r>
        <w:rPr>
          <w:rFonts w:ascii="仿宋" w:hAnsi="仿宋" w:eastAsia="仿宋"/>
          <w:color w:val="000000" w:themeColor="text1"/>
          <w:sz w:val="22"/>
          <w:szCs w:val="22"/>
          <w14:textFill>
            <w14:solidFill>
              <w14:schemeClr w14:val="tx1"/>
            </w14:solidFill>
          </w14:textFill>
        </w:rPr>
        <w:br w:type="page"/>
      </w:r>
    </w:p>
    <w:p>
      <w:pPr>
        <w:spacing w:before="120" w:line="22" w:lineRule="atLeast"/>
        <w:rPr>
          <w:color w:val="000000" w:themeColor="text1"/>
          <w:szCs w:val="21"/>
          <w14:textFill>
            <w14:solidFill>
              <w14:schemeClr w14:val="tx1"/>
            </w14:solidFill>
          </w14:textFill>
        </w:rPr>
      </w:pPr>
    </w:p>
    <w:bookmarkEnd w:id="423"/>
    <w:p>
      <w:pPr>
        <w:pStyle w:val="2"/>
        <w:keepNext w:val="0"/>
        <w:keepLines w:val="0"/>
        <w:spacing w:before="0" w:after="0" w:line="360" w:lineRule="auto"/>
        <w:rPr>
          <w:rFonts w:ascii="Times New Roman"/>
          <w:color w:val="000000" w:themeColor="text1"/>
          <w14:textFill>
            <w14:solidFill>
              <w14:schemeClr w14:val="tx1"/>
            </w14:solidFill>
          </w14:textFill>
        </w:rPr>
      </w:pPr>
      <w:bookmarkStart w:id="427" w:name="_Toc139531404"/>
      <w:r>
        <w:rPr>
          <w:rFonts w:hint="eastAsia" w:ascii="Times New Roman"/>
          <w:color w:val="000000" w:themeColor="text1"/>
          <w14:textFill>
            <w14:solidFill>
              <w14:schemeClr w14:val="tx1"/>
            </w14:solidFill>
          </w14:textFill>
        </w:rPr>
        <w:t xml:space="preserve">第三章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附件——磋商响应文件格式</w:t>
      </w:r>
      <w:bookmarkEnd w:id="424"/>
      <w:bookmarkEnd w:id="425"/>
      <w:bookmarkEnd w:id="426"/>
      <w:bookmarkEnd w:id="427"/>
    </w:p>
    <w:p>
      <w:pPr>
        <w:tabs>
          <w:tab w:val="left" w:pos="1980"/>
        </w:tabs>
        <w:spacing w:before="120" w:line="360" w:lineRule="auto"/>
        <w:ind w:firstLine="674"/>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目     录</w:t>
      </w:r>
    </w:p>
    <w:p>
      <w:pPr>
        <w:spacing w:line="360" w:lineRule="auto"/>
        <w:ind w:left="895" w:leftChars="426"/>
        <w:rPr>
          <w:color w:val="000000" w:themeColor="text1"/>
          <w14:textFill>
            <w14:solidFill>
              <w14:schemeClr w14:val="tx1"/>
            </w14:solidFill>
          </w14:textFill>
        </w:rPr>
      </w:pPr>
      <w:bookmarkStart w:id="428" w:name="_Ref467988698"/>
      <w:bookmarkStart w:id="429" w:name="_Toc480942349"/>
      <w:bookmarkStart w:id="430" w:name="_Toc133737844"/>
      <w:bookmarkStart w:id="431" w:name="_Toc133916714"/>
      <w:bookmarkStart w:id="432" w:name="_Toc133737933"/>
      <w:bookmarkStart w:id="433" w:name="_Toc520356217"/>
      <w:r>
        <w:rPr>
          <w:rFonts w:hint="eastAsia"/>
          <w:color w:val="000000" w:themeColor="text1"/>
          <w14:textFill>
            <w14:solidFill>
              <w14:schemeClr w14:val="tx1"/>
            </w14:solidFill>
          </w14:textFill>
        </w:rPr>
        <w:t>附件1——磋商首次响应书</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附件2——首次响应一览表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——分项报价表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——技术参数偏离表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——商务条款偏离表</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——资格证明文件</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-1法人或其他组织的营业执照等证明文件</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-2纳税证明</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-3法定代表人授权书</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-4供应商的资格声明</w:t>
      </w:r>
    </w:p>
    <w:p>
      <w:pPr>
        <w:spacing w:line="360" w:lineRule="auto"/>
        <w:ind w:left="1315" w:leftChars="426" w:hanging="420" w:hangingChars="20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5供应商的财务状况报告</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社会保障资金缴纳记录</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近三年经营活动中无重大违法记录声明</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承诺书</w:t>
      </w:r>
    </w:p>
    <w:p>
      <w:pPr>
        <w:spacing w:line="360" w:lineRule="auto"/>
        <w:ind w:left="895" w:leftChars="426"/>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磋商文件要求的和供应商认为必要的其他资格证明文件。</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——业绩证明文件及人员配备</w:t>
      </w:r>
    </w:p>
    <w:p>
      <w:pPr>
        <w:spacing w:line="360" w:lineRule="auto"/>
        <w:ind w:left="895" w:leftChars="426"/>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——磋商文件要求的和供应商认为必要的其他文件</w:t>
      </w:r>
    </w:p>
    <w:p>
      <w:pPr>
        <w:spacing w:line="360" w:lineRule="auto"/>
        <w:ind w:left="895" w:leftChars="426"/>
        <w:rPr>
          <w:color w:val="000000" w:themeColor="text1"/>
          <w14:textFill>
            <w14:solidFill>
              <w14:schemeClr w14:val="tx1"/>
            </w14:solidFill>
          </w14:textFill>
        </w:rPr>
      </w:pPr>
    </w:p>
    <w:p>
      <w:pPr>
        <w:tabs>
          <w:tab w:val="left" w:pos="5580"/>
        </w:tabs>
        <w:spacing w:before="120" w:line="360" w:lineRule="auto"/>
        <w:ind w:firstLine="840" w:firstLineChars="400"/>
        <w:rPr>
          <w:color w:val="000000" w:themeColor="text1"/>
          <w14:textFill>
            <w14:solidFill>
              <w14:schemeClr w14:val="tx1"/>
            </w14:solidFill>
          </w14:textFill>
        </w:rPr>
        <w:sectPr>
          <w:footerReference r:id="rId9" w:type="default"/>
          <w:pgSz w:w="11907" w:h="16840"/>
          <w:pgMar w:top="1758" w:right="1701" w:bottom="1588" w:left="1259" w:header="851" w:footer="851" w:gutter="0"/>
          <w:cols w:space="720" w:num="1"/>
          <w:titlePg/>
          <w:docGrid w:linePitch="462" w:charSpace="0"/>
        </w:sectPr>
      </w:pP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434" w:name="_Toc529733204"/>
      <w:bookmarkStart w:id="435" w:name="_Toc277153146"/>
      <w:bookmarkStart w:id="436" w:name="_Toc139531405"/>
      <w:bookmarkStart w:id="437" w:name="_Toc438203871"/>
      <w:bookmarkStart w:id="438" w:name="_Toc277942521"/>
      <w:bookmarkStart w:id="439" w:name="_Toc67860253"/>
      <w:r>
        <w:rPr>
          <w:rFonts w:hint="eastAsia" w:ascii="Times New Roman" w:hAnsi="Times New Roman" w:eastAsia="宋体"/>
          <w:color w:val="000000" w:themeColor="text1"/>
          <w:sz w:val="28"/>
          <w14:textFill>
            <w14:solidFill>
              <w14:schemeClr w14:val="tx1"/>
            </w14:solidFill>
          </w14:textFill>
        </w:rPr>
        <w:t xml:space="preserve">附件1  </w:t>
      </w:r>
      <w:bookmarkEnd w:id="428"/>
      <w:bookmarkEnd w:id="429"/>
      <w:r>
        <w:rPr>
          <w:rFonts w:hint="eastAsia" w:ascii="Times New Roman" w:hAnsi="Times New Roman" w:eastAsia="宋体"/>
          <w:color w:val="000000" w:themeColor="text1"/>
          <w:sz w:val="28"/>
          <w14:textFill>
            <w14:solidFill>
              <w14:schemeClr w14:val="tx1"/>
            </w14:solidFill>
          </w14:textFill>
        </w:rPr>
        <w:t>磋商首次响应书</w:t>
      </w:r>
      <w:bookmarkEnd w:id="430"/>
      <w:bookmarkEnd w:id="431"/>
      <w:bookmarkEnd w:id="432"/>
      <w:bookmarkEnd w:id="433"/>
      <w:bookmarkEnd w:id="434"/>
      <w:bookmarkEnd w:id="435"/>
      <w:bookmarkEnd w:id="436"/>
      <w:bookmarkEnd w:id="437"/>
      <w:bookmarkEnd w:id="438"/>
      <w:bookmarkEnd w:id="439"/>
    </w:p>
    <w:p>
      <w:pPr>
        <w:tabs>
          <w:tab w:val="left" w:pos="5580"/>
        </w:tabs>
        <w:spacing w:before="120" w:line="360" w:lineRule="auto"/>
        <w:rPr>
          <w:color w:val="000000" w:themeColor="text1"/>
          <w14:textFill>
            <w14:solidFill>
              <w14:schemeClr w14:val="tx1"/>
            </w14:solidFill>
          </w14:textFill>
        </w:rPr>
      </w:pPr>
    </w:p>
    <w:p>
      <w:pPr>
        <w:tabs>
          <w:tab w:val="left" w:pos="5580"/>
        </w:tabs>
        <w:spacing w:before="12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致：</w:t>
      </w:r>
      <w:r>
        <w:rPr>
          <w:rFonts w:hint="eastAsia"/>
          <w:color w:val="000000" w:themeColor="text1"/>
          <w:u w:val="single"/>
          <w14:textFill>
            <w14:solidFill>
              <w14:schemeClr w14:val="tx1"/>
            </w14:solidFill>
          </w14:textFill>
        </w:rPr>
        <w:t>（采购代理机构）</w:t>
      </w:r>
    </w:p>
    <w:p>
      <w:pPr>
        <w:pStyle w:val="20"/>
        <w:tabs>
          <w:tab w:val="left" w:pos="5580"/>
        </w:tabs>
        <w:spacing w:line="360" w:lineRule="auto"/>
        <w:rPr>
          <w:rFonts w:ascii="Times New Roman" w:hAnsi="Times New Roman"/>
          <w:color w:val="000000" w:themeColor="text1"/>
          <w14:textFill>
            <w14:solidFill>
              <w14:schemeClr w14:val="tx1"/>
            </w14:solidFill>
          </w14:textFill>
        </w:rPr>
      </w:pPr>
    </w:p>
    <w:p>
      <w:pPr>
        <w:pStyle w:val="20"/>
        <w:tabs>
          <w:tab w:val="left" w:pos="5580"/>
        </w:tabs>
        <w:spacing w:line="360" w:lineRule="auto"/>
        <w:ind w:firstLine="40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根据贵方为(</w:t>
      </w:r>
      <w:r>
        <w:rPr>
          <w:rFonts w:hint="eastAsia" w:ascii="Times New Roman" w:hAnsi="Times New Roman"/>
          <w:color w:val="000000" w:themeColor="text1"/>
          <w:u w:val="single"/>
          <w14:textFill>
            <w14:solidFill>
              <w14:schemeClr w14:val="tx1"/>
            </w14:solidFill>
          </w14:textFill>
        </w:rPr>
        <w:t>项目名称</w:t>
      </w:r>
      <w:r>
        <w:rPr>
          <w:rFonts w:hint="eastAsia" w:ascii="Times New Roman" w:hAnsi="Times New Roman"/>
          <w:color w:val="000000" w:themeColor="text1"/>
          <w14:textFill>
            <w14:solidFill>
              <w14:schemeClr w14:val="tx1"/>
            </w14:solidFill>
          </w14:textFill>
        </w:rPr>
        <w:t>)项目采购货物和服务的磋商邀请(</w:t>
      </w:r>
      <w:r>
        <w:rPr>
          <w:rFonts w:hint="eastAsia" w:ascii="Times New Roman" w:hAnsi="Times New Roman"/>
          <w:color w:val="000000" w:themeColor="text1"/>
          <w:u w:val="single"/>
          <w14:textFill>
            <w14:solidFill>
              <w14:schemeClr w14:val="tx1"/>
            </w14:solidFill>
          </w14:textFill>
        </w:rPr>
        <w:t>采购编号</w:t>
      </w:r>
      <w:r>
        <w:rPr>
          <w:rFonts w:hint="eastAsia" w:ascii="Times New Roman" w:hAnsi="Times New Roman"/>
          <w:color w:val="000000" w:themeColor="text1"/>
          <w14:textFill>
            <w14:solidFill>
              <w14:schemeClr w14:val="tx1"/>
            </w14:solidFill>
          </w14:textFill>
        </w:rPr>
        <w:t>)，签字代表(</w:t>
      </w:r>
      <w:r>
        <w:rPr>
          <w:rFonts w:hint="eastAsia" w:ascii="Times New Roman" w:hAnsi="Times New Roman"/>
          <w:color w:val="000000" w:themeColor="text1"/>
          <w:u w:val="single"/>
          <w14:textFill>
            <w14:solidFill>
              <w14:schemeClr w14:val="tx1"/>
            </w14:solidFill>
          </w14:textFill>
        </w:rPr>
        <w:t>姓名、职务</w:t>
      </w:r>
      <w:r>
        <w:rPr>
          <w:rFonts w:hint="eastAsia" w:ascii="Times New Roman" w:hAnsi="Times New Roman"/>
          <w:color w:val="000000" w:themeColor="text1"/>
          <w14:textFill>
            <w14:solidFill>
              <w14:schemeClr w14:val="tx1"/>
            </w14:solidFill>
          </w14:textFill>
        </w:rPr>
        <w:t>)经正式授权并代表供应商（</w:t>
      </w:r>
      <w:r>
        <w:rPr>
          <w:rFonts w:hint="eastAsia" w:ascii="Times New Roman" w:hAnsi="Times New Roman"/>
          <w:color w:val="000000" w:themeColor="text1"/>
          <w:u w:val="single"/>
          <w14:textFill>
            <w14:solidFill>
              <w14:schemeClr w14:val="tx1"/>
            </w14:solidFill>
          </w14:textFill>
        </w:rPr>
        <w:t>供应商名称、地址</w:t>
      </w:r>
      <w:r>
        <w:rPr>
          <w:rFonts w:hint="eastAsia" w:ascii="Times New Roman" w:hAnsi="Times New Roman"/>
          <w:color w:val="000000" w:themeColor="text1"/>
          <w14:textFill>
            <w14:solidFill>
              <w14:schemeClr w14:val="tx1"/>
            </w14:solidFill>
          </w14:textFill>
        </w:rPr>
        <w:t>）提交下述文件正本一份，副本___份及电子版响应文件___份：</w:t>
      </w:r>
    </w:p>
    <w:p>
      <w:pPr>
        <w:pStyle w:val="20"/>
        <w:tabs>
          <w:tab w:val="left" w:pos="5580"/>
        </w:tabs>
        <w:spacing w:line="360" w:lineRule="auto"/>
        <w:ind w:left="76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1、首次响应一览表</w:t>
      </w:r>
    </w:p>
    <w:p>
      <w:pPr>
        <w:pStyle w:val="20"/>
        <w:tabs>
          <w:tab w:val="left" w:pos="5580"/>
        </w:tabs>
        <w:spacing w:line="360" w:lineRule="auto"/>
        <w:ind w:left="76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技术参数偏离表</w:t>
      </w:r>
    </w:p>
    <w:p>
      <w:pPr>
        <w:pStyle w:val="20"/>
        <w:tabs>
          <w:tab w:val="left" w:pos="5580"/>
        </w:tabs>
        <w:spacing w:line="360" w:lineRule="auto"/>
        <w:ind w:left="76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、商务条款偏离表</w:t>
      </w:r>
    </w:p>
    <w:p>
      <w:pPr>
        <w:pStyle w:val="20"/>
        <w:tabs>
          <w:tab w:val="left" w:pos="5580"/>
        </w:tabs>
        <w:spacing w:line="360" w:lineRule="auto"/>
        <w:ind w:left="76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、资格证明文件</w:t>
      </w:r>
    </w:p>
    <w:p>
      <w:pPr>
        <w:pStyle w:val="20"/>
        <w:tabs>
          <w:tab w:val="left" w:pos="5580"/>
        </w:tabs>
        <w:spacing w:line="360" w:lineRule="auto"/>
        <w:ind w:left="76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、遵守国家有关法律、法规和规章，按磋商文件中供应商须知和技术要求提供的有关文件</w:t>
      </w:r>
    </w:p>
    <w:p>
      <w:pPr>
        <w:pStyle w:val="20"/>
        <w:tabs>
          <w:tab w:val="left" w:pos="5580"/>
        </w:tabs>
        <w:spacing w:line="360" w:lineRule="auto"/>
        <w:ind w:left="76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、以</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形式出具的磋商保证金，金额为人民币</w:t>
      </w:r>
      <w:r>
        <w:rPr>
          <w:rFonts w:hint="eastAsia" w:ascii="Times New Roman" w:hAnsi="Times New Roman"/>
          <w:color w:val="000000" w:themeColor="text1"/>
          <w:u w:val="single"/>
          <w14:textFill>
            <w14:solidFill>
              <w14:schemeClr w14:val="tx1"/>
            </w14:solidFill>
          </w14:textFill>
        </w:rPr>
        <w:t>　（金额）　</w:t>
      </w:r>
      <w:r>
        <w:rPr>
          <w:rFonts w:hint="eastAsia" w:ascii="Times New Roman" w:hAnsi="Times New Roman"/>
          <w:color w:val="000000" w:themeColor="text1"/>
          <w14:textFill>
            <w14:solidFill>
              <w14:schemeClr w14:val="tx1"/>
            </w14:solidFill>
          </w14:textFill>
        </w:rPr>
        <w:t>元。</w:t>
      </w:r>
    </w:p>
    <w:p>
      <w:pPr>
        <w:pStyle w:val="20"/>
        <w:tabs>
          <w:tab w:val="left" w:pos="5580"/>
        </w:tabs>
        <w:spacing w:line="360" w:lineRule="auto"/>
        <w:ind w:left="40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据此，签字代表宣布同意如下：</w:t>
      </w:r>
    </w:p>
    <w:p>
      <w:pPr>
        <w:pStyle w:val="20"/>
        <w:tabs>
          <w:tab w:val="left" w:pos="720"/>
          <w:tab w:val="left" w:pos="900"/>
        </w:tabs>
        <w:spacing w:line="360" w:lineRule="auto"/>
        <w:ind w:left="36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hint="eastAsia" w:ascii="Times New Roman" w:hAnsi="Times New Roman"/>
          <w:color w:val="000000" w:themeColor="text1"/>
          <w:szCs w:val="21"/>
          <w14:textFill>
            <w14:solidFill>
              <w14:schemeClr w14:val="tx1"/>
            </w14:solidFill>
          </w14:textFill>
        </w:rPr>
        <w:t>所附磋商响应表中规定的磋商报价为</w:t>
      </w:r>
      <w:r>
        <w:rPr>
          <w:rFonts w:hint="eastAsia" w:ascii="Times New Roman" w:hAnsi="Times New Roman"/>
          <w:color w:val="000000" w:themeColor="text1"/>
          <w14:textFill>
            <w14:solidFill>
              <w14:schemeClr w14:val="tx1"/>
            </w14:solidFill>
          </w14:textFill>
        </w:rPr>
        <w:t>人民币</w:t>
      </w:r>
      <w:r>
        <w:rPr>
          <w:rFonts w:hint="eastAsia" w:ascii="Times New Roman" w:hAnsi="Times New Roman"/>
          <w:color w:val="000000" w:themeColor="text1"/>
          <w:u w:val="single"/>
          <w14:textFill>
            <w14:solidFill>
              <w14:schemeClr w14:val="tx1"/>
            </w14:solidFill>
          </w14:textFill>
        </w:rPr>
        <w:t>　　　　　　　　　　　　　　（用文字和数字表示的项目每包磋商价格）</w:t>
      </w:r>
      <w:r>
        <w:rPr>
          <w:rFonts w:hint="eastAsia" w:ascii="Times New Roman" w:hAnsi="Times New Roman"/>
          <w:color w:val="000000" w:themeColor="text1"/>
          <w14:textFill>
            <w14:solidFill>
              <w14:schemeClr w14:val="tx1"/>
            </w14:solidFill>
          </w14:textFill>
        </w:rPr>
        <w:t>。</w:t>
      </w:r>
    </w:p>
    <w:p>
      <w:pPr>
        <w:pStyle w:val="20"/>
        <w:tabs>
          <w:tab w:val="left" w:pos="5580"/>
        </w:tabs>
        <w:spacing w:line="360" w:lineRule="auto"/>
        <w:ind w:firstLine="367" w:firstLineChars="17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（2）我方如被确定为成交供应商，将按磋商文件的规定履行合同责任和义务。</w:t>
      </w:r>
    </w:p>
    <w:p>
      <w:pPr>
        <w:pStyle w:val="20"/>
        <w:tabs>
          <w:tab w:val="left" w:pos="5580"/>
        </w:tabs>
        <w:spacing w:line="360" w:lineRule="auto"/>
        <w:ind w:left="525" w:leftChars="200" w:hanging="105" w:hangingChars="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（3）我方已详细审查全部磋商文件，包括第</w:t>
      </w:r>
      <w:r>
        <w:rPr>
          <w:rFonts w:hint="eastAsia" w:ascii="Times New Roman" w:hAnsi="Times New Roman"/>
          <w:color w:val="000000" w:themeColor="text1"/>
          <w:u w:val="single"/>
          <w14:textFill>
            <w14:solidFill>
              <w14:schemeClr w14:val="tx1"/>
            </w14:solidFill>
          </w14:textFill>
        </w:rPr>
        <w:t xml:space="preserve">        号（采购编号、补充通知）（如果有的话</w:t>
      </w:r>
      <w:r>
        <w:rPr>
          <w:rFonts w:hint="eastAsia" w:ascii="Times New Roman" w:hAnsi="Times New Roman"/>
          <w:color w:val="000000" w:themeColor="text1"/>
          <w14:textFill>
            <w14:solidFill>
              <w14:schemeClr w14:val="tx1"/>
            </w14:solidFill>
          </w14:textFill>
        </w:rPr>
        <w:t>）。我方完全理解并同意放弃对这方面有不明及误解的权力。</w:t>
      </w:r>
    </w:p>
    <w:p>
      <w:pPr>
        <w:pStyle w:val="20"/>
        <w:tabs>
          <w:tab w:val="left" w:pos="5580"/>
        </w:tabs>
        <w:spacing w:line="360" w:lineRule="auto"/>
        <w:ind w:left="181" w:leftChars="86"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（4）磋商响应文件有效期为自递交最终响应文件之日起</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个日历日。</w:t>
      </w:r>
    </w:p>
    <w:p>
      <w:pPr>
        <w:pStyle w:val="20"/>
        <w:tabs>
          <w:tab w:val="left" w:pos="5580"/>
        </w:tabs>
        <w:spacing w:line="360" w:lineRule="auto"/>
        <w:ind w:left="525" w:leftChars="200" w:hanging="105" w:hangingChars="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（5）在规定的递交首次磋商响应文件时间后，我方保证遵守磋商文件中有关保证金的规定。</w:t>
      </w:r>
    </w:p>
    <w:p>
      <w:pPr>
        <w:pStyle w:val="20"/>
        <w:tabs>
          <w:tab w:val="left" w:pos="5580"/>
        </w:tabs>
        <w:spacing w:line="360" w:lineRule="auto"/>
        <w:ind w:left="523" w:leftChars="199" w:hanging="105" w:hangingChars="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在递交首次磋商响应文件之前，我方未曾为磋商项目提供过整体设计、规范编制或者项目管理、监理、检测等服务。也没有被列入失信被执行人、重大税收违法案件当事人名单、政府采购严重违法失信行为记录名单。我公司已经通过“信用中国”网站（</w:t>
      </w:r>
      <w:r>
        <w:fldChar w:fldCharType="begin"/>
      </w:r>
      <w:r>
        <w:instrText xml:space="preserve"> HYPERLINK "http://www.creditchina" </w:instrText>
      </w:r>
      <w:r>
        <w:fldChar w:fldCharType="separate"/>
      </w:r>
      <w:r>
        <w:rPr>
          <w:rFonts w:hint="eastAsia" w:ascii="Times New Roman" w:hAnsi="Times New Roman"/>
          <w:color w:val="000000" w:themeColor="text1"/>
          <w14:textFill>
            <w14:solidFill>
              <w14:schemeClr w14:val="tx1"/>
            </w14:solidFill>
          </w14:textFill>
        </w:rPr>
        <w:t>www.creditchina</w:t>
      </w:r>
      <w:r>
        <w:rPr>
          <w:rFonts w:hint="eastAsia" w:ascii="Times New Roman" w:hAnsi="Times New Roman"/>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.gov.cn）和中国政府采购网（www.ccgp.gov.cn）进行查询，并按磋商文件要求提供完整截图。</w:t>
      </w:r>
    </w:p>
    <w:p>
      <w:pPr>
        <w:pStyle w:val="20"/>
        <w:tabs>
          <w:tab w:val="left" w:pos="5580"/>
        </w:tabs>
        <w:spacing w:line="360" w:lineRule="auto"/>
        <w:ind w:left="584" w:leftChars="228" w:hanging="105" w:hangingChars="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（7）我方已完全理解和接受磋商文件的内容，同意提供按照贵方可能要求的与其磋商有关的一切数据或资料。</w:t>
      </w:r>
    </w:p>
    <w:p>
      <w:pPr>
        <w:pStyle w:val="20"/>
        <w:tabs>
          <w:tab w:val="left" w:pos="5580"/>
        </w:tabs>
        <w:spacing w:line="360" w:lineRule="auto"/>
        <w:ind w:firstLine="630" w:firstLineChars="300"/>
        <w:rPr>
          <w:rFonts w:ascii="Times New Roman" w:hAnsi="Times New Roman"/>
          <w:color w:val="000000" w:themeColor="text1"/>
          <w14:textFill>
            <w14:solidFill>
              <w14:schemeClr w14:val="tx1"/>
            </w14:solidFill>
          </w14:textFill>
        </w:rPr>
      </w:pPr>
    </w:p>
    <w:p>
      <w:pPr>
        <w:pStyle w:val="20"/>
        <w:tabs>
          <w:tab w:val="left" w:pos="5580"/>
        </w:tabs>
        <w:spacing w:line="360" w:lineRule="auto"/>
        <w:ind w:firstLine="840" w:firstLineChars="4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、与本磋商有关的一切正式往来信函请寄：</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地址_________________________     传真____________________________</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电话_________________________     电子函件________________________</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供应商授权代表签字_____________________</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供应商名称（全称）_____________________</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供应商开户银行（全称）</w:t>
      </w:r>
      <w:r>
        <w:rPr>
          <w:rFonts w:hint="eastAsia" w:ascii="Times New Roman" w:hAnsi="Times New Roman"/>
          <w:color w:val="000000" w:themeColor="text1"/>
          <w:u w:val="single"/>
          <w14:textFill>
            <w14:solidFill>
              <w14:schemeClr w14:val="tx1"/>
            </w14:solidFill>
          </w14:textFill>
        </w:rPr>
        <w:t xml:space="preserve">　　　　　　     </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供应商银行帐号</w:t>
      </w:r>
      <w:r>
        <w:rPr>
          <w:rFonts w:hint="eastAsia" w:ascii="Times New Roman" w:hAnsi="Times New Roman"/>
          <w:color w:val="000000" w:themeColor="text1"/>
          <w:u w:val="single"/>
          <w14:textFill>
            <w14:solidFill>
              <w14:schemeClr w14:val="tx1"/>
            </w14:solidFill>
          </w14:textFill>
        </w:rPr>
        <w:t xml:space="preserve">　　　　　　　  </w:t>
      </w:r>
    </w:p>
    <w:p>
      <w:pPr>
        <w:pStyle w:val="20"/>
        <w:tabs>
          <w:tab w:val="left" w:pos="5580"/>
        </w:tabs>
        <w:spacing w:line="360" w:lineRule="auto"/>
        <w:ind w:left="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供应商公章____________________</w:t>
      </w:r>
    </w:p>
    <w:p>
      <w:pPr>
        <w:pStyle w:val="20"/>
        <w:tabs>
          <w:tab w:val="left" w:pos="5580"/>
        </w:tabs>
        <w:spacing w:line="360" w:lineRule="auto"/>
        <w:ind w:left="42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日期_________________________</w:t>
      </w:r>
    </w:p>
    <w:p>
      <w:pPr>
        <w:pStyle w:val="20"/>
        <w:tabs>
          <w:tab w:val="left" w:pos="5580"/>
        </w:tabs>
        <w:spacing w:line="360" w:lineRule="auto"/>
        <w:ind w:left="420"/>
        <w:rPr>
          <w:rFonts w:ascii="Times New Roman" w:hAnsi="Times New Roman"/>
          <w:color w:val="000000" w:themeColor="text1"/>
          <w:u w:val="single"/>
          <w14:textFill>
            <w14:solidFill>
              <w14:schemeClr w14:val="tx1"/>
            </w14:solidFill>
          </w14:textFill>
        </w:rPr>
      </w:pPr>
    </w:p>
    <w:p>
      <w:pPr>
        <w:pStyle w:val="3"/>
        <w:keepNext w:val="0"/>
        <w:keepLines w:val="0"/>
        <w:spacing w:line="360" w:lineRule="auto"/>
        <w:rPr>
          <w:rFonts w:ascii="Times New Roman" w:hAnsi="Times New Roman" w:eastAsia="宋体"/>
          <w:b w:val="0"/>
          <w:color w:val="000000" w:themeColor="text1"/>
          <w:sz w:val="21"/>
          <w:szCs w:val="21"/>
          <w14:textFill>
            <w14:solidFill>
              <w14:schemeClr w14:val="tx1"/>
            </w14:solidFill>
          </w14:textFill>
        </w:rPr>
      </w:pPr>
      <w:r>
        <w:rPr>
          <w:rFonts w:ascii="Times New Roman" w:hAnsi="Times New Roman" w:eastAsia="宋体"/>
          <w:color w:val="000000" w:themeColor="text1"/>
          <w:sz w:val="24"/>
          <w:u w:val="single"/>
          <w14:textFill>
            <w14:solidFill>
              <w14:schemeClr w14:val="tx1"/>
            </w14:solidFill>
          </w14:textFill>
        </w:rPr>
        <w:br w:type="page"/>
      </w:r>
      <w:bookmarkStart w:id="440" w:name="_Toc438203872"/>
      <w:bookmarkStart w:id="441" w:name="_Toc529733205"/>
      <w:bookmarkStart w:id="442" w:name="_Toc277153147"/>
      <w:bookmarkStart w:id="443" w:name="_Toc67860254"/>
      <w:bookmarkStart w:id="444" w:name="_Toc139531406"/>
      <w:bookmarkStart w:id="445" w:name="_Toc277942522"/>
      <w:r>
        <w:rPr>
          <w:rFonts w:hint="eastAsia" w:ascii="Times New Roman" w:hAnsi="Times New Roman" w:eastAsia="宋体"/>
          <w:color w:val="000000" w:themeColor="text1"/>
          <w:sz w:val="28"/>
          <w14:textFill>
            <w14:solidFill>
              <w14:schemeClr w14:val="tx1"/>
            </w14:solidFill>
          </w14:textFill>
        </w:rPr>
        <w:t>附件2  首次响应一览表</w:t>
      </w:r>
      <w:bookmarkEnd w:id="440"/>
      <w:bookmarkEnd w:id="441"/>
      <w:bookmarkEnd w:id="442"/>
      <w:bookmarkEnd w:id="443"/>
      <w:bookmarkEnd w:id="444"/>
      <w:bookmarkEnd w:id="445"/>
      <w:r>
        <w:rPr>
          <w:rFonts w:hint="eastAsia" w:ascii="Times New Roman" w:hAnsi="Times New Roman" w:eastAsia="宋体"/>
          <w:b w:val="0"/>
          <w:color w:val="000000" w:themeColor="text1"/>
          <w:sz w:val="24"/>
          <w14:textFill>
            <w14:solidFill>
              <w14:schemeClr w14:val="tx1"/>
            </w14:solidFill>
          </w14:textFill>
        </w:rPr>
        <w:cr/>
      </w:r>
    </w:p>
    <w:p>
      <w:pPr>
        <w:tabs>
          <w:tab w:val="left" w:pos="1800"/>
          <w:tab w:val="left" w:pos="5580"/>
        </w:tabs>
        <w:spacing w:line="360" w:lineRule="auto"/>
        <w:jc w:val="left"/>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项目名称：</w:t>
      </w:r>
      <w:r>
        <w:rPr>
          <w:rFonts w:hint="eastAsia" w:hAnsi="宋体"/>
          <w:color w:val="000000" w:themeColor="text1"/>
          <w:szCs w:val="21"/>
          <w14:textFill>
            <w14:solidFill>
              <w14:schemeClr w14:val="tx1"/>
            </w14:solidFill>
          </w14:textFill>
        </w:rPr>
        <w:t>_______________</w:t>
      </w:r>
      <w:r>
        <w:rPr>
          <w:rFonts w:cs="宋体"/>
          <w:color w:val="000000" w:themeColor="text1"/>
          <w:szCs w:val="21"/>
          <w14:textFill>
            <w14:solidFill>
              <w14:schemeClr w14:val="tx1"/>
            </w14:solidFill>
          </w14:textFill>
        </w:rPr>
        <w:t>采购编号：</w:t>
      </w:r>
      <w:r>
        <w:rPr>
          <w:rFonts w:hint="eastAsia" w:hAnsi="宋体"/>
          <w:color w:val="000000" w:themeColor="text1"/>
          <w:szCs w:val="21"/>
          <w14:textFill>
            <w14:solidFill>
              <w14:schemeClr w14:val="tx1"/>
            </w14:solidFill>
          </w14:textFill>
        </w:rPr>
        <w:t>_______________</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038"/>
        <w:gridCol w:w="2767"/>
        <w:gridCol w:w="2184"/>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376" w:type="pct"/>
            <w:vAlign w:val="center"/>
          </w:tcPr>
          <w:p>
            <w:pPr>
              <w:pStyle w:val="20"/>
              <w:spacing w:before="156" w:after="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包号</w:t>
            </w:r>
          </w:p>
        </w:tc>
        <w:tc>
          <w:tcPr>
            <w:tcW w:w="1112" w:type="pct"/>
            <w:vAlign w:val="center"/>
          </w:tcPr>
          <w:p>
            <w:pPr>
              <w:pStyle w:val="20"/>
              <w:spacing w:before="156" w:after="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项目名称</w:t>
            </w:r>
          </w:p>
        </w:tc>
        <w:tc>
          <w:tcPr>
            <w:tcW w:w="1510" w:type="pct"/>
            <w:vAlign w:val="center"/>
          </w:tcPr>
          <w:p>
            <w:pPr>
              <w:pStyle w:val="20"/>
              <w:spacing w:before="156" w:after="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人民币报价</w:t>
            </w:r>
          </w:p>
        </w:tc>
        <w:tc>
          <w:tcPr>
            <w:tcW w:w="1192" w:type="pct"/>
            <w:vAlign w:val="center"/>
          </w:tcPr>
          <w:p>
            <w:pPr>
              <w:pStyle w:val="20"/>
              <w:spacing w:before="156" w:after="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磋商保证金(元)</w:t>
            </w:r>
          </w:p>
        </w:tc>
        <w:tc>
          <w:tcPr>
            <w:tcW w:w="810" w:type="pct"/>
            <w:vAlign w:val="center"/>
          </w:tcPr>
          <w:p>
            <w:pPr>
              <w:pStyle w:val="20"/>
              <w:spacing w:before="156" w:after="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trPr>
        <w:tc>
          <w:tcPr>
            <w:tcW w:w="376" w:type="pct"/>
            <w:vAlign w:val="center"/>
          </w:tcPr>
          <w:p>
            <w:pPr>
              <w:pStyle w:val="20"/>
              <w:spacing w:before="156" w:after="156"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w:t>
            </w:r>
            <w:r>
              <w:rPr>
                <w:rFonts w:ascii="Times New Roman" w:hAnsi="Times New Roman"/>
                <w:color w:val="000000" w:themeColor="text1"/>
                <w:szCs w:val="21"/>
                <w14:textFill>
                  <w14:solidFill>
                    <w14:schemeClr w14:val="tx1"/>
                  </w14:solidFill>
                </w14:textFill>
              </w:rPr>
              <w:t>1</w:t>
            </w:r>
          </w:p>
        </w:tc>
        <w:tc>
          <w:tcPr>
            <w:tcW w:w="1112" w:type="pct"/>
          </w:tcPr>
          <w:p>
            <w:pPr>
              <w:pStyle w:val="20"/>
              <w:spacing w:before="156" w:after="156" w:line="360" w:lineRule="auto"/>
              <w:rPr>
                <w:rFonts w:ascii="Times New Roman" w:hAnsi="Times New Roman"/>
                <w:color w:val="000000" w:themeColor="text1"/>
                <w:szCs w:val="21"/>
                <w14:textFill>
                  <w14:solidFill>
                    <w14:schemeClr w14:val="tx1"/>
                  </w14:solidFill>
                </w14:textFill>
              </w:rPr>
            </w:pPr>
          </w:p>
        </w:tc>
        <w:tc>
          <w:tcPr>
            <w:tcW w:w="1510" w:type="pct"/>
            <w:vAlign w:val="center"/>
          </w:tcPr>
          <w:p>
            <w:pPr>
              <w:pStyle w:val="20"/>
              <w:spacing w:before="156" w:after="156"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 xml:space="preserve">人民币小写： </w:t>
            </w:r>
            <w:r>
              <w:rPr>
                <w:rFonts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元</w:t>
            </w:r>
            <w:r>
              <w:rPr>
                <w:rFonts w:ascii="Times New Roman" w:hAnsi="Times New Roman"/>
                <w:color w:val="000000" w:themeColor="text1"/>
                <w:szCs w:val="21"/>
                <w14:textFill>
                  <w14:solidFill>
                    <w14:schemeClr w14:val="tx1"/>
                  </w14:solidFill>
                </w14:textFill>
              </w:rPr>
              <w:t xml:space="preserve">  </w:t>
            </w:r>
          </w:p>
          <w:p>
            <w:pPr>
              <w:pStyle w:val="20"/>
              <w:spacing w:before="156" w:after="156"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 xml:space="preserve">人民币大写： </w:t>
            </w:r>
            <w:r>
              <w:rPr>
                <w:rFonts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元</w:t>
            </w:r>
          </w:p>
        </w:tc>
        <w:tc>
          <w:tcPr>
            <w:tcW w:w="1192" w:type="pct"/>
          </w:tcPr>
          <w:p>
            <w:pPr>
              <w:pStyle w:val="20"/>
              <w:spacing w:before="156" w:after="156" w:line="360" w:lineRule="auto"/>
              <w:rPr>
                <w:rFonts w:ascii="Times New Roman" w:hAnsi="Times New Roman"/>
                <w:color w:val="000000" w:themeColor="text1"/>
                <w:szCs w:val="21"/>
                <w14:textFill>
                  <w14:solidFill>
                    <w14:schemeClr w14:val="tx1"/>
                  </w14:solidFill>
                </w14:textFill>
              </w:rPr>
            </w:pPr>
          </w:p>
        </w:tc>
        <w:tc>
          <w:tcPr>
            <w:tcW w:w="810" w:type="pct"/>
          </w:tcPr>
          <w:p>
            <w:pPr>
              <w:pStyle w:val="20"/>
              <w:spacing w:before="156" w:after="156" w:line="360" w:lineRule="auto"/>
              <w:rPr>
                <w:rFonts w:ascii="Times New Roman" w:hAnsi="Times New Roman"/>
                <w:color w:val="000000" w:themeColor="text1"/>
                <w:szCs w:val="21"/>
                <w14:textFill>
                  <w14:solidFill>
                    <w14:schemeClr w14:val="tx1"/>
                  </w14:solidFill>
                </w14:textFill>
              </w:rPr>
            </w:pPr>
          </w:p>
        </w:tc>
      </w:tr>
    </w:tbl>
    <w:p>
      <w:pPr>
        <w:pStyle w:val="20"/>
        <w:tabs>
          <w:tab w:val="left" w:pos="5580"/>
        </w:tabs>
        <w:spacing w:before="120" w:line="360" w:lineRule="auto"/>
        <w:rPr>
          <w:rFonts w:ascii="Times New Roman" w:hAnsi="Times New Roman"/>
          <w:color w:val="000000" w:themeColor="text1"/>
          <w:szCs w:val="21"/>
          <w14:textFill>
            <w14:solidFill>
              <w14:schemeClr w14:val="tx1"/>
            </w14:solidFill>
          </w14:textFill>
        </w:rPr>
      </w:pPr>
    </w:p>
    <w:p>
      <w:pPr>
        <w:pStyle w:val="20"/>
        <w:rPr>
          <w:rFonts w:hAnsi="宋体"/>
          <w:color w:val="000000" w:themeColor="text1"/>
          <w:szCs w:val="21"/>
          <w:u w:val="single"/>
          <w14:textFill>
            <w14:solidFill>
              <w14:schemeClr w14:val="tx1"/>
            </w14:solidFill>
          </w14:textFill>
        </w:rPr>
      </w:pPr>
      <w:r>
        <w:rPr>
          <w:rFonts w:hint="eastAsia" w:hAnsi="宋体"/>
          <w:color w:val="000000" w:themeColor="text1"/>
          <w:szCs w:val="21"/>
          <w14:textFill>
            <w14:solidFill>
              <w14:schemeClr w14:val="tx1"/>
            </w14:solidFill>
          </w14:textFill>
        </w:rPr>
        <w:t>供应商名称(公章)：</w:t>
      </w:r>
      <w:r>
        <w:rPr>
          <w:rFonts w:hint="eastAsia" w:hAnsi="宋体"/>
          <w:color w:val="000000" w:themeColor="text1"/>
          <w:szCs w:val="21"/>
          <w:u w:val="single"/>
          <w14:textFill>
            <w14:solidFill>
              <w14:schemeClr w14:val="tx1"/>
            </w14:solidFill>
          </w14:textFill>
        </w:rPr>
        <w:tab/>
      </w:r>
      <w:r>
        <w:rPr>
          <w:rFonts w:hint="eastAsia" w:hAnsi="宋体"/>
          <w:color w:val="000000" w:themeColor="text1"/>
          <w:szCs w:val="21"/>
          <w:u w:val="single"/>
          <w14:textFill>
            <w14:solidFill>
              <w14:schemeClr w14:val="tx1"/>
            </w14:solidFill>
          </w14:textFill>
        </w:rPr>
        <w:t xml:space="preserve">              </w:t>
      </w:r>
    </w:p>
    <w:p>
      <w:pPr>
        <w:pStyle w:val="20"/>
        <w:tabs>
          <w:tab w:val="left" w:pos="5580"/>
        </w:tabs>
        <w:spacing w:before="120" w:line="360" w:lineRule="auto"/>
        <w:rPr>
          <w:rFonts w:ascii="Times New Roman" w:hAnsi="Times New Roman"/>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授权代表签字___________________</w:t>
      </w:r>
      <w:r>
        <w:rPr>
          <w:rFonts w:hint="eastAsia" w:ascii="Times New Roman" w:hAnsi="Times New Roman"/>
          <w:color w:val="000000" w:themeColor="text1"/>
          <w:szCs w:val="21"/>
          <w14:textFill>
            <w14:solidFill>
              <w14:schemeClr w14:val="tx1"/>
            </w14:solidFill>
          </w14:textFill>
        </w:rPr>
        <w:t xml:space="preserve">                                                </w:t>
      </w:r>
    </w:p>
    <w:p>
      <w:pPr>
        <w:pStyle w:val="20"/>
        <w:tabs>
          <w:tab w:val="left" w:pos="5580"/>
        </w:tabs>
        <w:spacing w:before="120" w:line="360" w:lineRule="auto"/>
        <w:rPr>
          <w:rFonts w:ascii="Times New Roman" w:hAnsi="Times New Roman"/>
          <w:color w:val="000000" w:themeColor="text1"/>
          <w:szCs w:val="21"/>
          <w14:textFill>
            <w14:solidFill>
              <w14:schemeClr w14:val="tx1"/>
            </w14:solidFill>
          </w14:textFill>
        </w:rPr>
      </w:pPr>
    </w:p>
    <w:p>
      <w:pPr>
        <w:pStyle w:val="20"/>
        <w:tabs>
          <w:tab w:val="left" w:pos="5580"/>
        </w:tabs>
        <w:spacing w:before="120"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日期：</w:t>
      </w:r>
      <w:r>
        <w:rPr>
          <w:rFonts w:ascii="Times New Roman" w:hAnsi="Times New Roman"/>
          <w:color w:val="000000" w:themeColor="text1"/>
          <w:szCs w:val="21"/>
          <w14:textFill>
            <w14:solidFill>
              <w14:schemeClr w14:val="tx1"/>
            </w14:solidFill>
          </w14:textFill>
        </w:rPr>
        <w:t>_____</w:t>
      </w:r>
      <w:r>
        <w:rPr>
          <w:rFonts w:hint="eastAsia" w:ascii="Times New Roman" w:hAnsi="Times New Roman" w:cs="宋体"/>
          <w:color w:val="000000" w:themeColor="text1"/>
          <w:szCs w:val="21"/>
          <w14:textFill>
            <w14:solidFill>
              <w14:schemeClr w14:val="tx1"/>
            </w14:solidFill>
          </w14:textFill>
        </w:rPr>
        <w:t>年</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s="宋体"/>
          <w:color w:val="000000" w:themeColor="text1"/>
          <w:szCs w:val="21"/>
          <w14:textFill>
            <w14:solidFill>
              <w14:schemeClr w14:val="tx1"/>
            </w14:solidFill>
          </w14:textFill>
        </w:rPr>
        <w:t>月</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s="宋体"/>
          <w:color w:val="000000" w:themeColor="text1"/>
          <w:szCs w:val="21"/>
          <w14:textFill>
            <w14:solidFill>
              <w14:schemeClr w14:val="tx1"/>
            </w14:solidFill>
          </w14:textFill>
        </w:rPr>
        <w:t>日</w:t>
      </w:r>
    </w:p>
    <w:p>
      <w:pPr>
        <w:pStyle w:val="20"/>
        <w:tabs>
          <w:tab w:val="left" w:pos="5580"/>
        </w:tabs>
        <w:spacing w:before="120" w:line="360" w:lineRule="auto"/>
        <w:rPr>
          <w:rFonts w:ascii="Times New Roman" w:hAnsi="Times New Roman"/>
          <w:color w:val="000000" w:themeColor="text1"/>
          <w:szCs w:val="21"/>
          <w14:textFill>
            <w14:solidFill>
              <w14:schemeClr w14:val="tx1"/>
            </w14:solidFill>
          </w14:textFill>
        </w:rPr>
      </w:pP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注：按实际用量结算，请报价时参考第六章项目需求。报价应被视为包括但不限于全部产品、服务费用、人员成本以及其他一切必要开支的所有价格、税、费。</w:t>
      </w:r>
    </w:p>
    <w:p>
      <w:pPr>
        <w:rPr>
          <w:b/>
          <w:color w:val="000000" w:themeColor="text1"/>
          <w:szCs w:val="21"/>
          <w14:textFill>
            <w14:solidFill>
              <w14:schemeClr w14:val="tx1"/>
            </w14:solidFill>
          </w14:textFill>
        </w:rPr>
      </w:pPr>
    </w:p>
    <w:p>
      <w:pPr>
        <w:pStyle w:val="3"/>
        <w:spacing w:line="360" w:lineRule="auto"/>
        <w:rPr>
          <w:rFonts w:ascii="Times New Roman" w:hAnsi="Times New Roman" w:eastAsia="宋体"/>
          <w:color w:val="000000" w:themeColor="text1"/>
          <w:sz w:val="28"/>
          <w14:textFill>
            <w14:solidFill>
              <w14:schemeClr w14:val="tx1"/>
            </w14:solidFill>
          </w14:textFill>
        </w:rPr>
        <w:sectPr>
          <w:pgSz w:w="11907" w:h="16840"/>
          <w:pgMar w:top="1758" w:right="1701" w:bottom="1588" w:left="1259" w:header="851" w:footer="851" w:gutter="0"/>
          <w:cols w:space="720" w:num="1"/>
          <w:titlePg/>
          <w:docGrid w:linePitch="462" w:charSpace="0"/>
        </w:sectPr>
      </w:pPr>
    </w:p>
    <w:p>
      <w:pPr>
        <w:pStyle w:val="3"/>
        <w:keepNext w:val="0"/>
        <w:keepLines w:val="0"/>
        <w:spacing w:line="360" w:lineRule="auto"/>
        <w:ind w:firstLine="3935" w:firstLineChars="1400"/>
        <w:jc w:val="left"/>
        <w:rPr>
          <w:color w:val="000000" w:themeColor="text1"/>
          <w14:textFill>
            <w14:solidFill>
              <w14:schemeClr w14:val="tx1"/>
            </w14:solidFill>
          </w14:textFill>
        </w:rPr>
      </w:pPr>
      <w:bookmarkStart w:id="446" w:name="_Toc438203873"/>
      <w:bookmarkStart w:id="447" w:name="_Toc139531407"/>
      <w:bookmarkStart w:id="448" w:name="_Toc529733206"/>
      <w:bookmarkStart w:id="449" w:name="_Toc71533780"/>
      <w:bookmarkStart w:id="450" w:name="_Toc133737848"/>
      <w:bookmarkStart w:id="451" w:name="_Toc133737937"/>
      <w:bookmarkStart w:id="452" w:name="_Toc277153149"/>
      <w:bookmarkStart w:id="453" w:name="_Toc133916718"/>
      <w:bookmarkStart w:id="454" w:name="_Toc277942524"/>
      <w:bookmarkStart w:id="455" w:name="_Toc438203875"/>
      <w:bookmarkStart w:id="456" w:name="_Toc67860255"/>
      <w:r>
        <w:rPr>
          <w:rFonts w:hint="eastAsia" w:ascii="Times New Roman" w:hAnsi="Times New Roman" w:eastAsia="宋体"/>
          <w:color w:val="000000" w:themeColor="text1"/>
          <w:sz w:val="28"/>
          <w14:textFill>
            <w14:solidFill>
              <w14:schemeClr w14:val="tx1"/>
            </w14:solidFill>
          </w14:textFill>
        </w:rPr>
        <w:t>附件3  分项报价表</w:t>
      </w:r>
      <w:bookmarkEnd w:id="446"/>
      <w:bookmarkEnd w:id="447"/>
      <w:bookmarkEnd w:id="448"/>
      <w:bookmarkEnd w:id="449"/>
    </w:p>
    <w:p>
      <w:pPr>
        <w:pStyle w:val="4"/>
        <w:rPr>
          <w:color w:val="000000" w:themeColor="text1"/>
          <w14:textFill>
            <w14:solidFill>
              <w14:schemeClr w14:val="tx1"/>
            </w14:solidFill>
          </w14:textFill>
        </w:rPr>
      </w:pPr>
    </w:p>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供应商名称：___________ 采购编号：_______________包号：_______________单位：人民币元</w:t>
      </w:r>
    </w:p>
    <w:tbl>
      <w:tblPr>
        <w:tblStyle w:val="39"/>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428"/>
        <w:gridCol w:w="2097"/>
        <w:gridCol w:w="1276"/>
        <w:gridCol w:w="1276"/>
        <w:gridCol w:w="1842"/>
        <w:gridCol w:w="1418"/>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序号</w:t>
            </w:r>
          </w:p>
        </w:tc>
        <w:tc>
          <w:tcPr>
            <w:tcW w:w="2428"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名称</w:t>
            </w:r>
          </w:p>
        </w:tc>
        <w:tc>
          <w:tcPr>
            <w:tcW w:w="2097"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型号和规格</w:t>
            </w:r>
          </w:p>
        </w:tc>
        <w:tc>
          <w:tcPr>
            <w:tcW w:w="1276"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品牌</w:t>
            </w:r>
          </w:p>
        </w:tc>
        <w:tc>
          <w:tcPr>
            <w:tcW w:w="1276"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数量</w:t>
            </w:r>
          </w:p>
        </w:tc>
        <w:tc>
          <w:tcPr>
            <w:tcW w:w="1842"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原产地和制造商名称</w:t>
            </w:r>
          </w:p>
        </w:tc>
        <w:tc>
          <w:tcPr>
            <w:tcW w:w="1418"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单价</w:t>
            </w:r>
          </w:p>
        </w:tc>
        <w:tc>
          <w:tcPr>
            <w:tcW w:w="1417"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合计</w:t>
            </w:r>
          </w:p>
        </w:tc>
        <w:tc>
          <w:tcPr>
            <w:tcW w:w="1418" w:type="dxa"/>
            <w:vAlign w:val="center"/>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1.</w:t>
            </w:r>
          </w:p>
        </w:tc>
        <w:tc>
          <w:tcPr>
            <w:tcW w:w="24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货物和标准附件</w:t>
            </w:r>
          </w:p>
        </w:tc>
        <w:tc>
          <w:tcPr>
            <w:tcW w:w="2097"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842"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c>
          <w:tcPr>
            <w:tcW w:w="1417"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2.</w:t>
            </w:r>
          </w:p>
        </w:tc>
        <w:tc>
          <w:tcPr>
            <w:tcW w:w="24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备品备件</w:t>
            </w:r>
          </w:p>
        </w:tc>
        <w:tc>
          <w:tcPr>
            <w:tcW w:w="2097"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842"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c>
          <w:tcPr>
            <w:tcW w:w="1417"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p>
        </w:tc>
        <w:tc>
          <w:tcPr>
            <w:tcW w:w="24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专用工具</w:t>
            </w:r>
          </w:p>
        </w:tc>
        <w:tc>
          <w:tcPr>
            <w:tcW w:w="2097"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842"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c>
          <w:tcPr>
            <w:tcW w:w="1417"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4.</w:t>
            </w:r>
          </w:p>
        </w:tc>
        <w:tc>
          <w:tcPr>
            <w:tcW w:w="24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安装、调试、检验</w:t>
            </w:r>
          </w:p>
        </w:tc>
        <w:tc>
          <w:tcPr>
            <w:tcW w:w="2097"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842"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c>
          <w:tcPr>
            <w:tcW w:w="1417"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5.</w:t>
            </w:r>
          </w:p>
        </w:tc>
        <w:tc>
          <w:tcPr>
            <w:tcW w:w="24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培训</w:t>
            </w:r>
          </w:p>
        </w:tc>
        <w:tc>
          <w:tcPr>
            <w:tcW w:w="2097"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842"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c>
          <w:tcPr>
            <w:tcW w:w="1417"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6.</w:t>
            </w:r>
          </w:p>
        </w:tc>
        <w:tc>
          <w:tcPr>
            <w:tcW w:w="24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技术服务</w:t>
            </w:r>
          </w:p>
        </w:tc>
        <w:tc>
          <w:tcPr>
            <w:tcW w:w="2097"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276" w:type="dxa"/>
          </w:tcPr>
          <w:p>
            <w:pPr>
              <w:pStyle w:val="20"/>
              <w:rPr>
                <w:rFonts w:hAnsi="宋体"/>
                <w:color w:val="000000" w:themeColor="text1"/>
                <w:szCs w:val="21"/>
                <w14:textFill>
                  <w14:solidFill>
                    <w14:schemeClr w14:val="tx1"/>
                  </w14:solidFill>
                </w14:textFill>
              </w:rPr>
            </w:pPr>
          </w:p>
        </w:tc>
        <w:tc>
          <w:tcPr>
            <w:tcW w:w="1842"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c>
          <w:tcPr>
            <w:tcW w:w="1417"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7.</w:t>
            </w:r>
          </w:p>
        </w:tc>
        <w:tc>
          <w:tcPr>
            <w:tcW w:w="10337" w:type="dxa"/>
            <w:gridSpan w:val="6"/>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至最终目的地运保费</w:t>
            </w:r>
          </w:p>
        </w:tc>
        <w:tc>
          <w:tcPr>
            <w:tcW w:w="1417" w:type="dxa"/>
          </w:tcPr>
          <w:p>
            <w:pPr>
              <w:pStyle w:val="20"/>
              <w:rPr>
                <w:rFonts w:hAnsi="宋体"/>
                <w:color w:val="000000" w:themeColor="text1"/>
                <w:szCs w:val="21"/>
                <w14:textFill>
                  <w14:solidFill>
                    <w14:schemeClr w14:val="tx1"/>
                  </w14:solidFill>
                </w14:textFill>
              </w:rPr>
            </w:pPr>
          </w:p>
        </w:tc>
        <w:tc>
          <w:tcPr>
            <w:tcW w:w="1418" w:type="dxa"/>
          </w:tcPr>
          <w:p>
            <w:pPr>
              <w:pStyle w:val="20"/>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00" w:type="dxa"/>
            <w:gridSpan w:val="9"/>
          </w:tcPr>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总价：</w:t>
            </w:r>
          </w:p>
        </w:tc>
      </w:tr>
    </w:tbl>
    <w:p>
      <w:pPr>
        <w:pStyle w:val="2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 xml:space="preserve">                                                                                                                供应商名称(公章)：</w:t>
      </w:r>
      <w:r>
        <w:rPr>
          <w:rFonts w:hint="eastAsia" w:hAnsi="宋体"/>
          <w:color w:val="000000" w:themeColor="text1"/>
          <w:szCs w:val="21"/>
          <w14:textFill>
            <w14:solidFill>
              <w14:schemeClr w14:val="tx1"/>
            </w14:solidFill>
          </w14:textFill>
        </w:rPr>
        <w:tab/>
      </w:r>
      <w:r>
        <w:rPr>
          <w:rFonts w:hint="eastAsia" w:hAnsi="宋体"/>
          <w:color w:val="000000" w:themeColor="text1"/>
          <w:szCs w:val="21"/>
          <w14:textFill>
            <w14:solidFill>
              <w14:schemeClr w14:val="tx1"/>
            </w14:solidFill>
          </w14:textFill>
        </w:rPr>
        <w:t xml:space="preserve">              </w:t>
      </w:r>
    </w:p>
    <w:p>
      <w:pPr>
        <w:pStyle w:val="20"/>
        <w:spacing w:line="360" w:lineRule="auto"/>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授权代表签字___________________</w:t>
      </w:r>
    </w:p>
    <w:p>
      <w:pPr>
        <w:pStyle w:val="20"/>
        <w:spacing w:line="360" w:lineRule="auto"/>
        <w:rPr>
          <w:rFonts w:hAnsi="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日期：</w:t>
      </w:r>
      <w:r>
        <w:rPr>
          <w:rFonts w:ascii="Times New Roman" w:hAnsi="Times New Roman"/>
          <w:color w:val="000000" w:themeColor="text1"/>
          <w:szCs w:val="21"/>
          <w14:textFill>
            <w14:solidFill>
              <w14:schemeClr w14:val="tx1"/>
            </w14:solidFill>
          </w14:textFill>
        </w:rPr>
        <w:t>_____</w:t>
      </w:r>
      <w:r>
        <w:rPr>
          <w:rFonts w:hint="eastAsia" w:ascii="Times New Roman" w:hAnsi="Times New Roman" w:cs="宋体"/>
          <w:color w:val="000000" w:themeColor="text1"/>
          <w:szCs w:val="21"/>
          <w14:textFill>
            <w14:solidFill>
              <w14:schemeClr w14:val="tx1"/>
            </w14:solidFill>
          </w14:textFill>
        </w:rPr>
        <w:t>年</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s="宋体"/>
          <w:color w:val="000000" w:themeColor="text1"/>
          <w:szCs w:val="21"/>
          <w14:textFill>
            <w14:solidFill>
              <w14:schemeClr w14:val="tx1"/>
            </w14:solidFill>
          </w14:textFill>
        </w:rPr>
        <w:t>月</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s="宋体"/>
          <w:color w:val="000000" w:themeColor="text1"/>
          <w:szCs w:val="21"/>
          <w14:textFill>
            <w14:solidFill>
              <w14:schemeClr w14:val="tx1"/>
            </w14:solidFill>
          </w14:textFill>
        </w:rPr>
        <w:t>日</w:t>
      </w:r>
    </w:p>
    <w:p>
      <w:pPr>
        <w:pStyle w:val="20"/>
        <w:spacing w:line="360" w:lineRule="auto"/>
        <w:rPr>
          <w:rFonts w:hAnsi="宋体"/>
          <w:b/>
          <w:color w:val="000000" w:themeColor="text1"/>
          <w:szCs w:val="21"/>
          <w14:textFill>
            <w14:solidFill>
              <w14:schemeClr w14:val="tx1"/>
            </w14:solidFill>
          </w14:textFill>
        </w:rPr>
      </w:pPr>
      <w:r>
        <w:rPr>
          <w:rFonts w:hint="eastAsia" w:hAnsi="宋体"/>
          <w:b/>
          <w:color w:val="000000" w:themeColor="text1"/>
          <w:szCs w:val="21"/>
          <w14:textFill>
            <w14:solidFill>
              <w14:schemeClr w14:val="tx1"/>
            </w14:solidFill>
          </w14:textFill>
        </w:rPr>
        <w:t xml:space="preserve">注：1.分项单价总和必须与总价保持一致（格式自拟进行描述）。  </w:t>
      </w:r>
    </w:p>
    <w:p>
      <w:pPr>
        <w:pStyle w:val="4"/>
        <w:rPr>
          <w:b/>
          <w:color w:val="000000" w:themeColor="text1"/>
          <w:sz w:val="21"/>
          <w:szCs w:val="21"/>
          <w14:textFill>
            <w14:solidFill>
              <w14:schemeClr w14:val="tx1"/>
            </w14:solidFill>
          </w14:textFill>
        </w:rPr>
      </w:pPr>
    </w:p>
    <w:p>
      <w:pPr>
        <w:pStyle w:val="4"/>
        <w:rPr>
          <w:color w:val="000000" w:themeColor="text1"/>
          <w:sz w:val="21"/>
          <w:szCs w:val="21"/>
          <w14:textFill>
            <w14:solidFill>
              <w14:schemeClr w14:val="tx1"/>
            </w14:solidFill>
          </w14:textFill>
        </w:rPr>
        <w:sectPr>
          <w:footerReference r:id="rId10" w:type="first"/>
          <w:pgSz w:w="16840" w:h="11907" w:orient="landscape"/>
          <w:pgMar w:top="1701" w:right="1588" w:bottom="1259" w:left="1758" w:header="851" w:footer="992" w:gutter="0"/>
          <w:cols w:space="720" w:num="1"/>
          <w:docGrid w:linePitch="312" w:charSpace="0"/>
        </w:sectPr>
      </w:pPr>
    </w:p>
    <w:p>
      <w:pPr>
        <w:pStyle w:val="4"/>
        <w:rPr>
          <w:color w:val="000000" w:themeColor="text1"/>
          <w14:textFill>
            <w14:solidFill>
              <w14:schemeClr w14:val="tx1"/>
            </w14:solidFill>
          </w14:textFill>
        </w:rPr>
      </w:pP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457" w:name="_Toc139531408"/>
      <w:r>
        <w:rPr>
          <w:rFonts w:hint="eastAsia" w:ascii="Times New Roman" w:hAnsi="Times New Roman" w:eastAsia="宋体"/>
          <w:color w:val="000000" w:themeColor="text1"/>
          <w:sz w:val="28"/>
          <w14:textFill>
            <w14:solidFill>
              <w14:schemeClr w14:val="tx1"/>
            </w14:solidFill>
          </w14:textFill>
        </w:rPr>
        <w:t>附件</w:t>
      </w:r>
      <w:r>
        <w:rPr>
          <w:rFonts w:ascii="Times New Roman" w:hAnsi="Times New Roman" w:eastAsia="宋体"/>
          <w:color w:val="000000" w:themeColor="text1"/>
          <w:sz w:val="28"/>
          <w14:textFill>
            <w14:solidFill>
              <w14:schemeClr w14:val="tx1"/>
            </w14:solidFill>
          </w14:textFill>
        </w:rPr>
        <w:t>4</w:t>
      </w:r>
      <w:r>
        <w:rPr>
          <w:rFonts w:hint="eastAsia" w:ascii="Times New Roman" w:hAnsi="Times New Roman" w:eastAsia="宋体"/>
          <w:color w:val="000000" w:themeColor="text1"/>
          <w:sz w:val="28"/>
          <w14:textFill>
            <w14:solidFill>
              <w14:schemeClr w14:val="tx1"/>
            </w14:solidFill>
          </w14:textFill>
        </w:rPr>
        <w:t xml:space="preserve"> </w:t>
      </w:r>
      <w:bookmarkEnd w:id="450"/>
      <w:bookmarkEnd w:id="451"/>
      <w:bookmarkEnd w:id="452"/>
      <w:bookmarkEnd w:id="453"/>
      <w:bookmarkEnd w:id="454"/>
      <w:r>
        <w:rPr>
          <w:rFonts w:hint="eastAsia" w:ascii="Times New Roman" w:hAnsi="Times New Roman" w:eastAsia="宋体"/>
          <w:color w:val="000000" w:themeColor="text1"/>
          <w:sz w:val="28"/>
          <w14:textFill>
            <w14:solidFill>
              <w14:schemeClr w14:val="tx1"/>
            </w14:solidFill>
          </w14:textFill>
        </w:rPr>
        <w:t>技术参数偏离表</w:t>
      </w:r>
      <w:bookmarkEnd w:id="455"/>
      <w:bookmarkEnd w:id="456"/>
      <w:bookmarkEnd w:id="457"/>
    </w:p>
    <w:p>
      <w:pPr>
        <w:pStyle w:val="20"/>
        <w:spacing w:line="360" w:lineRule="auto"/>
        <w:rPr>
          <w:rFonts w:ascii="Times New Roman" w:hAnsi="Times New Roman"/>
          <w:color w:val="000000" w:themeColor="text1"/>
          <w:szCs w:val="21"/>
          <w14:textFill>
            <w14:solidFill>
              <w14:schemeClr w14:val="tx1"/>
            </w14:solidFill>
          </w14:textFill>
        </w:rPr>
      </w:pPr>
    </w:p>
    <w:p>
      <w:pPr>
        <w:pStyle w:val="20"/>
        <w:spacing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项目名称：___________采购编号：______________</w:t>
      </w:r>
      <w:r>
        <w:rPr>
          <w:rFonts w:hint="eastAsia"/>
          <w:color w:val="000000" w:themeColor="text1"/>
          <w:szCs w:val="21"/>
          <w14:textFill>
            <w14:solidFill>
              <w14:schemeClr w14:val="tx1"/>
            </w14:solidFill>
          </w14:textFill>
        </w:rPr>
        <w:t>包号：______________</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vAlign w:val="center"/>
          </w:tcPr>
          <w:p>
            <w:pPr>
              <w:pStyle w:val="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260" w:type="dxa"/>
            <w:vAlign w:val="center"/>
          </w:tcPr>
          <w:p>
            <w:pPr>
              <w:pStyle w:val="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内容</w:t>
            </w:r>
          </w:p>
        </w:tc>
        <w:tc>
          <w:tcPr>
            <w:tcW w:w="2340" w:type="dxa"/>
            <w:vAlign w:val="center"/>
          </w:tcPr>
          <w:p>
            <w:pPr>
              <w:pStyle w:val="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磋商文件条款号</w:t>
            </w:r>
          </w:p>
        </w:tc>
        <w:tc>
          <w:tcPr>
            <w:tcW w:w="1260" w:type="dxa"/>
            <w:vAlign w:val="center"/>
          </w:tcPr>
          <w:p>
            <w:pPr>
              <w:pStyle w:val="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技术要求</w:t>
            </w:r>
          </w:p>
        </w:tc>
        <w:tc>
          <w:tcPr>
            <w:tcW w:w="1260" w:type="dxa"/>
            <w:vAlign w:val="center"/>
          </w:tcPr>
          <w:p>
            <w:pPr>
              <w:pStyle w:val="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响应内容</w:t>
            </w:r>
          </w:p>
        </w:tc>
        <w:tc>
          <w:tcPr>
            <w:tcW w:w="900" w:type="dxa"/>
            <w:vAlign w:val="center"/>
          </w:tcPr>
          <w:p>
            <w:pPr>
              <w:pStyle w:val="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偏离</w:t>
            </w:r>
          </w:p>
        </w:tc>
        <w:tc>
          <w:tcPr>
            <w:tcW w:w="900" w:type="dxa"/>
            <w:vAlign w:val="center"/>
          </w:tcPr>
          <w:p>
            <w:pPr>
              <w:pStyle w:val="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28"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234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126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c>
          <w:tcPr>
            <w:tcW w:w="900" w:type="dxa"/>
          </w:tcPr>
          <w:p>
            <w:pPr>
              <w:pStyle w:val="20"/>
              <w:rPr>
                <w:color w:val="000000" w:themeColor="text1"/>
                <w:szCs w:val="21"/>
                <w14:textFill>
                  <w14:solidFill>
                    <w14:schemeClr w14:val="tx1"/>
                  </w14:solidFill>
                </w14:textFill>
              </w:rPr>
            </w:pPr>
          </w:p>
        </w:tc>
      </w:tr>
    </w:tbl>
    <w:p>
      <w:pPr>
        <w:pStyle w:val="20"/>
        <w:spacing w:line="360" w:lineRule="auto"/>
        <w:rPr>
          <w:rFonts w:ascii="Times New Roman" w:hAnsi="Times New Roman"/>
          <w:color w:val="000000" w:themeColor="text1"/>
          <w:szCs w:val="21"/>
          <w14:textFill>
            <w14:solidFill>
              <w14:schemeClr w14:val="tx1"/>
            </w14:solidFill>
          </w14:textFill>
        </w:rPr>
      </w:pPr>
    </w:p>
    <w:p>
      <w:pPr>
        <w:pStyle w:val="20"/>
        <w:spacing w:line="360" w:lineRule="auto"/>
        <w:rPr>
          <w:rFonts w:ascii="Times New Roman" w:hAnsi="Times New Roman"/>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供应商名称（公章）：</w:t>
      </w:r>
      <w:r>
        <w:rPr>
          <w:rFonts w:ascii="Arial" w:hAnsi="Arial" w:cs="Arial"/>
          <w:color w:val="000000" w:themeColor="text1"/>
          <w:szCs w:val="21"/>
          <w:u w:val="single"/>
          <w14:textFill>
            <w14:solidFill>
              <w14:schemeClr w14:val="tx1"/>
            </w14:solidFill>
          </w14:textFill>
        </w:rPr>
        <w:t xml:space="preserve">                 </w:t>
      </w:r>
    </w:p>
    <w:p>
      <w:pPr>
        <w:pStyle w:val="20"/>
        <w:spacing w:line="360" w:lineRule="auto"/>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授权代表签字：</w:t>
      </w:r>
      <w:r>
        <w:rPr>
          <w:rFonts w:ascii="Arial" w:hAnsi="Arial" w:cs="Arial"/>
          <w:color w:val="000000" w:themeColor="text1"/>
          <w:szCs w:val="21"/>
          <w14:textFill>
            <w14:solidFill>
              <w14:schemeClr w14:val="tx1"/>
            </w14:solidFill>
          </w14:textFill>
        </w:rPr>
        <w:t>____________________</w:t>
      </w:r>
    </w:p>
    <w:p>
      <w:pPr>
        <w:pStyle w:val="20"/>
        <w:spacing w:line="360" w:lineRule="auto"/>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日期：</w:t>
      </w:r>
      <w:r>
        <w:rPr>
          <w:rFonts w:ascii="Arial" w:hAnsi="Arial" w:cs="Arial"/>
          <w:color w:val="000000" w:themeColor="text1"/>
          <w:szCs w:val="21"/>
          <w14:textFill>
            <w14:solidFill>
              <w14:schemeClr w14:val="tx1"/>
            </w14:solidFill>
          </w14:textFill>
        </w:rPr>
        <w:t>_____</w:t>
      </w:r>
      <w:r>
        <w:rPr>
          <w:rFonts w:hint="eastAsia" w:ascii="Arial" w:hAnsi="Arial" w:cs="Arial"/>
          <w:color w:val="000000" w:themeColor="text1"/>
          <w:szCs w:val="21"/>
          <w14:textFill>
            <w14:solidFill>
              <w14:schemeClr w14:val="tx1"/>
            </w14:solidFill>
          </w14:textFill>
        </w:rPr>
        <w:t>年</w:t>
      </w:r>
      <w:r>
        <w:rPr>
          <w:rFonts w:ascii="Arial" w:hAnsi="Arial" w:cs="Arial"/>
          <w:color w:val="000000" w:themeColor="text1"/>
          <w:szCs w:val="21"/>
          <w14:textFill>
            <w14:solidFill>
              <w14:schemeClr w14:val="tx1"/>
            </w14:solidFill>
          </w14:textFill>
        </w:rPr>
        <w:t>______</w:t>
      </w:r>
      <w:r>
        <w:rPr>
          <w:rFonts w:hint="eastAsia" w:ascii="Arial" w:hAnsi="Arial" w:cs="Arial"/>
          <w:color w:val="000000" w:themeColor="text1"/>
          <w:szCs w:val="21"/>
          <w14:textFill>
            <w14:solidFill>
              <w14:schemeClr w14:val="tx1"/>
            </w14:solidFill>
          </w14:textFill>
        </w:rPr>
        <w:t>月</w:t>
      </w:r>
      <w:r>
        <w:rPr>
          <w:rFonts w:ascii="Arial" w:hAnsi="Arial" w:cs="Arial"/>
          <w:color w:val="000000" w:themeColor="text1"/>
          <w:szCs w:val="21"/>
          <w14:textFill>
            <w14:solidFill>
              <w14:schemeClr w14:val="tx1"/>
            </w14:solidFill>
          </w14:textFill>
        </w:rPr>
        <w:t>______</w:t>
      </w:r>
      <w:r>
        <w:rPr>
          <w:rFonts w:hint="eastAsia" w:ascii="Arial" w:hAnsi="Arial" w:cs="Arial"/>
          <w:color w:val="000000" w:themeColor="text1"/>
          <w:szCs w:val="21"/>
          <w14:textFill>
            <w14:solidFill>
              <w14:schemeClr w14:val="tx1"/>
            </w14:solidFill>
          </w14:textFill>
        </w:rPr>
        <w:t>日</w:t>
      </w:r>
    </w:p>
    <w:p>
      <w:pPr>
        <w:widowControl/>
        <w:jc w:val="left"/>
        <w:rPr>
          <w:color w:val="000000" w:themeColor="text1"/>
          <w:sz w:val="24"/>
          <w:szCs w:val="20"/>
          <w14:textFill>
            <w14:solidFill>
              <w14:schemeClr w14:val="tx1"/>
            </w14:solidFill>
          </w14:textFill>
        </w:rPr>
      </w:pPr>
      <w:r>
        <w:rPr>
          <w:color w:val="000000" w:themeColor="text1"/>
          <w:sz w:val="24"/>
          <w14:textFill>
            <w14:solidFill>
              <w14:schemeClr w14:val="tx1"/>
            </w14:solidFill>
          </w14:textFill>
        </w:rPr>
        <w:br w:type="page"/>
      </w:r>
    </w:p>
    <w:p>
      <w:pPr>
        <w:pStyle w:val="20"/>
        <w:tabs>
          <w:tab w:val="left" w:pos="5580"/>
        </w:tabs>
        <w:spacing w:before="120" w:line="360" w:lineRule="auto"/>
        <w:rPr>
          <w:rFonts w:ascii="Times New Roman" w:hAnsi="Times New Roman"/>
          <w:color w:val="000000" w:themeColor="text1"/>
          <w:sz w:val="24"/>
          <w14:textFill>
            <w14:solidFill>
              <w14:schemeClr w14:val="tx1"/>
            </w14:solidFill>
          </w14:textFill>
        </w:rPr>
      </w:pP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458" w:name="_Toc139531409"/>
      <w:bookmarkStart w:id="459" w:name="_Toc133737849"/>
      <w:bookmarkStart w:id="460" w:name="_Toc277942525"/>
      <w:bookmarkStart w:id="461" w:name="_Toc277153150"/>
      <w:bookmarkStart w:id="462" w:name="_Toc133737938"/>
      <w:bookmarkStart w:id="463" w:name="_Toc67860256"/>
      <w:bookmarkStart w:id="464" w:name="_Toc529733209"/>
      <w:bookmarkStart w:id="465" w:name="_Toc438203876"/>
      <w:bookmarkStart w:id="466" w:name="_Toc133916719"/>
      <w:r>
        <w:rPr>
          <w:rFonts w:hint="eastAsia" w:ascii="Times New Roman" w:hAnsi="Times New Roman" w:eastAsia="宋体"/>
          <w:color w:val="000000" w:themeColor="text1"/>
          <w:sz w:val="28"/>
          <w14:textFill>
            <w14:solidFill>
              <w14:schemeClr w14:val="tx1"/>
            </w14:solidFill>
          </w14:textFill>
        </w:rPr>
        <w:t>附件</w:t>
      </w:r>
      <w:r>
        <w:rPr>
          <w:rFonts w:ascii="Times New Roman" w:hAnsi="Times New Roman" w:eastAsia="宋体"/>
          <w:color w:val="000000" w:themeColor="text1"/>
          <w:sz w:val="28"/>
          <w14:textFill>
            <w14:solidFill>
              <w14:schemeClr w14:val="tx1"/>
            </w14:solidFill>
          </w14:textFill>
        </w:rPr>
        <w:t>5</w:t>
      </w:r>
      <w:r>
        <w:rPr>
          <w:rFonts w:hint="eastAsia" w:ascii="Times New Roman" w:hAnsi="Times New Roman" w:eastAsia="宋体"/>
          <w:color w:val="000000" w:themeColor="text1"/>
          <w:sz w:val="28"/>
          <w14:textFill>
            <w14:solidFill>
              <w14:schemeClr w14:val="tx1"/>
            </w14:solidFill>
          </w14:textFill>
        </w:rPr>
        <w:t xml:space="preserve">  商务条款偏离表</w:t>
      </w:r>
      <w:bookmarkEnd w:id="458"/>
      <w:bookmarkEnd w:id="459"/>
      <w:bookmarkEnd w:id="460"/>
      <w:bookmarkEnd w:id="461"/>
      <w:bookmarkEnd w:id="462"/>
      <w:bookmarkEnd w:id="463"/>
      <w:bookmarkEnd w:id="464"/>
      <w:bookmarkEnd w:id="465"/>
      <w:bookmarkEnd w:id="466"/>
    </w:p>
    <w:p>
      <w:pPr>
        <w:pStyle w:val="20"/>
        <w:spacing w:line="360" w:lineRule="auto"/>
        <w:rPr>
          <w:rFonts w:ascii="Times New Roman" w:hAnsi="Times New Roman"/>
          <w:color w:val="000000" w:themeColor="text1"/>
          <w:szCs w:val="21"/>
          <w14:textFill>
            <w14:solidFill>
              <w14:schemeClr w14:val="tx1"/>
            </w14:solidFill>
          </w14:textFill>
        </w:rPr>
      </w:pPr>
    </w:p>
    <w:p>
      <w:pPr>
        <w:pStyle w:val="20"/>
        <w:spacing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项目名称：___________ 采购编号：______________</w:t>
      </w:r>
      <w:r>
        <w:rPr>
          <w:rFonts w:hint="eastAsia"/>
          <w:color w:val="000000" w:themeColor="text1"/>
          <w:szCs w:val="21"/>
          <w14:textFill>
            <w14:solidFill>
              <w14:schemeClr w14:val="tx1"/>
            </w14:solidFill>
          </w14:textFill>
        </w:rPr>
        <w:t>包号：______________</w:t>
      </w:r>
    </w:p>
    <w:p>
      <w:pPr>
        <w:pStyle w:val="20"/>
        <w:spacing w:line="360" w:lineRule="auto"/>
        <w:rPr>
          <w:rFonts w:ascii="Times New Roman" w:hAnsi="Times New Roman"/>
          <w:color w:val="000000" w:themeColor="text1"/>
          <w:szCs w:val="21"/>
          <w14:textFill>
            <w14:solidFill>
              <w14:schemeClr w14:val="tx1"/>
            </w14:solidFill>
          </w14:textFill>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82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before="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序号</w:t>
            </w:r>
          </w:p>
        </w:tc>
        <w:tc>
          <w:tcPr>
            <w:tcW w:w="2040" w:type="dxa"/>
          </w:tcPr>
          <w:p>
            <w:pPr>
              <w:pStyle w:val="20"/>
              <w:spacing w:before="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磋商文件条款号</w:t>
            </w:r>
          </w:p>
        </w:tc>
        <w:tc>
          <w:tcPr>
            <w:tcW w:w="2520" w:type="dxa"/>
          </w:tcPr>
          <w:p>
            <w:pPr>
              <w:pStyle w:val="20"/>
              <w:spacing w:before="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磋商文件的商务条款</w:t>
            </w:r>
          </w:p>
        </w:tc>
        <w:tc>
          <w:tcPr>
            <w:tcW w:w="2822" w:type="dxa"/>
          </w:tcPr>
          <w:p>
            <w:pPr>
              <w:pStyle w:val="20"/>
              <w:spacing w:before="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磋商响应文件的商务条款</w:t>
            </w:r>
          </w:p>
        </w:tc>
        <w:tc>
          <w:tcPr>
            <w:tcW w:w="850" w:type="dxa"/>
          </w:tcPr>
          <w:p>
            <w:pPr>
              <w:pStyle w:val="20"/>
              <w:spacing w:before="156" w:line="36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jc w:val="center"/>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jc w:val="center"/>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48"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04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520"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2822" w:type="dxa"/>
          </w:tcPr>
          <w:p>
            <w:pPr>
              <w:pStyle w:val="20"/>
              <w:spacing w:line="360" w:lineRule="auto"/>
              <w:rPr>
                <w:rFonts w:ascii="Times New Roman" w:hAnsi="Times New Roman"/>
                <w:color w:val="000000" w:themeColor="text1"/>
                <w:szCs w:val="21"/>
                <w14:textFill>
                  <w14:solidFill>
                    <w14:schemeClr w14:val="tx1"/>
                  </w14:solidFill>
                </w14:textFill>
              </w:rPr>
            </w:pPr>
          </w:p>
        </w:tc>
        <w:tc>
          <w:tcPr>
            <w:tcW w:w="850" w:type="dxa"/>
          </w:tcPr>
          <w:p>
            <w:pPr>
              <w:pStyle w:val="20"/>
              <w:spacing w:line="360" w:lineRule="auto"/>
              <w:rPr>
                <w:rFonts w:ascii="Times New Roman" w:hAnsi="Times New Roman"/>
                <w:color w:val="000000" w:themeColor="text1"/>
                <w:szCs w:val="21"/>
                <w14:textFill>
                  <w14:solidFill>
                    <w14:schemeClr w14:val="tx1"/>
                  </w14:solidFill>
                </w14:textFill>
              </w:rPr>
            </w:pPr>
          </w:p>
        </w:tc>
      </w:tr>
    </w:tbl>
    <w:p>
      <w:pPr>
        <w:autoSpaceDE w:val="0"/>
        <w:autoSpaceDN w:val="0"/>
        <w:adjustRightInd w:val="0"/>
        <w:snapToGrid w:val="0"/>
        <w:spacing w:before="25" w:after="25" w:line="360" w:lineRule="auto"/>
        <w:rPr>
          <w:color w:val="000000" w:themeColor="text1"/>
          <w:szCs w:val="21"/>
          <w:lang w:val="zh-CN"/>
          <w14:textFill>
            <w14:solidFill>
              <w14:schemeClr w14:val="tx1"/>
            </w14:solidFill>
          </w14:textFill>
        </w:rPr>
      </w:pPr>
    </w:p>
    <w:p>
      <w:pPr>
        <w:pStyle w:val="20"/>
        <w:widowControl/>
        <w:rPr>
          <w:rFonts w:ascii="Arial" w:hAnsi="Arial" w:cs="Arial"/>
          <w:color w:val="000000" w:themeColor="text1"/>
          <w:szCs w:val="21"/>
          <w14:textFill>
            <w14:solidFill>
              <w14:schemeClr w14:val="tx1"/>
            </w14:solidFill>
          </w14:textFill>
        </w:rPr>
      </w:pPr>
    </w:p>
    <w:p>
      <w:pPr>
        <w:autoSpaceDE w:val="0"/>
        <w:autoSpaceDN w:val="0"/>
        <w:adjustRightInd w:val="0"/>
        <w:snapToGrid w:val="0"/>
        <w:spacing w:before="25" w:after="25" w:line="360" w:lineRule="auto"/>
        <w:rPr>
          <w:rFonts w:ascii="Arial" w:hAnsi="Arial" w:cs="Arial"/>
          <w:color w:val="000000" w:themeColor="text1"/>
          <w:szCs w:val="21"/>
          <w:u w:val="single"/>
          <w14:textFill>
            <w14:solidFill>
              <w14:schemeClr w14:val="tx1"/>
            </w14:solidFill>
          </w14:textFill>
        </w:rPr>
      </w:pPr>
      <w:r>
        <w:rPr>
          <w:rFonts w:hint="eastAsia" w:ascii="Arial" w:hAnsi="Arial" w:cs="Arial"/>
          <w:color w:val="000000" w:themeColor="text1"/>
          <w:szCs w:val="21"/>
          <w14:textFill>
            <w14:solidFill>
              <w14:schemeClr w14:val="tx1"/>
            </w14:solidFill>
          </w14:textFill>
        </w:rPr>
        <w:t>供应商名称（公章）：</w:t>
      </w:r>
      <w:r>
        <w:rPr>
          <w:rFonts w:ascii="Arial" w:hAnsi="Arial" w:cs="Arial"/>
          <w:color w:val="000000" w:themeColor="text1"/>
          <w:szCs w:val="21"/>
          <w:u w:val="single"/>
          <w14:textFill>
            <w14:solidFill>
              <w14:schemeClr w14:val="tx1"/>
            </w14:solidFill>
          </w14:textFill>
        </w:rPr>
        <w:tab/>
      </w:r>
      <w:r>
        <w:rPr>
          <w:rFonts w:ascii="Arial" w:hAnsi="Arial" w:cs="Arial"/>
          <w:color w:val="000000" w:themeColor="text1"/>
          <w:szCs w:val="21"/>
          <w:u w:val="single"/>
          <w14:textFill>
            <w14:solidFill>
              <w14:schemeClr w14:val="tx1"/>
            </w14:solidFill>
          </w14:textFill>
        </w:rPr>
        <w:t xml:space="preserve">                 </w:t>
      </w:r>
    </w:p>
    <w:p>
      <w:pPr>
        <w:autoSpaceDE w:val="0"/>
        <w:autoSpaceDN w:val="0"/>
        <w:adjustRightInd w:val="0"/>
        <w:snapToGrid w:val="0"/>
        <w:spacing w:before="25" w:after="25" w:line="360" w:lineRule="auto"/>
        <w:rPr>
          <w:color w:val="000000" w:themeColor="text1"/>
          <w:szCs w:val="21"/>
          <w:lang w:val="zh-CN"/>
          <w14:textFill>
            <w14:solidFill>
              <w14:schemeClr w14:val="tx1"/>
            </w14:solidFill>
          </w14:textFill>
        </w:rPr>
      </w:pPr>
      <w:r>
        <w:rPr>
          <w:rFonts w:hint="eastAsia" w:ascii="Arial" w:hAnsi="Arial" w:cs="Arial"/>
          <w:color w:val="000000" w:themeColor="text1"/>
          <w:szCs w:val="21"/>
          <w14:textFill>
            <w14:solidFill>
              <w14:schemeClr w14:val="tx1"/>
            </w14:solidFill>
          </w14:textFill>
        </w:rPr>
        <w:t>授权代表签字：</w:t>
      </w:r>
      <w:r>
        <w:rPr>
          <w:rFonts w:ascii="Arial" w:hAnsi="Arial" w:cs="Arial"/>
          <w:color w:val="000000" w:themeColor="text1"/>
          <w:szCs w:val="21"/>
          <w14:textFill>
            <w14:solidFill>
              <w14:schemeClr w14:val="tx1"/>
            </w14:solidFill>
          </w14:textFill>
        </w:rPr>
        <w:t>____________________</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日期：</w:t>
      </w:r>
      <w:r>
        <w:rPr>
          <w:color w:val="000000" w:themeColor="text1"/>
          <w:szCs w:val="21"/>
          <w14:textFill>
            <w14:solidFill>
              <w14:schemeClr w14:val="tx1"/>
            </w14:solidFill>
          </w14:textFill>
        </w:rPr>
        <w:t>_____</w:t>
      </w:r>
      <w:r>
        <w:rPr>
          <w:rFonts w:hint="eastAsia"/>
          <w:color w:val="000000" w:themeColor="text1"/>
          <w:szCs w:val="21"/>
          <w14:textFill>
            <w14:solidFill>
              <w14:schemeClr w14:val="tx1"/>
            </w14:solidFill>
          </w14:textFill>
        </w:rPr>
        <w:t>年</w:t>
      </w:r>
      <w:r>
        <w:rPr>
          <w:color w:val="000000" w:themeColor="text1"/>
          <w:szCs w:val="21"/>
          <w14:textFill>
            <w14:solidFill>
              <w14:schemeClr w14:val="tx1"/>
            </w14:solidFill>
          </w14:textFill>
        </w:rPr>
        <w:t>______</w:t>
      </w:r>
      <w:r>
        <w:rPr>
          <w:rFonts w:hint="eastAsia"/>
          <w:color w:val="000000" w:themeColor="text1"/>
          <w:szCs w:val="21"/>
          <w14:textFill>
            <w14:solidFill>
              <w14:schemeClr w14:val="tx1"/>
            </w14:solidFill>
          </w14:textFill>
        </w:rPr>
        <w:t>月</w:t>
      </w:r>
      <w:r>
        <w:rPr>
          <w:color w:val="000000" w:themeColor="text1"/>
          <w:szCs w:val="21"/>
          <w14:textFill>
            <w14:solidFill>
              <w14:schemeClr w14:val="tx1"/>
            </w14:solidFill>
          </w14:textFill>
        </w:rPr>
        <w:t>______</w:t>
      </w:r>
      <w:r>
        <w:rPr>
          <w:rFonts w:hint="eastAsia"/>
          <w:color w:val="000000" w:themeColor="text1"/>
          <w:szCs w:val="21"/>
          <w14:textFill>
            <w14:solidFill>
              <w14:schemeClr w14:val="tx1"/>
            </w14:solidFill>
          </w14:textFill>
        </w:rPr>
        <w:t>日</w:t>
      </w:r>
    </w:p>
    <w:p>
      <w:pPr>
        <w:pStyle w:val="20"/>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ab/>
      </w:r>
      <w:r>
        <w:rPr>
          <w:rFonts w:hint="eastAsia" w:ascii="Times New Roman" w:hAnsi="Times New Roman"/>
          <w:color w:val="000000" w:themeColor="text1"/>
          <w:sz w:val="24"/>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ab/>
      </w:r>
      <w:bookmarkStart w:id="467" w:name="_Toc133916721"/>
      <w:bookmarkStart w:id="468" w:name="_Ref467988543"/>
      <w:bookmarkStart w:id="469" w:name="_Toc480942355"/>
      <w:bookmarkStart w:id="470" w:name="_Toc133748455"/>
      <w:bookmarkStart w:id="471" w:name="_Toc520356224"/>
      <w:bookmarkStart w:id="472" w:name="_Toc133737939"/>
      <w:bookmarkStart w:id="473" w:name="_Toc133737940"/>
      <w:bookmarkStart w:id="474" w:name="_Toc133737850"/>
      <w:bookmarkStart w:id="475" w:name="_Toc133737851"/>
      <w:bookmarkStart w:id="476" w:name="_Toc133916720"/>
    </w:p>
    <w:p>
      <w:pPr>
        <w:pStyle w:val="20"/>
        <w:spacing w:line="360" w:lineRule="auto"/>
        <w:rPr>
          <w:rFonts w:ascii="Times New Roman" w:hAnsi="Times New Roman"/>
          <w:color w:val="000000" w:themeColor="text1"/>
          <w:sz w:val="24"/>
          <w14:textFill>
            <w14:solidFill>
              <w14:schemeClr w14:val="tx1"/>
            </w14:solidFill>
          </w14:textFill>
        </w:rPr>
      </w:pPr>
    </w:p>
    <w:p>
      <w:pPr>
        <w:pStyle w:val="20"/>
        <w:spacing w:line="360" w:lineRule="auto"/>
        <w:rPr>
          <w:rFonts w:ascii="Times New Roman" w:hAnsi="Times New Roman"/>
          <w:color w:val="000000" w:themeColor="text1"/>
          <w:sz w:val="24"/>
          <w14:textFill>
            <w14:solidFill>
              <w14:schemeClr w14:val="tx1"/>
            </w14:solidFill>
          </w14:textFill>
        </w:rPr>
      </w:pPr>
    </w:p>
    <w:p>
      <w:pPr>
        <w:pStyle w:val="20"/>
        <w:spacing w:line="360" w:lineRule="auto"/>
        <w:rPr>
          <w:rFonts w:ascii="Times New Roman" w:hAnsi="Times New Roman"/>
          <w:color w:val="000000" w:themeColor="text1"/>
          <w:sz w:val="24"/>
          <w14:textFill>
            <w14:solidFill>
              <w14:schemeClr w14:val="tx1"/>
            </w14:solidFill>
          </w14:textFill>
        </w:rPr>
      </w:pPr>
    </w:p>
    <w:p>
      <w:pPr>
        <w:pStyle w:val="20"/>
        <w:spacing w:line="360" w:lineRule="auto"/>
        <w:rPr>
          <w:rFonts w:ascii="Times New Roman" w:hAnsi="Times New Roman"/>
          <w:color w:val="000000" w:themeColor="text1"/>
          <w:sz w:val="24"/>
          <w14:textFill>
            <w14:solidFill>
              <w14:schemeClr w14:val="tx1"/>
            </w14:solidFill>
          </w14:textFill>
        </w:rPr>
      </w:pPr>
    </w:p>
    <w:bookmarkEnd w:id="467"/>
    <w:bookmarkEnd w:id="468"/>
    <w:bookmarkEnd w:id="469"/>
    <w:bookmarkEnd w:id="470"/>
    <w:bookmarkEnd w:id="471"/>
    <w:bookmarkEnd w:id="472"/>
    <w:bookmarkEnd w:id="473"/>
    <w:bookmarkEnd w:id="474"/>
    <w:bookmarkEnd w:id="475"/>
    <w:bookmarkEnd w:id="476"/>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477" w:name="_Toc277942526"/>
      <w:bookmarkStart w:id="478" w:name="_Toc277153151"/>
      <w:bookmarkStart w:id="479" w:name="_Toc67860257"/>
      <w:bookmarkStart w:id="480" w:name="_Toc529733210"/>
      <w:bookmarkStart w:id="481" w:name="_Toc438203877"/>
      <w:bookmarkStart w:id="482" w:name="_Toc139531410"/>
      <w:r>
        <w:rPr>
          <w:rFonts w:hint="eastAsia" w:ascii="Times New Roman" w:hAnsi="Times New Roman" w:eastAsia="宋体"/>
          <w:color w:val="000000" w:themeColor="text1"/>
          <w:sz w:val="28"/>
          <w14:textFill>
            <w14:solidFill>
              <w14:schemeClr w14:val="tx1"/>
            </w14:solidFill>
          </w14:textFill>
        </w:rPr>
        <w:t>附件</w:t>
      </w:r>
      <w:r>
        <w:rPr>
          <w:rFonts w:ascii="Times New Roman" w:hAnsi="Times New Roman" w:eastAsia="宋体"/>
          <w:color w:val="000000" w:themeColor="text1"/>
          <w:sz w:val="28"/>
          <w14:textFill>
            <w14:solidFill>
              <w14:schemeClr w14:val="tx1"/>
            </w14:solidFill>
          </w14:textFill>
        </w:rPr>
        <w:t>6</w:t>
      </w:r>
      <w:r>
        <w:rPr>
          <w:rFonts w:hint="eastAsia" w:ascii="Times New Roman" w:hAnsi="Times New Roman" w:eastAsia="宋体"/>
          <w:color w:val="000000" w:themeColor="text1"/>
          <w:sz w:val="28"/>
          <w14:textFill>
            <w14:solidFill>
              <w14:schemeClr w14:val="tx1"/>
            </w14:solidFill>
          </w14:textFill>
        </w:rPr>
        <w:t xml:space="preserve">  资格证明文件（格式）</w:t>
      </w:r>
      <w:bookmarkEnd w:id="477"/>
      <w:bookmarkEnd w:id="478"/>
      <w:bookmarkEnd w:id="479"/>
      <w:bookmarkEnd w:id="480"/>
      <w:bookmarkEnd w:id="481"/>
      <w:bookmarkEnd w:id="482"/>
    </w:p>
    <w:p>
      <w:pPr>
        <w:rPr>
          <w:rStyle w:val="65"/>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附件</w:t>
      </w:r>
      <w:r>
        <w:rPr>
          <w:rFonts w:ascii="Times New Roman" w:hAnsi="Times New Roman"/>
          <w:b/>
          <w:color w:val="000000" w:themeColor="text1"/>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-1    法人或其他组织的营业执照等证明文件</w:t>
      </w: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（复印件，加盖本单位公章）</w:t>
      </w: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附件</w:t>
      </w:r>
      <w:r>
        <w:rPr>
          <w:rFonts w:ascii="Times New Roman" w:hAnsi="Times New Roman"/>
          <w:b/>
          <w:color w:val="000000" w:themeColor="text1"/>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-2  纳税证明</w:t>
      </w:r>
    </w:p>
    <w:p>
      <w:pPr>
        <w:pStyle w:val="20"/>
        <w:tabs>
          <w:tab w:val="left" w:pos="5580"/>
        </w:tabs>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【提供开标日前六个月内任意一个月的纳税证明（银行缴费凭证或税务机关开具的证明）复印件，依法免税的供应商，应提供相应文件（复印件）证明其依法免税，</w:t>
      </w:r>
      <w:r>
        <w:rPr>
          <w:rFonts w:hint="eastAsia" w:ascii="Times New Roman" w:hAnsi="Times New Roman"/>
          <w:color w:val="000000" w:themeColor="text1"/>
          <w14:textFill>
            <w14:solidFill>
              <w14:schemeClr w14:val="tx1"/>
            </w14:solidFill>
          </w14:textFill>
        </w:rPr>
        <w:t>上述材料</w:t>
      </w:r>
      <w:r>
        <w:rPr>
          <w:rFonts w:hint="eastAsia" w:ascii="Times New Roman" w:hAnsi="Times New Roman"/>
          <w:bCs/>
          <w:color w:val="000000" w:themeColor="text1"/>
          <w14:textFill>
            <w14:solidFill>
              <w14:schemeClr w14:val="tx1"/>
            </w14:solidFill>
          </w14:textFill>
        </w:rPr>
        <w:t>加盖本单位公章】</w:t>
      </w:r>
      <w:r>
        <w:rPr>
          <w:rFonts w:hint="eastAsia" w:ascii="Times New Roman" w:hAnsi="Times New Roman"/>
          <w:color w:val="000000" w:themeColor="text1"/>
          <w14:textFill>
            <w14:solidFill>
              <w14:schemeClr w14:val="tx1"/>
            </w14:solidFill>
          </w14:textFill>
        </w:rPr>
        <w:cr/>
      </w: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b/>
          <w:color w:val="000000" w:themeColor="text1"/>
          <w:u w:val="single"/>
          <w14:textFill>
            <w14:solidFill>
              <w14:schemeClr w14:val="tx1"/>
            </w14:solidFill>
          </w14:textFill>
        </w:rPr>
      </w:pPr>
      <w:r>
        <w:rPr>
          <w:rFonts w:ascii="Times New Roman" w:hAnsi="Times New Roman"/>
          <w:b/>
          <w:color w:val="000000" w:themeColor="text1"/>
          <w14:textFill>
            <w14:solidFill>
              <w14:schemeClr w14:val="tx1"/>
            </w14:solidFill>
          </w14:textFill>
        </w:rPr>
        <w:br w:type="page"/>
      </w:r>
      <w:bookmarkStart w:id="483" w:name="_Toc520356229"/>
      <w:bookmarkStart w:id="484" w:name="_Ref467990064"/>
      <w:bookmarkStart w:id="485" w:name="_Ref467990101"/>
      <w:bookmarkStart w:id="486" w:name="_Toc520356228"/>
      <w:bookmarkStart w:id="487" w:name="_Ref467990058"/>
      <w:bookmarkStart w:id="488" w:name="_Toc480942357"/>
      <w:bookmarkStart w:id="489" w:name="_Toc480942358"/>
      <w:bookmarkStart w:id="490" w:name="_Toc520125062"/>
      <w:bookmarkStart w:id="491" w:name="_Ref467990100"/>
      <w:bookmarkStart w:id="492" w:name="_Ref467988471"/>
      <w:bookmarkStart w:id="493" w:name="_Ref467988479"/>
      <w:bookmarkStart w:id="494" w:name="_Ref467988485"/>
      <w:bookmarkStart w:id="495" w:name="_Toc520125061"/>
      <w:r>
        <w:rPr>
          <w:rFonts w:hint="eastAsia"/>
          <w:b/>
          <w:color w:val="000000" w:themeColor="text1"/>
          <w14:textFill>
            <w14:solidFill>
              <w14:schemeClr w14:val="tx1"/>
            </w14:solidFill>
          </w14:textFill>
        </w:rPr>
        <w:t>附件</w:t>
      </w: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-3    法定代表人授权书</w:t>
      </w:r>
    </w:p>
    <w:p>
      <w:pPr>
        <w:pStyle w:val="20"/>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u w:val="single"/>
          <w14:textFill>
            <w14:solidFill>
              <w14:schemeClr w14:val="tx1"/>
            </w14:solidFill>
          </w14:textFill>
        </w:rPr>
        <w:cr/>
      </w:r>
      <w:r>
        <w:rPr>
          <w:rFonts w:hint="eastAsia" w:ascii="Times New Roman" w:hAnsi="Times New Roman"/>
          <w:color w:val="000000" w:themeColor="text1"/>
          <w14:textFill>
            <w14:solidFill>
              <w14:schemeClr w14:val="tx1"/>
            </w14:solidFill>
          </w14:textFill>
        </w:rPr>
        <w:t xml:space="preserve">    本授权书声明：注册于</w:t>
      </w:r>
      <w:r>
        <w:rPr>
          <w:rFonts w:hint="eastAsia" w:ascii="Times New Roman" w:hAnsi="Times New Roman"/>
          <w:color w:val="000000" w:themeColor="text1"/>
          <w:u w:val="single"/>
          <w14:textFill>
            <w14:solidFill>
              <w14:schemeClr w14:val="tx1"/>
            </w14:solidFill>
          </w14:textFill>
        </w:rPr>
        <w:t>（国家或地区的名称）</w:t>
      </w:r>
      <w:r>
        <w:rPr>
          <w:rFonts w:hint="eastAsia" w:ascii="Times New Roman" w:hAnsi="Times New Roman"/>
          <w:color w:val="000000" w:themeColor="text1"/>
          <w14:textFill>
            <w14:solidFill>
              <w14:schemeClr w14:val="tx1"/>
            </w14:solidFill>
          </w14:textFill>
        </w:rPr>
        <w:t>的（</w:t>
      </w:r>
      <w:r>
        <w:rPr>
          <w:rFonts w:hint="eastAsia" w:ascii="Times New Roman" w:hAnsi="Times New Roman"/>
          <w:color w:val="000000" w:themeColor="text1"/>
          <w:u w:val="single"/>
          <w14:textFill>
            <w14:solidFill>
              <w14:schemeClr w14:val="tx1"/>
            </w14:solidFill>
          </w14:textFill>
        </w:rPr>
        <w:t>公司名称</w:t>
      </w:r>
      <w:r>
        <w:rPr>
          <w:rFonts w:hint="eastAsia" w:ascii="Times New Roman" w:hAnsi="Times New Roman"/>
          <w:color w:val="000000" w:themeColor="text1"/>
          <w14:textFill>
            <w14:solidFill>
              <w14:schemeClr w14:val="tx1"/>
            </w14:solidFill>
          </w14:textFill>
        </w:rPr>
        <w:t>）的在下面签字或盖章的（</w:t>
      </w:r>
      <w:r>
        <w:rPr>
          <w:rFonts w:hint="eastAsia" w:ascii="Times New Roman" w:hAnsi="Times New Roman"/>
          <w:color w:val="000000" w:themeColor="text1"/>
          <w:u w:val="single"/>
          <w14:textFill>
            <w14:solidFill>
              <w14:schemeClr w14:val="tx1"/>
            </w14:solidFill>
          </w14:textFill>
        </w:rPr>
        <w:t>法人代表姓名、职务</w:t>
      </w:r>
      <w:r>
        <w:rPr>
          <w:rFonts w:hint="eastAsia" w:ascii="Times New Roman" w:hAnsi="Times New Roman"/>
          <w:color w:val="000000" w:themeColor="text1"/>
          <w14:textFill>
            <w14:solidFill>
              <w14:schemeClr w14:val="tx1"/>
            </w14:solidFill>
          </w14:textFill>
        </w:rPr>
        <w:t>）代表本公司授权（</w:t>
      </w:r>
      <w:r>
        <w:rPr>
          <w:rFonts w:hint="eastAsia" w:ascii="Times New Roman" w:hAnsi="Times New Roman"/>
          <w:color w:val="000000" w:themeColor="text1"/>
          <w:u w:val="single"/>
          <w14:textFill>
            <w14:solidFill>
              <w14:schemeClr w14:val="tx1"/>
            </w14:solidFill>
          </w14:textFill>
        </w:rPr>
        <w:t>单位名称</w:t>
      </w:r>
      <w:r>
        <w:rPr>
          <w:rFonts w:hint="eastAsia" w:ascii="Times New Roman" w:hAnsi="Times New Roman"/>
          <w:color w:val="000000" w:themeColor="text1"/>
          <w14:textFill>
            <w14:solidFill>
              <w14:schemeClr w14:val="tx1"/>
            </w14:solidFill>
          </w14:textFill>
        </w:rPr>
        <w:t>）的在下面签字的（</w:t>
      </w:r>
      <w:r>
        <w:rPr>
          <w:rFonts w:hint="eastAsia" w:ascii="Times New Roman" w:hAnsi="Times New Roman"/>
          <w:color w:val="000000" w:themeColor="text1"/>
          <w:u w:val="single"/>
          <w14:textFill>
            <w14:solidFill>
              <w14:schemeClr w14:val="tx1"/>
            </w14:solidFill>
          </w14:textFill>
        </w:rPr>
        <w:t>被授权人的姓名、职务</w:t>
      </w:r>
      <w:r>
        <w:rPr>
          <w:rFonts w:hint="eastAsia" w:ascii="Times New Roman" w:hAnsi="Times New Roman"/>
          <w:color w:val="000000" w:themeColor="text1"/>
          <w14:textFill>
            <w14:solidFill>
              <w14:schemeClr w14:val="tx1"/>
            </w14:solidFill>
          </w14:textFill>
        </w:rPr>
        <w:t>）为本公司的合法代理人，</w:t>
      </w:r>
      <w:r>
        <w:rPr>
          <w:rFonts w:hint="eastAsia" w:ascii="Times New Roman" w:hAnsi="Times New Roman"/>
          <w:color w:val="000000" w:themeColor="text1"/>
          <w:szCs w:val="18"/>
          <w14:textFill>
            <w14:solidFill>
              <w14:schemeClr w14:val="tx1"/>
            </w14:solidFill>
          </w14:textFill>
        </w:rPr>
        <w:t>就</w:t>
      </w:r>
      <w:r>
        <w:rPr>
          <w:rFonts w:hint="eastAsia" w:ascii="Times New Roman" w:hAnsi="Times New Roman"/>
          <w:color w:val="000000" w:themeColor="text1"/>
          <w:szCs w:val="18"/>
          <w:u w:val="single"/>
          <w14:textFill>
            <w14:solidFill>
              <w14:schemeClr w14:val="tx1"/>
            </w14:solidFill>
          </w14:textFill>
        </w:rPr>
        <w:t>（项目名称）</w:t>
      </w:r>
      <w:r>
        <w:rPr>
          <w:rFonts w:hint="eastAsia" w:ascii="Times New Roman" w:hAnsi="Times New Roman"/>
          <w:color w:val="000000" w:themeColor="text1"/>
          <w:szCs w:val="18"/>
          <w14:textFill>
            <w14:solidFill>
              <w14:schemeClr w14:val="tx1"/>
            </w14:solidFill>
          </w14:textFill>
        </w:rPr>
        <w:t>采购，</w:t>
      </w:r>
      <w:r>
        <w:rPr>
          <w:rFonts w:hint="eastAsia" w:ascii="Times New Roman" w:hAnsi="Times New Roman"/>
          <w:color w:val="000000" w:themeColor="text1"/>
          <w14:textFill>
            <w14:solidFill>
              <w14:schemeClr w14:val="tx1"/>
            </w14:solidFill>
          </w14:textFill>
        </w:rPr>
        <w:t>以本公司名义处理一切与之有关的事务。</w:t>
      </w:r>
      <w:r>
        <w:rPr>
          <w:rFonts w:hint="eastAsia" w:ascii="Times New Roman" w:hAnsi="Times New Roman"/>
          <w:color w:val="000000" w:themeColor="text1"/>
          <w14:textFill>
            <w14:solidFill>
              <w14:schemeClr w14:val="tx1"/>
            </w14:solidFill>
          </w14:textFill>
        </w:rPr>
        <w:cr/>
      </w:r>
      <w:r>
        <w:rPr>
          <w:rFonts w:hint="eastAsia" w:ascii="Times New Roman" w:hAnsi="Times New Roman"/>
          <w:color w:val="000000" w:themeColor="text1"/>
          <w14:textFill>
            <w14:solidFill>
              <w14:schemeClr w14:val="tx1"/>
            </w14:solidFill>
          </w14:textFill>
        </w:rPr>
        <w:t>　　本授权书于__________年_____月______日签字生效，特此声明。</w:t>
      </w:r>
      <w:r>
        <w:rPr>
          <w:rFonts w:hint="eastAsia" w:ascii="Times New Roman" w:hAnsi="Times New Roman"/>
          <w:color w:val="000000" w:themeColor="text1"/>
          <w14:textFill>
            <w14:solidFill>
              <w14:schemeClr w14:val="tx1"/>
            </w14:solidFill>
          </w14:textFill>
        </w:rPr>
        <w:cr/>
      </w:r>
      <w:r>
        <w:rPr>
          <w:rFonts w:hint="eastAsia" w:ascii="Times New Roman" w:hAnsi="Times New Roman"/>
          <w:color w:val="000000" w:themeColor="text1"/>
          <w14:textFill>
            <w14:solidFill>
              <w14:schemeClr w14:val="tx1"/>
            </w14:solidFill>
          </w14:textFill>
        </w:rPr>
        <w:cr/>
      </w:r>
      <w:r>
        <w:rPr>
          <w:rFonts w:hint="eastAsia" w:ascii="Times New Roman" w:hAnsi="Times New Roman"/>
          <w:color w:val="000000" w:themeColor="text1"/>
          <w14:textFill>
            <w14:solidFill>
              <w14:schemeClr w14:val="tx1"/>
            </w14:solidFill>
          </w14:textFill>
        </w:rPr>
        <w:t>法定代表人签字或盖章_____________________________</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被授权人签字_______________________________</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公司盖章：                                 </w:t>
      </w:r>
    </w:p>
    <w:p>
      <w:pPr>
        <w:pStyle w:val="20"/>
        <w:tabs>
          <w:tab w:val="left" w:pos="5580"/>
        </w:tabs>
        <w:spacing w:line="360" w:lineRule="auto"/>
        <w:rPr>
          <w:rFonts w:ascii="Times New Roman" w:hAnsi="Times New Roman"/>
          <w:color w:val="000000" w:themeColor="text1"/>
          <w14:textFill>
            <w14:solidFill>
              <w14:schemeClr w14:val="tx1"/>
            </w14:solidFill>
          </w14:textFill>
        </w:rPr>
      </w:pP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附：</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被授权人姓名：</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身份证号（身份证复印件须附后）：</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职　　　　务：</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详细通讯地址：</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邮 政 编  码：</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传　　　　真：</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电　　　　话：</w:t>
      </w:r>
    </w:p>
    <w:p>
      <w:pPr>
        <w:pStyle w:val="20"/>
        <w:tabs>
          <w:tab w:val="left" w:pos="5580"/>
        </w:tabs>
        <w:spacing w:line="360" w:lineRule="auto"/>
        <w:rPr>
          <w:rFonts w:ascii="Times New Roman" w:hAnsi="Times New Roman"/>
          <w:color w:val="000000" w:themeColor="text1"/>
          <w14:textFill>
            <w14:solidFill>
              <w14:schemeClr w14:val="tx1"/>
            </w14:solidFill>
          </w14:textFill>
        </w:rPr>
      </w:pPr>
    </w:p>
    <w:p>
      <w:pPr>
        <w:pStyle w:val="20"/>
        <w:tabs>
          <w:tab w:val="left" w:pos="5580"/>
        </w:tabs>
        <w:spacing w:line="360" w:lineRule="auto"/>
        <w:rPr>
          <w:rFonts w:ascii="Times New Roman" w:hAnsi="Times New Roman"/>
          <w:b/>
          <w:color w:val="000000" w:themeColor="text1"/>
          <w14:textFill>
            <w14:solidFill>
              <w14:schemeClr w14:val="tx1"/>
            </w14:solidFill>
          </w14:textFill>
        </w:rPr>
      </w:pPr>
    </w:p>
    <w:p>
      <w:pPr>
        <w:pStyle w:val="20"/>
        <w:tabs>
          <w:tab w:val="left" w:pos="5580"/>
        </w:tabs>
        <w:spacing w:line="360" w:lineRule="auto"/>
        <w:jc w:val="center"/>
        <w:rPr>
          <w:b/>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r>
        <w:rPr>
          <w:rFonts w:hint="eastAsia"/>
          <w:b/>
          <w:color w:val="000000" w:themeColor="text1"/>
          <w14:textFill>
            <w14:solidFill>
              <w14:schemeClr w14:val="tx1"/>
            </w14:solidFill>
          </w14:textFill>
        </w:rPr>
        <w:t>附件</w:t>
      </w: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-4   　</w:t>
      </w:r>
      <w:r>
        <w:rPr>
          <w:b/>
          <w:color w:val="000000" w:themeColor="text1"/>
          <w14:textFill>
            <w14:solidFill>
              <w14:schemeClr w14:val="tx1"/>
            </w14:solidFill>
          </w14:textFill>
        </w:rPr>
        <w:t>供应商的</w:t>
      </w:r>
      <w:r>
        <w:rPr>
          <w:rFonts w:hint="eastAsia"/>
          <w:b/>
          <w:color w:val="000000" w:themeColor="text1"/>
          <w14:textFill>
            <w14:solidFill>
              <w14:schemeClr w14:val="tx1"/>
            </w14:solidFill>
          </w14:textFill>
        </w:rPr>
        <w:t>资格声明</w:t>
      </w:r>
    </w:p>
    <w:p>
      <w:pPr>
        <w:tabs>
          <w:tab w:val="left" w:pos="5580"/>
        </w:tabs>
        <w:spacing w:before="120" w:line="22" w:lineRule="atLeas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、名称及概况：</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供应商名称：</w:t>
      </w:r>
      <w:r>
        <w:rPr>
          <w:rFonts w:ascii="宋体" w:hAnsi="宋体"/>
          <w:color w:val="000000" w:themeColor="text1"/>
          <w:szCs w:val="21"/>
          <w14:textFill>
            <w14:solidFill>
              <w14:schemeClr w14:val="tx1"/>
            </w14:solidFill>
          </w14:textFill>
        </w:rPr>
        <w:t>_______________________________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地址及邮编：</w:t>
      </w:r>
      <w:r>
        <w:rPr>
          <w:rFonts w:ascii="宋体" w:hAnsi="宋体"/>
          <w:color w:val="000000" w:themeColor="text1"/>
          <w:szCs w:val="21"/>
          <w14:textFill>
            <w14:solidFill>
              <w14:schemeClr w14:val="tx1"/>
            </w14:solidFill>
          </w14:textFill>
        </w:rPr>
        <w:t>_______________________________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成立和注册日期：</w:t>
      </w:r>
      <w:r>
        <w:rPr>
          <w:rFonts w:ascii="宋体" w:hAnsi="宋体"/>
          <w:color w:val="000000" w:themeColor="text1"/>
          <w:szCs w:val="21"/>
          <w14:textFill>
            <w14:solidFill>
              <w14:schemeClr w14:val="tx1"/>
            </w14:solidFill>
          </w14:textFill>
        </w:rPr>
        <w:t>___________________________</w:t>
      </w:r>
    </w:p>
    <w:p>
      <w:pPr>
        <w:tabs>
          <w:tab w:val="left" w:pos="5580"/>
        </w:tabs>
        <w:spacing w:before="120" w:line="22"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主管部门：</w:t>
      </w:r>
      <w:r>
        <w:rPr>
          <w:rFonts w:ascii="宋体" w:hAnsi="宋体"/>
          <w:color w:val="000000" w:themeColor="text1"/>
          <w:szCs w:val="21"/>
          <w14:textFill>
            <w14:solidFill>
              <w14:schemeClr w14:val="tx1"/>
            </w14:solidFill>
          </w14:textFill>
        </w:rPr>
        <w:t>_________________________________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公司性质：</w:t>
      </w:r>
      <w:r>
        <w:rPr>
          <w:rFonts w:ascii="宋体" w:hAnsi="宋体"/>
          <w:color w:val="000000" w:themeColor="text1"/>
          <w:szCs w:val="21"/>
          <w14:textFill>
            <w14:solidFill>
              <w14:schemeClr w14:val="tx1"/>
            </w14:solidFill>
          </w14:textFill>
        </w:rPr>
        <w:t>_________________________________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法人代表：</w:t>
      </w:r>
      <w:r>
        <w:rPr>
          <w:rFonts w:ascii="宋体" w:hAnsi="宋体"/>
          <w:color w:val="000000" w:themeColor="text1"/>
          <w:szCs w:val="21"/>
          <w14:textFill>
            <w14:solidFill>
              <w14:schemeClr w14:val="tx1"/>
            </w14:solidFill>
          </w14:textFill>
        </w:rPr>
        <w:t>_________________________________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职员人数：</w:t>
      </w:r>
      <w:r>
        <w:rPr>
          <w:rFonts w:ascii="宋体" w:hAnsi="宋体"/>
          <w:color w:val="000000" w:themeColor="text1"/>
          <w:szCs w:val="21"/>
          <w14:textFill>
            <w14:solidFill>
              <w14:schemeClr w14:val="tx1"/>
            </w14:solidFill>
          </w14:textFill>
        </w:rPr>
        <w:t>_________________________________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近期资产负债表</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到</w:t>
      </w:r>
      <w:r>
        <w:rPr>
          <w:rFonts w:ascii="宋体" w:hAnsi="宋体"/>
          <w:color w:val="000000" w:themeColor="text1"/>
          <w:szCs w:val="21"/>
          <w14:textFill>
            <w14:solidFill>
              <w14:schemeClr w14:val="tx1"/>
            </w14:solidFill>
          </w14:textFill>
        </w:rPr>
        <w:t>____</w:t>
      </w:r>
      <w:r>
        <w:rPr>
          <w:rFonts w:hint="eastAsia" w:ascii="宋体" w:hAnsi="宋体"/>
          <w:color w:val="000000" w:themeColor="text1"/>
          <w:szCs w:val="21"/>
          <w14:textFill>
            <w14:solidFill>
              <w14:schemeClr w14:val="tx1"/>
            </w14:solidFill>
          </w14:textFill>
        </w:rPr>
        <w:t>年</w:t>
      </w:r>
      <w:r>
        <w:rPr>
          <w:rFonts w:ascii="宋体" w:hAnsi="宋体"/>
          <w:color w:val="000000" w:themeColor="text1"/>
          <w:szCs w:val="21"/>
          <w14:textFill>
            <w14:solidFill>
              <w14:schemeClr w14:val="tx1"/>
            </w14:solidFill>
          </w14:textFill>
        </w:rPr>
        <w:t>______</w:t>
      </w:r>
      <w:r>
        <w:rPr>
          <w:rFonts w:hint="eastAsia" w:ascii="宋体" w:hAnsi="宋体"/>
          <w:color w:val="000000" w:themeColor="text1"/>
          <w:szCs w:val="21"/>
          <w14:textFill>
            <w14:solidFill>
              <w14:schemeClr w14:val="tx1"/>
            </w14:solidFill>
          </w14:textFill>
        </w:rPr>
        <w:t>月</w:t>
      </w:r>
      <w:r>
        <w:rPr>
          <w:rFonts w:ascii="宋体" w:hAnsi="宋体"/>
          <w:color w:val="000000" w:themeColor="text1"/>
          <w:szCs w:val="21"/>
          <w14:textFill>
            <w14:solidFill>
              <w14:schemeClr w14:val="tx1"/>
            </w14:solidFill>
          </w14:textFill>
        </w:rPr>
        <w:t>_______</w:t>
      </w:r>
      <w:r>
        <w:rPr>
          <w:rFonts w:hint="eastAsia" w:ascii="宋体" w:hAnsi="宋体"/>
          <w:color w:val="000000" w:themeColor="text1"/>
          <w:szCs w:val="21"/>
          <w14:textFill>
            <w14:solidFill>
              <w14:schemeClr w14:val="tx1"/>
            </w14:solidFill>
          </w14:textFill>
        </w:rPr>
        <w:t>日止</w:t>
      </w:r>
      <w:r>
        <w:rPr>
          <w:rFonts w:ascii="宋体" w:hAnsi="宋体"/>
          <w:color w:val="000000" w:themeColor="text1"/>
          <w:szCs w:val="21"/>
          <w14:textFill>
            <w14:solidFill>
              <w14:schemeClr w14:val="tx1"/>
            </w14:solidFill>
          </w14:textFill>
        </w:rPr>
        <w:t>)</w:t>
      </w:r>
    </w:p>
    <w:p>
      <w:pPr>
        <w:tabs>
          <w:tab w:val="left" w:pos="5580"/>
        </w:tabs>
        <w:spacing w:before="120" w:line="22" w:lineRule="atLeast"/>
        <w:ind w:left="454"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〉固定资产：</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ind w:left="1362"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原值：</w:t>
      </w:r>
      <w:r>
        <w:rPr>
          <w:rFonts w:ascii="宋体" w:hAnsi="宋体"/>
          <w:color w:val="000000" w:themeColor="text1"/>
          <w:szCs w:val="21"/>
          <w14:textFill>
            <w14:solidFill>
              <w14:schemeClr w14:val="tx1"/>
            </w14:solidFill>
          </w14:textFill>
        </w:rPr>
        <w:t>___________________________</w:t>
      </w:r>
    </w:p>
    <w:p>
      <w:pPr>
        <w:tabs>
          <w:tab w:val="left" w:pos="5580"/>
        </w:tabs>
        <w:spacing w:before="120" w:line="22" w:lineRule="atLeast"/>
        <w:ind w:left="1362"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净值：</w:t>
      </w:r>
      <w:r>
        <w:rPr>
          <w:rFonts w:ascii="宋体" w:hAnsi="宋体"/>
          <w:color w:val="000000" w:themeColor="text1"/>
          <w:szCs w:val="21"/>
          <w14:textFill>
            <w14:solidFill>
              <w14:schemeClr w14:val="tx1"/>
            </w14:solidFill>
          </w14:textFill>
        </w:rPr>
        <w:t>___________________________</w:t>
      </w:r>
    </w:p>
    <w:p>
      <w:pPr>
        <w:tabs>
          <w:tab w:val="left" w:pos="5580"/>
        </w:tabs>
        <w:spacing w:before="120" w:line="22" w:lineRule="atLeast"/>
        <w:ind w:left="454"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〉流动资金：</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ind w:left="454"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〉长期负债：</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ind w:left="454"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〉短期负债：</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ind w:left="454"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〉资金来源：</w:t>
      </w:r>
    </w:p>
    <w:p>
      <w:pPr>
        <w:tabs>
          <w:tab w:val="left" w:pos="5580"/>
        </w:tabs>
        <w:spacing w:before="120" w:line="22" w:lineRule="atLeast"/>
        <w:ind w:left="1362"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自有资金：</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ind w:left="1362"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银行贷款：</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ind w:left="454"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〉资金类型：</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ind w:left="1362"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商业性：</w:t>
      </w:r>
      <w:r>
        <w:rPr>
          <w:rFonts w:ascii="宋体" w:hAnsi="宋体"/>
          <w:color w:val="000000" w:themeColor="text1"/>
          <w:szCs w:val="21"/>
          <w14:textFill>
            <w14:solidFill>
              <w14:schemeClr w14:val="tx1"/>
            </w14:solidFill>
          </w14:textFill>
        </w:rPr>
        <w:t>____________________________</w:t>
      </w:r>
    </w:p>
    <w:p>
      <w:pPr>
        <w:tabs>
          <w:tab w:val="left" w:pos="5580"/>
        </w:tabs>
        <w:spacing w:before="120" w:line="22" w:lineRule="atLeast"/>
        <w:ind w:left="1362"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非商业性：</w:t>
      </w:r>
      <w:r>
        <w:rPr>
          <w:rFonts w:ascii="宋体" w:hAnsi="宋体"/>
          <w:color w:val="000000" w:themeColor="text1"/>
          <w:szCs w:val="21"/>
          <w14:textFill>
            <w14:solidFill>
              <w14:schemeClr w14:val="tx1"/>
            </w14:solidFill>
          </w14:textFill>
        </w:rPr>
        <w:t>__________________________</w:t>
      </w:r>
    </w:p>
    <w:p>
      <w:pPr>
        <w:tabs>
          <w:tab w:val="left" w:pos="5580"/>
        </w:tabs>
        <w:spacing w:before="120" w:line="22" w:lineRule="atLeas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、最近三年的年度总营业额：</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年份　　　　　国内　　　</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出口　</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总额</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 xml:space="preserve"> 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 xml:space="preserve"> 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 xml:space="preserve"> 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p>
    <w:p>
      <w:pPr>
        <w:tabs>
          <w:tab w:val="left" w:pos="5580"/>
        </w:tabs>
        <w:spacing w:before="120" w:line="22" w:lineRule="atLeas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、最近三年类似项目业绩：</w:t>
      </w:r>
    </w:p>
    <w:p>
      <w:pPr>
        <w:tabs>
          <w:tab w:val="left" w:pos="5580"/>
        </w:tabs>
        <w:spacing w:before="120" w:line="22" w:lineRule="atLeast"/>
        <w:ind w:firstLine="105" w:firstLineChars="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 xml:space="preserve"> 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p>
    <w:p>
      <w:pPr>
        <w:tabs>
          <w:tab w:val="left" w:pos="5580"/>
        </w:tabs>
        <w:spacing w:before="120" w:line="22" w:lineRule="atLeast"/>
        <w:ind w:firstLine="315" w:firstLine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 xml:space="preserve"> 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r>
        <w:rPr>
          <w:rFonts w:hint="eastAsia" w:ascii="宋体" w:hAnsi="宋体"/>
          <w:color w:val="000000" w:themeColor="text1"/>
          <w:szCs w:val="21"/>
          <w14:textFill>
            <w14:solidFill>
              <w14:schemeClr w14:val="tx1"/>
            </w14:solidFill>
          </w14:textFill>
        </w:rPr>
        <w:t>　　</w:t>
      </w:r>
      <w:r>
        <w:rPr>
          <w:rFonts w:ascii="宋体" w:hAnsi="宋体"/>
          <w:color w:val="000000" w:themeColor="text1"/>
          <w:szCs w:val="21"/>
          <w14:textFill>
            <w14:solidFill>
              <w14:schemeClr w14:val="tx1"/>
            </w14:solidFill>
          </w14:textFill>
        </w:rPr>
        <w:t>___________</w:t>
      </w:r>
    </w:p>
    <w:p>
      <w:pPr>
        <w:tabs>
          <w:tab w:val="left" w:pos="5580"/>
        </w:tabs>
        <w:spacing w:before="120" w:line="22"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4、有关开户银行的名称和地址：</w:t>
      </w:r>
      <w:r>
        <w:rPr>
          <w:rFonts w:ascii="宋体" w:hAnsi="宋体"/>
          <w:color w:val="000000" w:themeColor="text1"/>
          <w:szCs w:val="21"/>
          <w14:textFill>
            <w14:solidFill>
              <w14:schemeClr w14:val="tx1"/>
            </w14:solidFill>
          </w14:textFill>
        </w:rPr>
        <w:t>_____________________________</w:t>
      </w:r>
    </w:p>
    <w:p>
      <w:pPr>
        <w:tabs>
          <w:tab w:val="left" w:pos="5580"/>
        </w:tabs>
        <w:spacing w:before="120" w:line="22"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5、需要声明的其他情况：如公司简介、组织机构、企业管理状况、主要技术人员情况、资质和证书等。</w:t>
      </w: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p>
    <w:p>
      <w:pPr>
        <w:tabs>
          <w:tab w:val="left" w:pos="5580"/>
        </w:tabs>
        <w:spacing w:before="120" w:line="22" w:lineRule="atLeast"/>
        <w:ind w:firstLine="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兹证明上述声明是真实、正确的，并提供了全部能提供的资料和数据，我们同意遵照贵方要求出示有关证明文件。</w:t>
      </w:r>
    </w:p>
    <w:p>
      <w:pPr>
        <w:tabs>
          <w:tab w:val="left" w:pos="5580"/>
        </w:tabs>
        <w:spacing w:before="120" w:line="22" w:lineRule="atLeast"/>
        <w:rPr>
          <w:rFonts w:ascii="宋体" w:hAnsi="宋体"/>
          <w:color w:val="000000" w:themeColor="text1"/>
          <w:szCs w:val="21"/>
          <w14:textFill>
            <w14:solidFill>
              <w14:schemeClr w14:val="tx1"/>
            </w14:solidFill>
          </w14:textFill>
        </w:rPr>
      </w:pPr>
    </w:p>
    <w:p>
      <w:pPr>
        <w:tabs>
          <w:tab w:val="left" w:pos="5580"/>
        </w:tabs>
        <w:spacing w:before="120" w:line="360" w:lineRule="auto"/>
        <w:ind w:left="4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日期：</w:t>
      </w:r>
      <w:r>
        <w:rPr>
          <w:rFonts w:ascii="宋体" w:hAnsi="宋体"/>
          <w:color w:val="000000" w:themeColor="text1"/>
          <w:szCs w:val="21"/>
          <w14:textFill>
            <w14:solidFill>
              <w14:schemeClr w14:val="tx1"/>
            </w14:solidFill>
          </w14:textFill>
        </w:rPr>
        <w:t>__________________________________________</w:t>
      </w:r>
    </w:p>
    <w:p>
      <w:pPr>
        <w:tabs>
          <w:tab w:val="left" w:pos="5580"/>
        </w:tabs>
        <w:spacing w:before="120"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授权代表</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签字</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___________________________</w:t>
      </w:r>
    </w:p>
    <w:p>
      <w:pPr>
        <w:tabs>
          <w:tab w:val="left" w:pos="5580"/>
        </w:tabs>
        <w:spacing w:before="120"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授权代表的职务：</w:t>
      </w:r>
      <w:r>
        <w:rPr>
          <w:rFonts w:ascii="宋体" w:hAnsi="宋体"/>
          <w:color w:val="000000" w:themeColor="text1"/>
          <w:szCs w:val="21"/>
          <w14:textFill>
            <w14:solidFill>
              <w14:schemeClr w14:val="tx1"/>
            </w14:solidFill>
          </w14:textFill>
        </w:rPr>
        <w:t>___________________________</w:t>
      </w:r>
    </w:p>
    <w:p>
      <w:pPr>
        <w:tabs>
          <w:tab w:val="left" w:pos="5580"/>
        </w:tabs>
        <w:spacing w:before="120"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电话号：</w:t>
      </w:r>
      <w:r>
        <w:rPr>
          <w:rFonts w:ascii="宋体" w:hAnsi="宋体"/>
          <w:color w:val="000000" w:themeColor="text1"/>
          <w:szCs w:val="21"/>
          <w14:textFill>
            <w14:solidFill>
              <w14:schemeClr w14:val="tx1"/>
            </w14:solidFill>
          </w14:textFill>
        </w:rPr>
        <w:t>________________________________________</w:t>
      </w:r>
    </w:p>
    <w:p>
      <w:pPr>
        <w:tabs>
          <w:tab w:val="left" w:pos="5580"/>
        </w:tabs>
        <w:spacing w:before="120"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传真号：</w:t>
      </w:r>
      <w:r>
        <w:rPr>
          <w:rFonts w:ascii="宋体" w:hAnsi="宋体"/>
          <w:color w:val="000000" w:themeColor="text1"/>
          <w:szCs w:val="21"/>
          <w14:textFill>
            <w14:solidFill>
              <w14:schemeClr w14:val="tx1"/>
            </w14:solidFill>
          </w14:textFill>
        </w:rPr>
        <w:t>________________________________________</w:t>
      </w:r>
    </w:p>
    <w:p>
      <w:pPr>
        <w:pStyle w:val="20"/>
        <w:tabs>
          <w:tab w:val="left" w:pos="5580"/>
        </w:tabs>
        <w:spacing w:line="360" w:lineRule="auto"/>
        <w:ind w:firstLine="420" w:firstLineChars="200"/>
        <w:rPr>
          <w:rFonts w:ascii="Times New Roman" w:hAnsi="Times New Roman"/>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公  章：</w:t>
      </w:r>
      <w:r>
        <w:rPr>
          <w:rFonts w:hAnsi="宋体"/>
          <w:color w:val="000000" w:themeColor="text1"/>
          <w:szCs w:val="21"/>
          <w14:textFill>
            <w14:solidFill>
              <w14:schemeClr w14:val="tx1"/>
            </w14:solidFill>
          </w14:textFill>
        </w:rPr>
        <w:t>________________________________________</w:t>
      </w:r>
    </w:p>
    <w:p>
      <w:pPr>
        <w:spacing w:line="360" w:lineRule="auto"/>
        <w:jc w:val="center"/>
        <w:rPr>
          <w:b/>
          <w:color w:val="000000" w:themeColor="text1"/>
          <w14:textFill>
            <w14:solidFill>
              <w14:schemeClr w14:val="tx1"/>
            </w14:solidFill>
          </w14:textFill>
        </w:rPr>
      </w:pPr>
      <w:r>
        <w:rPr>
          <w:color w:val="000000" w:themeColor="text1"/>
          <w14:textFill>
            <w14:solidFill>
              <w14:schemeClr w14:val="tx1"/>
            </w14:solidFill>
          </w14:textFill>
        </w:rPr>
        <w:br w:type="page"/>
      </w:r>
    </w:p>
    <w:p>
      <w:pPr>
        <w:spacing w:line="36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附件</w:t>
      </w: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5</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供应商的</w:t>
      </w:r>
      <w:r>
        <w:rPr>
          <w:rFonts w:hint="eastAsia"/>
          <w:b/>
          <w:color w:val="000000" w:themeColor="text1"/>
          <w14:textFill>
            <w14:solidFill>
              <w14:schemeClr w14:val="tx1"/>
            </w14:solidFill>
          </w14:textFill>
        </w:rPr>
        <w:t>财务状况报告</w:t>
      </w:r>
    </w:p>
    <w:p>
      <w:pPr>
        <w:tabs>
          <w:tab w:val="left" w:pos="5580"/>
        </w:tabs>
        <w:spacing w:before="120" w:line="360" w:lineRule="auto"/>
        <w:jc w:val="center"/>
        <w:rPr>
          <w:b/>
          <w:color w:val="000000" w:themeColor="text1"/>
          <w14:textFill>
            <w14:solidFill>
              <w14:schemeClr w14:val="tx1"/>
            </w14:solidFill>
          </w14:textFill>
        </w:rPr>
      </w:pPr>
    </w:p>
    <w:p>
      <w:pPr>
        <w:tabs>
          <w:tab w:val="left" w:pos="5580"/>
        </w:tabs>
        <w:spacing w:before="120" w:line="360" w:lineRule="auto"/>
        <w:ind w:firstLine="549"/>
        <w:jc w:val="center"/>
        <w:rPr>
          <w:b/>
          <w:color w:val="000000" w:themeColor="text1"/>
          <w14:textFill>
            <w14:solidFill>
              <w14:schemeClr w14:val="tx1"/>
            </w14:solidFill>
          </w14:textFill>
        </w:rPr>
      </w:pPr>
    </w:p>
    <w:p>
      <w:pPr>
        <w:tabs>
          <w:tab w:val="left" w:pos="5580"/>
        </w:tabs>
        <w:spacing w:before="120"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说明：</w:t>
      </w:r>
    </w:p>
    <w:p>
      <w:pPr>
        <w:tabs>
          <w:tab w:val="left" w:pos="5580"/>
        </w:tabs>
        <w:spacing w:before="120"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1、供应商在磋商响应文件中，需提供本单位上年度（2</w:t>
      </w:r>
      <w:r>
        <w:rPr>
          <w:color w:val="000000" w:themeColor="text1"/>
          <w14:textFill>
            <w14:solidFill>
              <w14:schemeClr w14:val="tx1"/>
            </w14:solidFill>
          </w14:textFill>
        </w:rPr>
        <w:t>021年度</w:t>
      </w:r>
      <w:r>
        <w:rPr>
          <w:rFonts w:hint="eastAsia"/>
          <w:color w:val="000000" w:themeColor="text1"/>
          <w14:textFill>
            <w14:solidFill>
              <w14:schemeClr w14:val="tx1"/>
            </w14:solidFill>
          </w14:textFill>
        </w:rPr>
        <w:t>或2</w:t>
      </w:r>
      <w:r>
        <w:rPr>
          <w:color w:val="000000" w:themeColor="text1"/>
          <w14:textFill>
            <w14:solidFill>
              <w14:schemeClr w14:val="tx1"/>
            </w14:solidFill>
          </w14:textFill>
        </w:rPr>
        <w:t>022</w:t>
      </w:r>
      <w:r>
        <w:rPr>
          <w:rFonts w:hint="eastAsia"/>
          <w:color w:val="000000" w:themeColor="text1"/>
          <w14:textFill>
            <w14:solidFill>
              <w14:schemeClr w14:val="tx1"/>
            </w14:solidFill>
          </w14:textFill>
        </w:rPr>
        <w:t>年度）经会计师事务所出具的审计报告复印件并加盖本单位公章。</w:t>
      </w:r>
    </w:p>
    <w:p>
      <w:pPr>
        <w:tabs>
          <w:tab w:val="left" w:pos="5580"/>
        </w:tabs>
        <w:spacing w:before="120" w:line="360" w:lineRule="auto"/>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如供应商无法提供上年度审计报告，则需提供银行在递交响应文件截止日前三个月内出具的资信证明。银行资信证明可提供原件，也可提供有效的复印件由授权代表签字并加盖公章。若提供的是复印件，采购单位保留审核原件的权利。</w:t>
      </w:r>
    </w:p>
    <w:p>
      <w:pPr>
        <w:tabs>
          <w:tab w:val="left" w:pos="5580"/>
        </w:tabs>
        <w:spacing w:before="120"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3、银行资信证明应能说明该供应商与银行之间业务往来正常，企业信誉良好等。银行出具的存款证明不能替代银行资信证明。</w:t>
      </w:r>
    </w:p>
    <w:p>
      <w:pPr>
        <w:tabs>
          <w:tab w:val="left" w:pos="5580"/>
        </w:tabs>
        <w:spacing w:before="120"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4、成立一年内的公司可提交验资证明复印件授权代表签字并加盖公章。</w:t>
      </w:r>
    </w:p>
    <w:p>
      <w:pPr>
        <w:pStyle w:val="20"/>
        <w:tabs>
          <w:tab w:val="left" w:pos="5580"/>
        </w:tabs>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w:t>
      </w:r>
    </w:p>
    <w:p>
      <w:pPr>
        <w:pStyle w:val="20"/>
        <w:tabs>
          <w:tab w:val="left" w:pos="5580"/>
        </w:tabs>
        <w:spacing w:line="360" w:lineRule="auto"/>
        <w:ind w:left="424" w:firstLine="240"/>
        <w:rPr>
          <w:rFonts w:ascii="Times New Roman" w:hAnsi="Times New Roman"/>
          <w:color w:val="000000" w:themeColor="text1"/>
          <w14:textFill>
            <w14:solidFill>
              <w14:schemeClr w14:val="tx1"/>
            </w14:solidFill>
          </w14:textFill>
        </w:rPr>
      </w:pPr>
    </w:p>
    <w:p>
      <w:pPr>
        <w:pStyle w:val="20"/>
        <w:tabs>
          <w:tab w:val="left" w:pos="5580"/>
        </w:tabs>
        <w:spacing w:line="360" w:lineRule="auto"/>
        <w:ind w:left="424" w:firstLine="240"/>
        <w:rPr>
          <w:rFonts w:ascii="Times New Roman" w:hAnsi="Times New Roman"/>
          <w:color w:val="000000" w:themeColor="text1"/>
          <w14:textFill>
            <w14:solidFill>
              <w14:schemeClr w14:val="tx1"/>
            </w14:solidFill>
          </w14:textFill>
        </w:rPr>
      </w:pPr>
    </w:p>
    <w:p>
      <w:pPr>
        <w:pStyle w:val="20"/>
        <w:tabs>
          <w:tab w:val="left" w:pos="5580"/>
        </w:tabs>
        <w:spacing w:line="360" w:lineRule="auto"/>
        <w:ind w:left="424" w:firstLine="240"/>
        <w:rPr>
          <w:rFonts w:ascii="Times New Roman" w:hAnsi="Times New Roman"/>
          <w:color w:val="000000" w:themeColor="text1"/>
          <w14:textFill>
            <w14:solidFill>
              <w14:schemeClr w14:val="tx1"/>
            </w14:solidFill>
          </w14:textFill>
        </w:rPr>
      </w:pPr>
    </w:p>
    <w:p>
      <w:pPr>
        <w:pStyle w:val="20"/>
        <w:tabs>
          <w:tab w:val="left" w:pos="5580"/>
        </w:tabs>
        <w:spacing w:line="360" w:lineRule="auto"/>
        <w:ind w:left="424" w:firstLine="240"/>
        <w:rPr>
          <w:rFonts w:ascii="Times New Roman" w:hAnsi="Times New Roman"/>
          <w:color w:val="000000" w:themeColor="text1"/>
          <w14:textFill>
            <w14:solidFill>
              <w14:schemeClr w14:val="tx1"/>
            </w14:solidFill>
          </w14:textFill>
        </w:rPr>
      </w:pPr>
    </w:p>
    <w:bookmarkEnd w:id="483"/>
    <w:bookmarkEnd w:id="484"/>
    <w:bookmarkEnd w:id="485"/>
    <w:bookmarkEnd w:id="486"/>
    <w:bookmarkEnd w:id="487"/>
    <w:bookmarkEnd w:id="488"/>
    <w:bookmarkEnd w:id="489"/>
    <w:bookmarkEnd w:id="490"/>
    <w:bookmarkEnd w:id="491"/>
    <w:bookmarkEnd w:id="492"/>
    <w:bookmarkEnd w:id="493"/>
    <w:bookmarkEnd w:id="494"/>
    <w:bookmarkEnd w:id="495"/>
    <w:p>
      <w:pPr>
        <w:pStyle w:val="20"/>
        <w:spacing w:line="360" w:lineRule="auto"/>
        <w:jc w:val="center"/>
        <w:rPr>
          <w:rFonts w:ascii="Times New Roman" w:hAnsi="Times New Roman"/>
          <w:b/>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r>
        <w:rPr>
          <w:rFonts w:hint="eastAsia" w:ascii="Times New Roman" w:hAnsi="Times New Roman"/>
          <w:b/>
          <w:color w:val="000000" w:themeColor="text1"/>
          <w14:textFill>
            <w14:solidFill>
              <w14:schemeClr w14:val="tx1"/>
            </w14:solidFill>
          </w14:textFill>
        </w:rPr>
        <w:t>附件</w:t>
      </w:r>
      <w:r>
        <w:rPr>
          <w:rFonts w:ascii="Times New Roman" w:hAnsi="Times New Roman"/>
          <w:b/>
          <w:color w:val="000000" w:themeColor="text1"/>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 xml:space="preserve">    社会保障资金缴纳记录</w:t>
      </w:r>
    </w:p>
    <w:p>
      <w:pPr>
        <w:pStyle w:val="20"/>
        <w:tabs>
          <w:tab w:val="left" w:pos="5580"/>
        </w:tabs>
        <w:spacing w:line="360" w:lineRule="auto"/>
        <w:jc w:val="center"/>
        <w:rPr>
          <w:rFonts w:ascii="Times New Roman" w:hAnsi="Times New Roman"/>
          <w:b/>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bookmarkStart w:id="496" w:name="_Toc135537949"/>
      <w:bookmarkStart w:id="497" w:name="_Toc163893458"/>
      <w:bookmarkStart w:id="498" w:name="_Toc135539137"/>
      <w:bookmarkStart w:id="499" w:name="_Toc133737941"/>
      <w:bookmarkStart w:id="500" w:name="_Toc133737852"/>
      <w:r>
        <w:rPr>
          <w:rFonts w:hint="eastAsia"/>
          <w:color w:val="000000" w:themeColor="text1"/>
          <w14:textFill>
            <w14:solidFill>
              <w14:schemeClr w14:val="tx1"/>
            </w14:solidFill>
          </w14:textFill>
        </w:rPr>
        <w:t>【提供开标日前六个月内任意一个月的社会保障金缴纳记录（银行缴费单据或社保机构出具的证明）复印件，非企业化管理的事业单位无需提供，不需要缴纳社会保障资金的供应商，应提供相应文件（复印件）证明其不需要缴纳社会保障资金，上述材料加盖公章</w:t>
      </w:r>
      <w:bookmarkEnd w:id="496"/>
      <w:bookmarkEnd w:id="497"/>
      <w:bookmarkEnd w:id="498"/>
      <w:r>
        <w:rPr>
          <w:rFonts w:hint="eastAsia"/>
          <w:color w:val="000000" w:themeColor="text1"/>
          <w14:textFill>
            <w14:solidFill>
              <w14:schemeClr w14:val="tx1"/>
            </w14:solidFill>
          </w14:textFill>
        </w:rPr>
        <w:t>】</w:t>
      </w:r>
    </w:p>
    <w:p>
      <w:pPr>
        <w:pStyle w:val="20"/>
        <w:spacing w:line="360" w:lineRule="auto"/>
        <w:jc w:val="center"/>
        <w:rPr>
          <w:b/>
          <w:color w:val="000000" w:themeColor="text1"/>
          <w14:textFill>
            <w14:solidFill>
              <w14:schemeClr w14:val="tx1"/>
            </w14:solidFill>
          </w14:textFill>
        </w:rPr>
      </w:pPr>
      <w:r>
        <w:rPr>
          <w:rFonts w:hAnsi="宋体"/>
          <w:b/>
          <w:color w:val="000000" w:themeColor="text1"/>
          <w:kern w:val="0"/>
          <w:sz w:val="24"/>
          <w14:textFill>
            <w14:solidFill>
              <w14:schemeClr w14:val="tx1"/>
            </w14:solidFill>
          </w14:textFill>
        </w:rPr>
        <w:br w:type="page"/>
      </w:r>
      <w:bookmarkEnd w:id="499"/>
      <w:bookmarkEnd w:id="500"/>
      <w:r>
        <w:rPr>
          <w:rFonts w:hint="eastAsia"/>
          <w:b/>
          <w:color w:val="000000" w:themeColor="text1"/>
          <w14:textFill>
            <w14:solidFill>
              <w14:schemeClr w14:val="tx1"/>
            </w14:solidFill>
          </w14:textFill>
        </w:rPr>
        <w:t>附件</w:t>
      </w:r>
      <w:r>
        <w:rPr>
          <w:rFonts w:ascii="Times New Roman" w:hAnsi="Times New Roman"/>
          <w:b/>
          <w:color w:val="000000" w:themeColor="text1"/>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7</w:t>
      </w:r>
      <w:r>
        <w:rPr>
          <w:rFonts w:hint="eastAsia" w:ascii="Times New Roman" w:hAnsi="Times New Roman"/>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近三年经营活动中无重大违法记录声明</w:t>
      </w:r>
    </w:p>
    <w:p>
      <w:pPr>
        <w:spacing w:line="360" w:lineRule="auto"/>
        <w:ind w:firstLine="420" w:firstLineChars="200"/>
        <w:rPr>
          <w:color w:val="000000" w:themeColor="text1"/>
          <w14:textFill>
            <w14:solidFill>
              <w14:schemeClr w14:val="tx1"/>
            </w14:solidFill>
          </w14:textFill>
        </w:rPr>
      </w:pPr>
    </w:p>
    <w:p>
      <w:pPr>
        <w:spacing w:line="360" w:lineRule="auto"/>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致：</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p>
    <w:p>
      <w:pPr>
        <w:spacing w:line="360" w:lineRule="auto"/>
        <w:rPr>
          <w:color w:val="000000" w:themeColor="text1"/>
          <w14:textFill>
            <w14:solidFill>
              <w14:schemeClr w14:val="tx1"/>
            </w14:solidFill>
          </w14:textFill>
        </w:rPr>
      </w:pPr>
    </w:p>
    <w:p>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我单位近三年经营活动中无重大违法记录</w:t>
      </w:r>
      <w:r>
        <w:rPr>
          <w:rFonts w:hint="eastAsia"/>
          <w:color w:val="000000" w:themeColor="text1"/>
          <w:lang w:val="zh-CN"/>
          <w14:textFill>
            <w14:solidFill>
              <w14:schemeClr w14:val="tx1"/>
            </w14:solidFill>
          </w14:textFill>
        </w:rPr>
        <w:t>（即未因违法经营受到刑事处罚或者责令停产停业、吊销许可证或者执照、较大数额罚款等行政处罚。如果因违法经营被禁止在一定期限内参加政府采购活动，期限已经届满）</w:t>
      </w:r>
      <w:r>
        <w:rPr>
          <w:rFonts w:hint="eastAsia"/>
          <w:color w:val="000000" w:themeColor="text1"/>
          <w14:textFill>
            <w14:solidFill>
              <w14:schemeClr w14:val="tx1"/>
            </w14:solidFill>
          </w14:textFill>
        </w:rPr>
        <w:t>，特此声明。</w:t>
      </w:r>
    </w:p>
    <w:p>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若采购单位在本项目采购过程中发现我单位近三年经营活动中有重大违法记录，我单位将承担因此引起的一切后果。</w:t>
      </w: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pStyle w:val="20"/>
        <w:widowControl/>
        <w:rPr>
          <w:rFonts w:ascii="Arial" w:hAnsi="Arial" w:cs="Arial"/>
          <w:color w:val="000000" w:themeColor="text1"/>
          <w:szCs w:val="21"/>
          <w14:textFill>
            <w14:solidFill>
              <w14:schemeClr w14:val="tx1"/>
            </w14:solidFill>
          </w14:textFill>
        </w:rPr>
      </w:pPr>
    </w:p>
    <w:p>
      <w:pPr>
        <w:autoSpaceDE w:val="0"/>
        <w:autoSpaceDN w:val="0"/>
        <w:adjustRightInd w:val="0"/>
        <w:snapToGrid w:val="0"/>
        <w:spacing w:before="25" w:after="25" w:line="360" w:lineRule="auto"/>
        <w:rPr>
          <w:rFonts w:ascii="Arial" w:hAnsi="Arial" w:cs="Arial"/>
          <w:color w:val="000000" w:themeColor="text1"/>
          <w:szCs w:val="21"/>
          <w14:textFill>
            <w14:solidFill>
              <w14:schemeClr w14:val="tx1"/>
            </w14:solidFill>
          </w14:textFill>
        </w:rPr>
      </w:pPr>
    </w:p>
    <w:p>
      <w:pPr>
        <w:autoSpaceDE w:val="0"/>
        <w:autoSpaceDN w:val="0"/>
        <w:adjustRightInd w:val="0"/>
        <w:snapToGrid w:val="0"/>
        <w:spacing w:before="25" w:after="25" w:line="360" w:lineRule="auto"/>
        <w:rPr>
          <w:color w:val="000000" w:themeColor="text1"/>
          <w:lang w:val="zh-CN"/>
          <w14:textFill>
            <w14:solidFill>
              <w14:schemeClr w14:val="tx1"/>
            </w14:solidFill>
          </w14:textFill>
        </w:rPr>
      </w:pPr>
      <w:r>
        <w:rPr>
          <w:rFonts w:hint="eastAsia" w:ascii="Arial" w:hAnsi="Arial" w:cs="Arial"/>
          <w:color w:val="000000" w:themeColor="text1"/>
          <w:szCs w:val="21"/>
          <w14:textFill>
            <w14:solidFill>
              <w14:schemeClr w14:val="tx1"/>
            </w14:solidFill>
          </w14:textFill>
        </w:rPr>
        <w:t>供应商名称（公章）：</w:t>
      </w:r>
      <w:r>
        <w:rPr>
          <w:rFonts w:ascii="Arial" w:hAnsi="Arial" w:cs="Arial"/>
          <w:color w:val="000000" w:themeColor="text1"/>
          <w:szCs w:val="21"/>
          <w:u w:val="single"/>
          <w14:textFill>
            <w14:solidFill>
              <w14:schemeClr w14:val="tx1"/>
            </w14:solidFill>
          </w14:textFill>
        </w:rPr>
        <w:tab/>
      </w:r>
      <w:r>
        <w:rPr>
          <w:rFonts w:ascii="Arial" w:hAnsi="Arial" w:cs="Arial"/>
          <w:color w:val="000000" w:themeColor="text1"/>
          <w:szCs w:val="21"/>
          <w:u w:val="single"/>
          <w14:textFill>
            <w14:solidFill>
              <w14:schemeClr w14:val="tx1"/>
            </w14:solidFill>
          </w14:textFill>
        </w:rPr>
        <w:t xml:space="preserve">                 </w:t>
      </w:r>
      <w:r>
        <w:rPr>
          <w:rFonts w:hint="eastAsia"/>
          <w:color w:val="000000" w:themeColor="text1"/>
          <w:lang w:val="zh-CN"/>
          <w14:textFill>
            <w14:solidFill>
              <w14:schemeClr w14:val="tx1"/>
            </w14:solidFill>
          </w14:textFill>
        </w:rPr>
        <w:t xml:space="preserve"> </w:t>
      </w:r>
    </w:p>
    <w:p>
      <w:pPr>
        <w:autoSpaceDE w:val="0"/>
        <w:autoSpaceDN w:val="0"/>
        <w:adjustRightInd w:val="0"/>
        <w:snapToGrid w:val="0"/>
        <w:spacing w:before="25" w:after="25" w:line="360" w:lineRule="auto"/>
        <w:rPr>
          <w:color w:val="000000" w:themeColor="text1"/>
          <w:lang w:val="zh-CN"/>
          <w14:textFill>
            <w14:solidFill>
              <w14:schemeClr w14:val="tx1"/>
            </w14:solidFill>
          </w14:textFill>
        </w:rPr>
      </w:pPr>
      <w:r>
        <w:rPr>
          <w:rFonts w:hint="eastAsia" w:ascii="Arial" w:hAnsi="Arial" w:cs="Arial"/>
          <w:color w:val="000000" w:themeColor="text1"/>
          <w:szCs w:val="21"/>
          <w14:textFill>
            <w14:solidFill>
              <w14:schemeClr w14:val="tx1"/>
            </w14:solidFill>
          </w14:textFill>
        </w:rPr>
        <w:t>授权代表签字：</w:t>
      </w:r>
      <w:r>
        <w:rPr>
          <w:rFonts w:ascii="Arial" w:hAnsi="Arial" w:cs="Arial"/>
          <w:color w:val="000000" w:themeColor="text1"/>
          <w:szCs w:val="21"/>
          <w14:textFill>
            <w14:solidFill>
              <w14:schemeClr w14:val="tx1"/>
            </w14:solidFill>
          </w14:textFill>
        </w:rPr>
        <w:t>____________________</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______</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______</w:t>
      </w:r>
      <w:r>
        <w:rPr>
          <w:rFonts w:hint="eastAsia"/>
          <w:color w:val="000000" w:themeColor="text1"/>
          <w14:textFill>
            <w14:solidFill>
              <w14:schemeClr w14:val="tx1"/>
            </w14:solidFill>
          </w14:textFill>
        </w:rPr>
        <w:t>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rPr>
          <w:color w:val="000000" w:themeColor="text1"/>
          <w14:textFill>
            <w14:solidFill>
              <w14:schemeClr w14:val="tx1"/>
            </w14:solidFill>
          </w14:textFill>
        </w:rPr>
      </w:pPr>
    </w:p>
    <w:p>
      <w:pPr>
        <w:spacing w:line="36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附件</w:t>
      </w: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8</w:t>
      </w:r>
      <w:r>
        <w:rPr>
          <w:rFonts w:hint="eastAsia"/>
          <w:b/>
          <w:color w:val="000000" w:themeColor="text1"/>
          <w14:textFill>
            <w14:solidFill>
              <w14:schemeClr w14:val="tx1"/>
            </w14:solidFill>
          </w14:textFill>
        </w:rPr>
        <w:t xml:space="preserve">   承诺书</w:t>
      </w:r>
    </w:p>
    <w:p>
      <w:pPr>
        <w:rPr>
          <w:color w:val="000000" w:themeColor="text1"/>
          <w:sz w:val="24"/>
          <w14:textFill>
            <w14:solidFill>
              <w14:schemeClr w14:val="tx1"/>
            </w14:solidFill>
          </w14:textFill>
        </w:rPr>
      </w:pPr>
    </w:p>
    <w:p>
      <w:pPr>
        <w:rPr>
          <w:color w:val="000000" w:themeColor="text1"/>
          <w:szCs w:val="21"/>
          <w14:textFill>
            <w14:solidFill>
              <w14:schemeClr w14:val="tx1"/>
            </w14:solidFill>
          </w14:textFill>
        </w:rPr>
      </w:pPr>
    </w:p>
    <w:p>
      <w:pPr>
        <w:rPr>
          <w:rFonts w:ascii="宋体"/>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致：</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rFonts w:hint="eastAsia" w:ascii="宋体"/>
          <w:b/>
          <w:color w:val="000000" w:themeColor="text1"/>
          <w:szCs w:val="21"/>
          <w14:textFill>
            <w14:solidFill>
              <w14:schemeClr w14:val="tx1"/>
            </w14:solidFill>
          </w14:textFill>
        </w:rPr>
        <w:t xml:space="preserve"> </w:t>
      </w:r>
    </w:p>
    <w:p>
      <w:pPr>
        <w:pStyle w:val="20"/>
        <w:tabs>
          <w:tab w:val="left" w:pos="5580"/>
        </w:tabs>
        <w:spacing w:line="360" w:lineRule="auto"/>
        <w:rPr>
          <w:b/>
          <w:color w:val="000000" w:themeColor="text1"/>
          <w:szCs w:val="21"/>
          <w14:textFill>
            <w14:solidFill>
              <w14:schemeClr w14:val="tx1"/>
            </w14:solidFill>
          </w14:textFill>
        </w:rPr>
      </w:pPr>
    </w:p>
    <w:p>
      <w:pPr>
        <w:pStyle w:val="20"/>
        <w:tabs>
          <w:tab w:val="left" w:pos="5580"/>
        </w:tabs>
        <w:spacing w:line="360" w:lineRule="auto"/>
        <w:ind w:firstLine="315" w:firstLineChars="1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我方郑重承诺：本响应文件中提供的所有资料是真实合法的，没有不实的描述、承诺或者伪造、变造的情形。业绩证明材料中提供的甲方联系方式可供贵方随时查证合同的真实性。如果我方在本项目响应文件中提供虚假资料，本响应文件无效，并承担由此带来的一切法律后果。</w:t>
      </w:r>
    </w:p>
    <w:p>
      <w:pPr>
        <w:pStyle w:val="20"/>
        <w:tabs>
          <w:tab w:val="left" w:pos="5580"/>
        </w:tabs>
        <w:spacing w:line="360" w:lineRule="auto"/>
        <w:ind w:left="630" w:leftChars="100" w:hanging="420" w:hangingChars="200"/>
        <w:rPr>
          <w:color w:val="000000" w:themeColor="text1"/>
          <w:szCs w:val="21"/>
          <w14:textFill>
            <w14:solidFill>
              <w14:schemeClr w14:val="tx1"/>
            </w14:solidFill>
          </w14:textFill>
        </w:rPr>
      </w:pPr>
    </w:p>
    <w:p>
      <w:pPr>
        <w:pStyle w:val="20"/>
        <w:tabs>
          <w:tab w:val="left" w:pos="5580"/>
        </w:tabs>
        <w:spacing w:line="360" w:lineRule="auto"/>
        <w:ind w:left="630" w:leftChars="100" w:hanging="420" w:hangingChars="200"/>
        <w:rPr>
          <w:color w:val="000000" w:themeColor="text1"/>
          <w:szCs w:val="21"/>
          <w14:textFill>
            <w14:solidFill>
              <w14:schemeClr w14:val="tx1"/>
            </w14:solidFill>
          </w14:textFill>
        </w:rPr>
      </w:pPr>
    </w:p>
    <w:p>
      <w:pPr>
        <w:pStyle w:val="20"/>
        <w:tabs>
          <w:tab w:val="left" w:pos="5580"/>
        </w:tabs>
        <w:spacing w:line="360" w:lineRule="auto"/>
        <w:ind w:left="630" w:leftChars="100" w:hanging="420" w:hangingChars="200"/>
        <w:rPr>
          <w:color w:val="000000" w:themeColor="text1"/>
          <w:szCs w:val="21"/>
          <w14:textFill>
            <w14:solidFill>
              <w14:schemeClr w14:val="tx1"/>
            </w14:solidFill>
          </w14:textFill>
        </w:rPr>
      </w:pPr>
    </w:p>
    <w:p>
      <w:pPr>
        <w:pStyle w:val="20"/>
        <w:tabs>
          <w:tab w:val="left" w:pos="5580"/>
        </w:tabs>
        <w:spacing w:line="360" w:lineRule="auto"/>
        <w:ind w:left="630" w:leftChars="100" w:hanging="420" w:hangingChars="200"/>
        <w:rPr>
          <w:color w:val="000000" w:themeColor="text1"/>
          <w:szCs w:val="21"/>
          <w14:textFill>
            <w14:solidFill>
              <w14:schemeClr w14:val="tx1"/>
            </w14:solidFill>
          </w14:textFill>
        </w:rPr>
      </w:pPr>
    </w:p>
    <w:p>
      <w:pPr>
        <w:pStyle w:val="20"/>
        <w:tabs>
          <w:tab w:val="left" w:pos="5580"/>
        </w:tabs>
        <w:spacing w:line="360" w:lineRule="auto"/>
        <w:ind w:left="630" w:leftChars="100" w:hanging="420" w:hangingChars="200"/>
        <w:rPr>
          <w:color w:val="000000" w:themeColor="text1"/>
          <w:szCs w:val="21"/>
          <w14:textFill>
            <w14:solidFill>
              <w14:schemeClr w14:val="tx1"/>
            </w14:solidFill>
          </w14:textFill>
        </w:rPr>
      </w:pPr>
    </w:p>
    <w:p>
      <w:pPr>
        <w:pStyle w:val="20"/>
        <w:tabs>
          <w:tab w:val="left" w:pos="5580"/>
        </w:tabs>
        <w:spacing w:line="360" w:lineRule="auto"/>
        <w:ind w:left="630" w:leftChars="100" w:hanging="420" w:hangingChars="200"/>
        <w:rPr>
          <w:color w:val="000000" w:themeColor="text1"/>
          <w:szCs w:val="21"/>
          <w14:textFill>
            <w14:solidFill>
              <w14:schemeClr w14:val="tx1"/>
            </w14:solidFill>
          </w14:textFill>
        </w:rPr>
      </w:pPr>
    </w:p>
    <w:p>
      <w:pPr>
        <w:autoSpaceDE w:val="0"/>
        <w:autoSpaceDN w:val="0"/>
        <w:adjustRightInd w:val="0"/>
        <w:snapToGrid w:val="0"/>
        <w:spacing w:before="25" w:after="25" w:line="360" w:lineRule="auto"/>
        <w:rPr>
          <w:color w:val="000000" w:themeColor="text1"/>
          <w:lang w:val="zh-CN"/>
          <w14:textFill>
            <w14:solidFill>
              <w14:schemeClr w14:val="tx1"/>
            </w14:solidFill>
          </w14:textFill>
        </w:rPr>
      </w:pPr>
      <w:r>
        <w:rPr>
          <w:rFonts w:hint="eastAsia" w:ascii="Arial" w:hAnsi="Arial" w:cs="Arial"/>
          <w:color w:val="000000" w:themeColor="text1"/>
          <w:szCs w:val="21"/>
          <w14:textFill>
            <w14:solidFill>
              <w14:schemeClr w14:val="tx1"/>
            </w14:solidFill>
          </w14:textFill>
        </w:rPr>
        <w:t>供应商名称（公章）：</w:t>
      </w:r>
      <w:r>
        <w:rPr>
          <w:rFonts w:ascii="Arial" w:hAnsi="Arial" w:cs="Arial"/>
          <w:color w:val="000000" w:themeColor="text1"/>
          <w:szCs w:val="21"/>
          <w:u w:val="single"/>
          <w14:textFill>
            <w14:solidFill>
              <w14:schemeClr w14:val="tx1"/>
            </w14:solidFill>
          </w14:textFill>
        </w:rPr>
        <w:t xml:space="preserve">                 </w:t>
      </w:r>
      <w:r>
        <w:rPr>
          <w:rFonts w:hint="eastAsia"/>
          <w:color w:val="000000" w:themeColor="text1"/>
          <w:lang w:val="zh-CN"/>
          <w14:textFill>
            <w14:solidFill>
              <w14:schemeClr w14:val="tx1"/>
            </w14:solidFill>
          </w14:textFill>
        </w:rPr>
        <w:t xml:space="preserve"> </w:t>
      </w:r>
    </w:p>
    <w:p>
      <w:pPr>
        <w:autoSpaceDE w:val="0"/>
        <w:autoSpaceDN w:val="0"/>
        <w:adjustRightInd w:val="0"/>
        <w:snapToGrid w:val="0"/>
        <w:spacing w:before="25" w:after="25" w:line="360" w:lineRule="auto"/>
        <w:rPr>
          <w:color w:val="000000" w:themeColor="text1"/>
          <w:lang w:val="zh-CN"/>
          <w14:textFill>
            <w14:solidFill>
              <w14:schemeClr w14:val="tx1"/>
            </w14:solidFill>
          </w14:textFill>
        </w:rPr>
      </w:pPr>
      <w:r>
        <w:rPr>
          <w:rFonts w:hint="eastAsia" w:ascii="Arial" w:hAnsi="Arial" w:cs="Arial"/>
          <w:color w:val="000000" w:themeColor="text1"/>
          <w:szCs w:val="21"/>
          <w14:textFill>
            <w14:solidFill>
              <w14:schemeClr w14:val="tx1"/>
            </w14:solidFill>
          </w14:textFill>
        </w:rPr>
        <w:t>授权代表签字：</w:t>
      </w:r>
      <w:r>
        <w:rPr>
          <w:rFonts w:ascii="Arial" w:hAnsi="Arial" w:cs="Arial"/>
          <w:color w:val="000000" w:themeColor="text1"/>
          <w:szCs w:val="21"/>
          <w14:textFill>
            <w14:solidFill>
              <w14:schemeClr w14:val="tx1"/>
            </w14:solidFill>
          </w14:textFill>
        </w:rPr>
        <w:t>____________________</w:t>
      </w:r>
    </w:p>
    <w:p>
      <w:pPr>
        <w:spacing w:line="360" w:lineRule="auto"/>
        <w:rPr>
          <w:b/>
          <w:color w:val="000000" w:themeColor="text1"/>
          <w:szCs w:val="2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______</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______</w:t>
      </w:r>
      <w:r>
        <w:rPr>
          <w:rFonts w:hint="eastAsia"/>
          <w:color w:val="000000" w:themeColor="text1"/>
          <w14:textFill>
            <w14:solidFill>
              <w14:schemeClr w14:val="tx1"/>
            </w14:solidFill>
          </w14:textFill>
        </w:rPr>
        <w:t>日</w:t>
      </w:r>
      <w:r>
        <w:rPr>
          <w:b/>
          <w:color w:val="000000" w:themeColor="text1"/>
          <w:szCs w:val="21"/>
          <w14:textFill>
            <w14:solidFill>
              <w14:schemeClr w14:val="tx1"/>
            </w14:solidFill>
          </w14:textFill>
        </w:rPr>
        <w:br w:type="page"/>
      </w:r>
    </w:p>
    <w:p>
      <w:pPr>
        <w:spacing w:line="360" w:lineRule="auto"/>
        <w:jc w:val="center"/>
        <w:rPr>
          <w:b/>
          <w:bCs/>
          <w:color w:val="000000" w:themeColor="text1"/>
          <w14:textFill>
            <w14:solidFill>
              <w14:schemeClr w14:val="tx1"/>
            </w14:solidFill>
          </w14:textFill>
        </w:rPr>
      </w:pPr>
      <w:r>
        <w:rPr>
          <w:rFonts w:hint="eastAsia"/>
          <w:b/>
          <w:color w:val="000000" w:themeColor="text1"/>
          <w14:textFill>
            <w14:solidFill>
              <w14:schemeClr w14:val="tx1"/>
            </w14:solidFill>
          </w14:textFill>
        </w:rPr>
        <w:t>附件</w:t>
      </w: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9</w:t>
      </w:r>
      <w:r>
        <w:rPr>
          <w:rFonts w:hint="eastAsia"/>
          <w:b/>
          <w:color w:val="000000" w:themeColor="text1"/>
          <w14:textFill>
            <w14:solidFill>
              <w14:schemeClr w14:val="tx1"/>
            </w14:solidFill>
          </w14:textFill>
        </w:rPr>
        <w:t xml:space="preserve"> 磋商文件</w:t>
      </w:r>
      <w:r>
        <w:rPr>
          <w:rFonts w:hint="eastAsia"/>
          <w:b/>
          <w:bCs/>
          <w:color w:val="000000" w:themeColor="text1"/>
          <w14:textFill>
            <w14:solidFill>
              <w14:schemeClr w14:val="tx1"/>
            </w14:solidFill>
          </w14:textFill>
        </w:rPr>
        <w:t>要求的和</w:t>
      </w:r>
      <w:r>
        <w:rPr>
          <w:rFonts w:hint="eastAsia"/>
          <w:b/>
          <w:color w:val="000000" w:themeColor="text1"/>
          <w14:textFill>
            <w14:solidFill>
              <w14:schemeClr w14:val="tx1"/>
            </w14:solidFill>
          </w14:textFill>
        </w:rPr>
        <w:t>供应商认为必要的</w:t>
      </w:r>
      <w:r>
        <w:rPr>
          <w:rFonts w:hint="eastAsia"/>
          <w:b/>
          <w:bCs/>
          <w:color w:val="000000" w:themeColor="text1"/>
          <w14:textFill>
            <w14:solidFill>
              <w14:schemeClr w14:val="tx1"/>
            </w14:solidFill>
          </w14:textFill>
        </w:rPr>
        <w:t>其他资格证明文件</w:t>
      </w:r>
    </w:p>
    <w:p>
      <w:pPr>
        <w:spacing w:line="360" w:lineRule="auto"/>
        <w:rPr>
          <w:color w:val="000000" w:themeColor="text1"/>
          <w14:textFill>
            <w14:solidFill>
              <w14:schemeClr w14:val="tx1"/>
            </w14:solidFill>
          </w14:textFill>
        </w:rPr>
      </w:pPr>
    </w:p>
    <w:p>
      <w:pPr>
        <w:spacing w:line="360" w:lineRule="auto"/>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1、其他必要的资格证明文件（如有）（提供复印件并加盖公章）。</w:t>
      </w:r>
    </w:p>
    <w:p>
      <w:pPr>
        <w:autoSpaceDE w:val="0"/>
        <w:autoSpaceDN w:val="0"/>
        <w:adjustRightInd w:val="0"/>
        <w:spacing w:line="720" w:lineRule="auto"/>
        <w:jc w:val="center"/>
        <w:rPr>
          <w:rFonts w:ascii="宋体" w:hAnsi="宋体" w:cs="宋体"/>
          <w:b/>
          <w:bCs/>
          <w:color w:val="000000" w:themeColor="text1"/>
          <w:kern w:val="0"/>
          <w:sz w:val="24"/>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2、供应商必须提供“供应商相关单位一览表”。</w:t>
      </w:r>
    </w:p>
    <w:p>
      <w:pP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w:t>
      </w:r>
      <w:r>
        <w:rPr>
          <w:rFonts w:ascii="宋体" w:hAnsi="宋体"/>
          <w:b/>
          <w:color w:val="000000" w:themeColor="text1"/>
          <w:szCs w:val="21"/>
          <w14:textFill>
            <w14:solidFill>
              <w14:schemeClr w14:val="tx1"/>
            </w14:solidFill>
          </w14:textFill>
        </w:rPr>
        <w:t>与采购项目的关系申明</w:t>
      </w:r>
    </w:p>
    <w:p>
      <w:pPr>
        <w:pStyle w:val="20"/>
        <w:spacing w:line="360" w:lineRule="auto"/>
        <w:rPr>
          <w:rFonts w:cs="宋体"/>
          <w:color w:val="000000" w:themeColor="text1"/>
          <w:szCs w:val="21"/>
          <w14:textFill>
            <w14:solidFill>
              <w14:schemeClr w14:val="tx1"/>
            </w14:solidFill>
          </w14:textFill>
        </w:rPr>
      </w:pPr>
    </w:p>
    <w:p>
      <w:pPr>
        <w:rPr>
          <w:rFonts w:ascii="宋体" w:hAnsi="宋体" w:cs="宋体"/>
          <w:color w:val="000000" w:themeColor="text1"/>
          <w:kern w:val="1"/>
          <w:szCs w:val="21"/>
          <w14:textFill>
            <w14:solidFill>
              <w14:schemeClr w14:val="tx1"/>
            </w14:solidFill>
          </w14:textFill>
        </w:rPr>
      </w:pPr>
    </w:p>
    <w:p>
      <w:pPr>
        <w:spacing w:line="360" w:lineRule="auto"/>
        <w:ind w:left="1" w:firstLine="372"/>
        <w:rPr>
          <w:rFonts w:ascii="宋体" w:hAnsi="宋体" w:cs="宋体"/>
          <w:color w:val="000000" w:themeColor="text1"/>
          <w:kern w:val="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我公司（</w:t>
      </w:r>
      <w:r>
        <w:rPr>
          <w:rFonts w:hint="eastAsia" w:ascii="宋体" w:hAnsi="宋体" w:cs="宋体"/>
          <w:b/>
          <w:color w:val="000000" w:themeColor="text1"/>
          <w:szCs w:val="21"/>
          <w:u w:val="single"/>
          <w14:textFill>
            <w14:solidFill>
              <w14:schemeClr w14:val="tx1"/>
            </w14:solidFill>
          </w14:textFill>
        </w:rPr>
        <w:t>□  是</w:t>
      </w:r>
      <w:r>
        <w:rPr>
          <w:rFonts w:hint="eastAsia" w:ascii="宋体" w:hAnsi="宋体" w:cs="宋体"/>
          <w:color w:val="000000" w:themeColor="text1"/>
          <w:szCs w:val="21"/>
          <w14:textFill>
            <w14:solidFill>
              <w14:schemeClr w14:val="tx1"/>
            </w14:solidFill>
          </w14:textFill>
        </w:rPr>
        <w:t xml:space="preserve"> </w:t>
      </w:r>
      <w:r>
        <w:rPr>
          <w:rFonts w:ascii="宋体" w:hAnsi="宋体" w:cs="宋体"/>
          <w:color w:val="000000" w:themeColor="text1"/>
          <w:szCs w:val="21"/>
          <w14:textFill>
            <w14:solidFill>
              <w14:schemeClr w14:val="tx1"/>
            </w14:solidFill>
          </w14:textFill>
        </w:rPr>
        <w:t xml:space="preserve">   </w:t>
      </w:r>
      <w:r>
        <w:rPr>
          <w:rFonts w:hint="eastAsia" w:ascii="宋体" w:hAnsi="宋体" w:cs="宋体"/>
          <w:b/>
          <w:color w:val="000000" w:themeColor="text1"/>
          <w:szCs w:val="21"/>
          <w:u w:val="single"/>
          <w14:textFill>
            <w14:solidFill>
              <w14:schemeClr w14:val="tx1"/>
            </w14:solidFill>
          </w14:textFill>
        </w:rPr>
        <w:t>√否）</w:t>
      </w:r>
      <w:r>
        <w:rPr>
          <w:rFonts w:hint="eastAsia" w:ascii="宋体" w:hAnsi="宋体" w:cs="宋体"/>
          <w:color w:val="000000" w:themeColor="text1"/>
          <w:szCs w:val="21"/>
          <w14:textFill>
            <w14:solidFill>
              <w14:schemeClr w14:val="tx1"/>
            </w14:solidFill>
          </w14:textFill>
        </w:rPr>
        <w:t>为本采购项目的</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包提供整体设计、规范编制或者项目管理、监理、检测等服务的供应商</w:t>
      </w:r>
      <w:r>
        <w:rPr>
          <w:rFonts w:hint="eastAsia" w:ascii="宋体" w:hAnsi="宋体" w:cs="宋体"/>
          <w:color w:val="000000" w:themeColor="text1"/>
          <w:kern w:val="1"/>
          <w:szCs w:val="21"/>
          <w14:textFill>
            <w14:solidFill>
              <w14:schemeClr w14:val="tx1"/>
            </w14:solidFill>
          </w14:textFill>
        </w:rPr>
        <w:t>。</w:t>
      </w:r>
    </w:p>
    <w:p>
      <w:pPr>
        <w:spacing w:line="360" w:lineRule="auto"/>
        <w:ind w:left="1" w:firstLine="372"/>
        <w:rPr>
          <w:rFonts w:ascii="宋体" w:hAnsi="宋体" w:cs="宋体"/>
          <w:color w:val="000000" w:themeColor="text1"/>
          <w:kern w:val="1"/>
          <w:szCs w:val="21"/>
          <w14:textFill>
            <w14:solidFill>
              <w14:schemeClr w14:val="tx1"/>
            </w14:solidFill>
          </w14:textFill>
        </w:rPr>
      </w:pPr>
    </w:p>
    <w:p>
      <w:pPr>
        <w:spacing w:line="360" w:lineRule="auto"/>
        <w:ind w:left="1" w:firstLine="372"/>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1"/>
          <w:szCs w:val="21"/>
          <w14:textFill>
            <w14:solidFill>
              <w14:schemeClr w14:val="tx1"/>
            </w14:solidFill>
          </w14:textFill>
        </w:rPr>
        <w:t>特此声明。</w:t>
      </w:r>
    </w:p>
    <w:p>
      <w:pPr>
        <w:pStyle w:val="20"/>
        <w:tabs>
          <w:tab w:val="left" w:pos="5580"/>
        </w:tabs>
        <w:spacing w:line="360" w:lineRule="auto"/>
        <w:rPr>
          <w:rFonts w:cs="宋体"/>
          <w:color w:val="000000" w:themeColor="text1"/>
          <w14:textFill>
            <w14:solidFill>
              <w14:schemeClr w14:val="tx1"/>
            </w14:solidFill>
          </w14:textFill>
        </w:rPr>
      </w:pPr>
    </w:p>
    <w:p>
      <w:pPr>
        <w:pStyle w:val="20"/>
        <w:spacing w:line="360" w:lineRule="auto"/>
        <w:rPr>
          <w:rFonts w:cs="宋体"/>
          <w:color w:val="000000" w:themeColor="text1"/>
          <w:szCs w:val="21"/>
          <w14:textFill>
            <w14:solidFill>
              <w14:schemeClr w14:val="tx1"/>
            </w14:solidFill>
          </w14:textFill>
        </w:rPr>
      </w:pPr>
    </w:p>
    <w:p>
      <w:pPr>
        <w:pStyle w:val="20"/>
        <w:spacing w:line="360" w:lineRule="auto"/>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供应商(盖章)：__________________________________</w:t>
      </w:r>
    </w:p>
    <w:p>
      <w:pPr>
        <w:pStyle w:val="20"/>
        <w:spacing w:line="360" w:lineRule="auto"/>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供应商授权代表签字：____________________________</w:t>
      </w:r>
    </w:p>
    <w:p>
      <w:pPr>
        <w:pStyle w:val="20"/>
        <w:spacing w:line="360" w:lineRule="auto"/>
        <w:ind w:right="147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日期：__________________________________________</w:t>
      </w: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ind w:left="843" w:hanging="843" w:hangingChars="400"/>
        <w:jc w:val="left"/>
        <w:rPr>
          <w:rFonts w:ascii="宋体" w:hAnsi="宋体"/>
          <w:b/>
          <w:color w:val="000000" w:themeColor="text1"/>
          <w:szCs w:val="21"/>
          <w14:textFill>
            <w14:solidFill>
              <w14:schemeClr w14:val="tx1"/>
            </w14:solidFill>
          </w14:textFill>
        </w:rPr>
      </w:pPr>
    </w:p>
    <w:p>
      <w:pPr>
        <w:spacing w:line="360" w:lineRule="auto"/>
        <w:jc w:val="left"/>
        <w:rPr>
          <w:rFonts w:ascii="宋体" w:hAnsi="宋体"/>
          <w:b/>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（2）供应商相关单位一览表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7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2" w:type="dxa"/>
            <w:gridSpan w:val="2"/>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和供应商的负责人为同一人的其他单位名称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788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c>
          <w:tcPr>
            <w:tcW w:w="7880" w:type="dxa"/>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c>
          <w:tcPr>
            <w:tcW w:w="7880" w:type="dxa"/>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c>
          <w:tcPr>
            <w:tcW w:w="7880" w:type="dxa"/>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2" w:type="dxa"/>
            <w:gridSpan w:val="2"/>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和供应商存在直接控股、管理关系的其他单位名称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788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c>
          <w:tcPr>
            <w:tcW w:w="7880" w:type="dxa"/>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c>
          <w:tcPr>
            <w:tcW w:w="7880" w:type="dxa"/>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2" w:type="dxa"/>
            <w:vAlign w:val="center"/>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c>
          <w:tcPr>
            <w:tcW w:w="7880" w:type="dxa"/>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p>
        </w:tc>
      </w:tr>
    </w:tbl>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注1：如供应商没有表中列示的相关单位，请填写“无”。</w:t>
      </w:r>
    </w:p>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注2：单位负责人是指单位法定代表人或者法律、行政法规规定代表单位行使职权的主要负责人。</w:t>
      </w:r>
    </w:p>
    <w:p>
      <w:pPr>
        <w:spacing w:line="360" w:lineRule="auto"/>
        <w:ind w:left="525" w:hanging="525" w:hangingChars="25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注3：控股关系是指单位或个人股东的控股关系，管理关系是指不具有出资持股关系的其他单位之间存在的管理与被管理关系。</w:t>
      </w:r>
    </w:p>
    <w:p>
      <w:pPr>
        <w:spacing w:line="360" w:lineRule="auto"/>
        <w:ind w:left="1285" w:leftChars="312" w:hanging="630" w:hangingChars="300"/>
        <w:jc w:val="left"/>
        <w:rPr>
          <w:rFonts w:ascii="仿宋" w:hAnsi="仿宋" w:eastAsia="仿宋"/>
          <w:color w:val="000000" w:themeColor="text1"/>
          <w:szCs w:val="21"/>
          <w14:textFill>
            <w14:solidFill>
              <w14:schemeClr w14:val="tx1"/>
            </w14:solidFill>
          </w14:textFill>
        </w:rPr>
      </w:pPr>
    </w:p>
    <w:p>
      <w:pPr>
        <w:autoSpaceDE w:val="0"/>
        <w:autoSpaceDN w:val="0"/>
        <w:adjustRightInd w:val="0"/>
        <w:snapToGrid w:val="0"/>
        <w:spacing w:before="25" w:after="25" w:line="360" w:lineRule="auto"/>
        <w:rPr>
          <w:rFonts w:ascii="Arial" w:hAnsi="Arial" w:cs="Arial"/>
          <w:color w:val="000000" w:themeColor="text1"/>
          <w:szCs w:val="21"/>
          <w14:textFill>
            <w14:solidFill>
              <w14:schemeClr w14:val="tx1"/>
            </w14:solidFill>
          </w14:textFill>
        </w:rPr>
      </w:pPr>
    </w:p>
    <w:p>
      <w:pPr>
        <w:autoSpaceDE w:val="0"/>
        <w:autoSpaceDN w:val="0"/>
        <w:adjustRightInd w:val="0"/>
        <w:snapToGrid w:val="0"/>
        <w:spacing w:before="25" w:after="25" w:line="360" w:lineRule="auto"/>
        <w:rPr>
          <w:color w:val="000000" w:themeColor="text1"/>
          <w:lang w:val="zh-CN"/>
          <w14:textFill>
            <w14:solidFill>
              <w14:schemeClr w14:val="tx1"/>
            </w14:solidFill>
          </w14:textFill>
        </w:rPr>
      </w:pPr>
      <w:r>
        <w:rPr>
          <w:rFonts w:hint="eastAsia" w:ascii="Arial" w:hAnsi="Arial" w:cs="Arial"/>
          <w:color w:val="000000" w:themeColor="text1"/>
          <w:szCs w:val="21"/>
          <w14:textFill>
            <w14:solidFill>
              <w14:schemeClr w14:val="tx1"/>
            </w14:solidFill>
          </w14:textFill>
        </w:rPr>
        <w:t>供应商名称（公章）：</w:t>
      </w:r>
      <w:r>
        <w:rPr>
          <w:rFonts w:ascii="Arial" w:hAnsi="Arial" w:cs="Arial"/>
          <w:color w:val="000000" w:themeColor="text1"/>
          <w:szCs w:val="21"/>
          <w:u w:val="single"/>
          <w14:textFill>
            <w14:solidFill>
              <w14:schemeClr w14:val="tx1"/>
            </w14:solidFill>
          </w14:textFill>
        </w:rPr>
        <w:tab/>
      </w:r>
      <w:r>
        <w:rPr>
          <w:rFonts w:ascii="Arial" w:hAnsi="Arial" w:cs="Arial"/>
          <w:color w:val="000000" w:themeColor="text1"/>
          <w:szCs w:val="21"/>
          <w:u w:val="single"/>
          <w14:textFill>
            <w14:solidFill>
              <w14:schemeClr w14:val="tx1"/>
            </w14:solidFill>
          </w14:textFill>
        </w:rPr>
        <w:t xml:space="preserve">                 </w:t>
      </w:r>
      <w:r>
        <w:rPr>
          <w:rFonts w:hint="eastAsia"/>
          <w:color w:val="000000" w:themeColor="text1"/>
          <w:lang w:val="zh-CN"/>
          <w14:textFill>
            <w14:solidFill>
              <w14:schemeClr w14:val="tx1"/>
            </w14:solidFill>
          </w14:textFill>
        </w:rPr>
        <w:t xml:space="preserve"> </w:t>
      </w:r>
    </w:p>
    <w:p>
      <w:pPr>
        <w:autoSpaceDE w:val="0"/>
        <w:autoSpaceDN w:val="0"/>
        <w:adjustRightInd w:val="0"/>
        <w:snapToGrid w:val="0"/>
        <w:spacing w:before="25" w:after="25" w:line="360" w:lineRule="auto"/>
        <w:rPr>
          <w:color w:val="000000" w:themeColor="text1"/>
          <w:lang w:val="zh-CN"/>
          <w14:textFill>
            <w14:solidFill>
              <w14:schemeClr w14:val="tx1"/>
            </w14:solidFill>
          </w14:textFill>
        </w:rPr>
      </w:pPr>
      <w:r>
        <w:rPr>
          <w:rFonts w:hint="eastAsia" w:ascii="Arial" w:hAnsi="Arial" w:cs="Arial"/>
          <w:color w:val="000000" w:themeColor="text1"/>
          <w:szCs w:val="21"/>
          <w14:textFill>
            <w14:solidFill>
              <w14:schemeClr w14:val="tx1"/>
            </w14:solidFill>
          </w14:textFill>
        </w:rPr>
        <w:t>授权代表签字：</w:t>
      </w:r>
      <w:r>
        <w:rPr>
          <w:rFonts w:ascii="Arial" w:hAnsi="Arial" w:cs="Arial"/>
          <w:color w:val="000000" w:themeColor="text1"/>
          <w:szCs w:val="21"/>
          <w14:textFill>
            <w14:solidFill>
              <w14:schemeClr w14:val="tx1"/>
            </w14:solidFill>
          </w14:textFill>
        </w:rPr>
        <w:t>____________________</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______</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______</w:t>
      </w:r>
      <w:r>
        <w:rPr>
          <w:rFonts w:hint="eastAsia"/>
          <w:color w:val="000000" w:themeColor="text1"/>
          <w14:textFill>
            <w14:solidFill>
              <w14:schemeClr w14:val="tx1"/>
            </w14:solidFill>
          </w14:textFill>
        </w:rPr>
        <w:t>日</w:t>
      </w:r>
    </w:p>
    <w:p>
      <w:pPr>
        <w:tabs>
          <w:tab w:val="left" w:pos="5580"/>
        </w:tabs>
        <w:spacing w:before="120" w:line="360" w:lineRule="auto"/>
        <w:rPr>
          <w:color w:val="000000" w:themeColor="text1"/>
          <w:szCs w:val="21"/>
          <w14:textFill>
            <w14:solidFill>
              <w14:schemeClr w14:val="tx1"/>
            </w14:solidFill>
          </w14:textFill>
        </w:rPr>
      </w:pPr>
    </w:p>
    <w:p>
      <w:pPr>
        <w:tabs>
          <w:tab w:val="left" w:pos="5580"/>
        </w:tabs>
        <w:spacing w:before="120" w:line="360" w:lineRule="auto"/>
        <w:rPr>
          <w:color w:val="000000" w:themeColor="text1"/>
          <w:sz w:val="24"/>
          <w14:textFill>
            <w14:solidFill>
              <w14:schemeClr w14:val="tx1"/>
            </w14:solidFill>
          </w14:textFill>
        </w:rPr>
      </w:pPr>
    </w:p>
    <w:p>
      <w:pPr>
        <w:tabs>
          <w:tab w:val="left" w:pos="5580"/>
        </w:tabs>
        <w:spacing w:before="120" w:line="360" w:lineRule="auto"/>
        <w:rPr>
          <w:color w:val="000000" w:themeColor="text1"/>
          <w:sz w:val="24"/>
          <w14:textFill>
            <w14:solidFill>
              <w14:schemeClr w14:val="tx1"/>
            </w14:solidFill>
          </w14:textFill>
        </w:rPr>
      </w:pPr>
    </w:p>
    <w:p>
      <w:pPr>
        <w:tabs>
          <w:tab w:val="left" w:pos="5580"/>
        </w:tabs>
        <w:spacing w:before="120" w:line="360" w:lineRule="auto"/>
        <w:rPr>
          <w:color w:val="000000" w:themeColor="text1"/>
          <w:sz w:val="24"/>
          <w14:textFill>
            <w14:solidFill>
              <w14:schemeClr w14:val="tx1"/>
            </w14:solidFill>
          </w14:textFill>
        </w:rPr>
      </w:pPr>
    </w:p>
    <w:p>
      <w:pPr>
        <w:tabs>
          <w:tab w:val="left" w:pos="5580"/>
        </w:tabs>
        <w:spacing w:before="120" w:line="360" w:lineRule="auto"/>
        <w:rPr>
          <w:color w:val="000000" w:themeColor="text1"/>
          <w:sz w:val="24"/>
          <w14:textFill>
            <w14:solidFill>
              <w14:schemeClr w14:val="tx1"/>
            </w14:solidFill>
          </w14:textFill>
        </w:rPr>
      </w:pPr>
    </w:p>
    <w:p>
      <w:pPr>
        <w:widowControl/>
        <w:jc w:val="left"/>
        <w:rPr>
          <w:rFonts w:ascii="宋体" w:cs="宋体"/>
          <w:b/>
          <w:bCs/>
          <w:kern w:val="0"/>
          <w:sz w:val="24"/>
        </w:rPr>
      </w:pPr>
      <w:r>
        <w:rPr>
          <w:rFonts w:ascii="宋体" w:cs="宋体"/>
          <w:b/>
          <w:bCs/>
          <w:kern w:val="0"/>
          <w:sz w:val="24"/>
        </w:rPr>
        <w:br w:type="page"/>
      </w:r>
    </w:p>
    <w:p>
      <w:pPr>
        <w:autoSpaceDE w:val="0"/>
        <w:autoSpaceDN w:val="0"/>
        <w:adjustRightInd w:val="0"/>
        <w:spacing w:line="720" w:lineRule="auto"/>
        <w:jc w:val="center"/>
        <w:rPr>
          <w:rFonts w:ascii="宋体" w:cs="宋体"/>
          <w:b/>
          <w:bCs/>
          <w:kern w:val="0"/>
          <w:sz w:val="24"/>
        </w:rPr>
      </w:pPr>
      <w:r>
        <w:rPr>
          <w:rFonts w:hint="eastAsia" w:ascii="宋体" w:cs="宋体"/>
          <w:b/>
          <w:bCs/>
          <w:kern w:val="0"/>
          <w:sz w:val="24"/>
        </w:rPr>
        <w:t>（3）中小企业声明函（货物）</w:t>
      </w:r>
    </w:p>
    <w:p>
      <w:pPr>
        <w:autoSpaceDE w:val="0"/>
        <w:autoSpaceDN w:val="0"/>
        <w:adjustRightInd w:val="0"/>
        <w:spacing w:line="360" w:lineRule="auto"/>
        <w:ind w:firstLine="420" w:firstLineChars="200"/>
        <w:jc w:val="left"/>
        <w:rPr>
          <w:rFonts w:ascii="宋体" w:hAnsi="宋体" w:cs="仿宋"/>
          <w:kern w:val="0"/>
          <w:szCs w:val="21"/>
        </w:rPr>
      </w:pPr>
      <w:r>
        <w:rPr>
          <w:rFonts w:hint="eastAsia" w:ascii="宋体" w:hAnsi="宋体" w:cs="仿宋"/>
          <w:kern w:val="0"/>
          <w:szCs w:val="21"/>
        </w:rPr>
        <w:t>本公司（联合体）郑重声明，根据《政府采购促进中小企业发展管理办法》（财库</w:t>
      </w:r>
      <w:r>
        <w:rPr>
          <w:rFonts w:hint="eastAsia" w:ascii="宋体" w:hAnsi="宋体" w:cs="宋体"/>
          <w:kern w:val="0"/>
          <w:szCs w:val="21"/>
        </w:rPr>
        <w:t>﹝</w:t>
      </w:r>
      <w:r>
        <w:rPr>
          <w:rFonts w:ascii="宋体" w:hAnsi="宋体" w:cs="仿宋"/>
          <w:kern w:val="0"/>
          <w:szCs w:val="21"/>
        </w:rPr>
        <w:t>2020</w:t>
      </w:r>
      <w:r>
        <w:rPr>
          <w:rFonts w:hint="eastAsia" w:ascii="宋体" w:hAnsi="宋体" w:cs="宋体"/>
          <w:kern w:val="0"/>
          <w:szCs w:val="21"/>
        </w:rPr>
        <w:t>﹞</w:t>
      </w:r>
      <w:r>
        <w:rPr>
          <w:rFonts w:ascii="宋体" w:hAnsi="宋体" w:cs="仿宋"/>
          <w:kern w:val="0"/>
          <w:szCs w:val="21"/>
        </w:rPr>
        <w:t xml:space="preserve">46 </w:t>
      </w:r>
      <w:r>
        <w:rPr>
          <w:rFonts w:hint="eastAsia" w:ascii="宋体" w:hAnsi="宋体" w:cs="仿宋"/>
          <w:kern w:val="0"/>
          <w:szCs w:val="21"/>
        </w:rPr>
        <w:t>号）的规定，本公司（联合体）参加</w:t>
      </w:r>
      <w:r>
        <w:rPr>
          <w:rFonts w:hint="eastAsia" w:ascii="宋体" w:hAnsi="宋体" w:cs="仿宋"/>
          <w:i/>
          <w:iCs/>
          <w:kern w:val="0"/>
          <w:szCs w:val="21"/>
          <w:u w:val="single"/>
        </w:rPr>
        <w:t>（单位名称）</w:t>
      </w:r>
      <w:r>
        <w:rPr>
          <w:rFonts w:hint="eastAsia" w:ascii="宋体" w:hAnsi="宋体" w:cs="仿宋"/>
          <w:kern w:val="0"/>
          <w:szCs w:val="21"/>
        </w:rPr>
        <w:t>的</w:t>
      </w:r>
      <w:r>
        <w:rPr>
          <w:rFonts w:hint="eastAsia" w:ascii="宋体" w:hAnsi="宋体" w:cs="仿宋"/>
          <w:i/>
          <w:iCs/>
          <w:kern w:val="0"/>
          <w:szCs w:val="21"/>
          <w:u w:val="single"/>
        </w:rPr>
        <w:t>（项目名称）</w:t>
      </w:r>
      <w:r>
        <w:rPr>
          <w:rFonts w:hint="eastAsia" w:ascii="宋体" w:hAnsi="宋体" w:cs="仿宋"/>
          <w:kern w:val="0"/>
          <w:szCs w:val="21"/>
        </w:rPr>
        <w:t>采购活动，提供的货物全部由符合政策要求的中小企业制造。相关企业（含联合体中的中小企业、签订分包意向协议的中小企业）的具体情况如下：</w:t>
      </w:r>
    </w:p>
    <w:p>
      <w:pPr>
        <w:autoSpaceDE w:val="0"/>
        <w:autoSpaceDN w:val="0"/>
        <w:adjustRightInd w:val="0"/>
        <w:spacing w:line="360" w:lineRule="auto"/>
        <w:ind w:firstLine="371" w:firstLineChars="177"/>
        <w:jc w:val="left"/>
        <w:rPr>
          <w:rFonts w:ascii="宋体" w:hAnsi="宋体" w:cs="仿宋"/>
          <w:kern w:val="0"/>
          <w:szCs w:val="21"/>
        </w:rPr>
      </w:pPr>
      <w:r>
        <w:rPr>
          <w:rFonts w:ascii="宋体" w:hAnsi="宋体" w:cs="仿宋"/>
          <w:kern w:val="0"/>
          <w:szCs w:val="21"/>
        </w:rPr>
        <w:t>1.</w:t>
      </w:r>
      <w:r>
        <w:rPr>
          <w:rFonts w:ascii="宋体" w:hAnsi="宋体" w:cs="仿宋"/>
          <w:kern w:val="0"/>
          <w:szCs w:val="21"/>
          <w:u w:val="single"/>
        </w:rPr>
        <w:t xml:space="preserve"> </w:t>
      </w:r>
      <w:r>
        <w:rPr>
          <w:rFonts w:hint="eastAsia" w:ascii="宋体" w:hAnsi="宋体" w:cs="仿宋"/>
          <w:i/>
          <w:iCs/>
          <w:kern w:val="0"/>
          <w:szCs w:val="21"/>
          <w:u w:val="single"/>
        </w:rPr>
        <w:t>（标的名称）</w:t>
      </w:r>
      <w:r>
        <w:rPr>
          <w:rFonts w:ascii="宋体" w:hAnsi="宋体" w:cs="仿宋"/>
          <w:i/>
          <w:iCs/>
          <w:kern w:val="0"/>
          <w:szCs w:val="21"/>
          <w:u w:val="single"/>
        </w:rPr>
        <w:t xml:space="preserve"> </w:t>
      </w:r>
      <w:r>
        <w:rPr>
          <w:rFonts w:hint="eastAsia" w:ascii="宋体" w:hAnsi="宋体" w:cs="仿宋"/>
          <w:kern w:val="0"/>
          <w:szCs w:val="21"/>
        </w:rPr>
        <w:t>，属于</w:t>
      </w:r>
      <w:r>
        <w:rPr>
          <w:rFonts w:hint="eastAsia" w:ascii="宋体" w:hAnsi="宋体" w:cs="仿宋"/>
          <w:i/>
          <w:iCs/>
          <w:kern w:val="0"/>
          <w:szCs w:val="21"/>
          <w:u w:val="single"/>
        </w:rPr>
        <w:t>（工业）</w:t>
      </w:r>
      <w:r>
        <w:rPr>
          <w:rFonts w:hint="eastAsia" w:ascii="宋体" w:hAnsi="宋体" w:cs="仿宋"/>
          <w:kern w:val="0"/>
          <w:szCs w:val="21"/>
          <w:u w:val="single"/>
        </w:rPr>
        <w:t>行业</w:t>
      </w:r>
      <w:r>
        <w:rPr>
          <w:rFonts w:hint="eastAsia" w:ascii="宋体" w:hAnsi="宋体" w:cs="仿宋"/>
          <w:kern w:val="0"/>
          <w:szCs w:val="21"/>
        </w:rPr>
        <w:t>；制造商为</w:t>
      </w:r>
      <w:r>
        <w:rPr>
          <w:rFonts w:hint="eastAsia" w:ascii="宋体" w:hAnsi="宋体" w:cs="仿宋"/>
          <w:i/>
          <w:iCs/>
          <w:kern w:val="0"/>
          <w:szCs w:val="21"/>
          <w:u w:val="single"/>
        </w:rPr>
        <w:t>（企业名称）</w:t>
      </w:r>
      <w:r>
        <w:rPr>
          <w:rFonts w:hint="eastAsia" w:ascii="宋体" w:hAnsi="宋体" w:cs="仿宋"/>
          <w:kern w:val="0"/>
          <w:szCs w:val="21"/>
        </w:rPr>
        <w:t>，从业人员</w:t>
      </w:r>
      <w:r>
        <w:rPr>
          <w:rFonts w:hint="eastAsia" w:ascii="宋体" w:hAnsi="宋体" w:cs="仿宋"/>
          <w:kern w:val="0"/>
          <w:szCs w:val="21"/>
          <w:u w:val="single"/>
        </w:rPr>
        <w:t xml:space="preserve"> </w:t>
      </w:r>
      <w:r>
        <w:rPr>
          <w:rFonts w:ascii="宋体" w:hAnsi="宋体" w:cs="仿宋"/>
          <w:kern w:val="0"/>
          <w:szCs w:val="21"/>
          <w:u w:val="single"/>
        </w:rPr>
        <w:t xml:space="preserve">   </w:t>
      </w:r>
      <w:r>
        <w:rPr>
          <w:rFonts w:hint="eastAsia" w:ascii="宋体" w:hAnsi="宋体" w:cs="仿宋"/>
          <w:kern w:val="0"/>
          <w:szCs w:val="21"/>
        </w:rPr>
        <w:t>人，营业收入为</w:t>
      </w:r>
      <w:r>
        <w:rPr>
          <w:rFonts w:hint="eastAsia" w:ascii="宋体" w:hAnsi="宋体" w:cs="仿宋"/>
          <w:kern w:val="0"/>
          <w:szCs w:val="21"/>
          <w:u w:val="single"/>
        </w:rPr>
        <w:t xml:space="preserve"> </w:t>
      </w:r>
      <w:r>
        <w:rPr>
          <w:rFonts w:ascii="宋体" w:hAnsi="宋体" w:cs="仿宋"/>
          <w:kern w:val="0"/>
          <w:szCs w:val="21"/>
          <w:u w:val="single"/>
        </w:rPr>
        <w:t xml:space="preserve">    </w:t>
      </w:r>
      <w:r>
        <w:rPr>
          <w:rFonts w:hint="eastAsia" w:ascii="宋体" w:hAnsi="宋体" w:cs="仿宋"/>
          <w:kern w:val="0"/>
          <w:szCs w:val="21"/>
        </w:rPr>
        <w:t>万元，资产总额为</w:t>
      </w:r>
      <w:r>
        <w:rPr>
          <w:rFonts w:hint="eastAsia" w:ascii="宋体" w:hAnsi="宋体" w:cs="仿宋"/>
          <w:kern w:val="0"/>
          <w:szCs w:val="21"/>
          <w:u w:val="single"/>
        </w:rPr>
        <w:t xml:space="preserve"> </w:t>
      </w:r>
      <w:r>
        <w:rPr>
          <w:rFonts w:ascii="宋体" w:hAnsi="宋体" w:cs="仿宋"/>
          <w:kern w:val="0"/>
          <w:szCs w:val="21"/>
          <w:u w:val="single"/>
        </w:rPr>
        <w:t xml:space="preserve">     </w:t>
      </w:r>
      <w:r>
        <w:rPr>
          <w:rFonts w:hint="eastAsia" w:ascii="宋体" w:hAnsi="宋体" w:cs="仿宋"/>
          <w:kern w:val="0"/>
          <w:szCs w:val="21"/>
        </w:rPr>
        <w:t>万元</w:t>
      </w:r>
      <w:r>
        <w:rPr>
          <w:rFonts w:ascii="宋体" w:hAnsi="宋体" w:cs="仿宋"/>
          <w:kern w:val="0"/>
          <w:szCs w:val="21"/>
          <w:vertAlign w:val="superscript"/>
        </w:rPr>
        <w:t>1</w:t>
      </w:r>
      <w:r>
        <w:rPr>
          <w:rFonts w:hint="eastAsia" w:ascii="宋体" w:hAnsi="宋体" w:cs="仿宋"/>
          <w:kern w:val="0"/>
          <w:szCs w:val="21"/>
        </w:rPr>
        <w:t>，属于</w:t>
      </w:r>
      <w:r>
        <w:rPr>
          <w:rFonts w:hint="eastAsia" w:ascii="宋体" w:hAnsi="宋体" w:cs="仿宋"/>
          <w:i/>
          <w:iCs/>
          <w:kern w:val="0"/>
          <w:szCs w:val="21"/>
          <w:u w:val="single"/>
        </w:rPr>
        <w:t>（中型企业、小型企业、微型企业）</w:t>
      </w:r>
      <w:r>
        <w:rPr>
          <w:rFonts w:hint="eastAsia" w:ascii="宋体" w:hAnsi="宋体" w:cs="仿宋"/>
          <w:kern w:val="0"/>
          <w:szCs w:val="21"/>
        </w:rPr>
        <w:t>；</w:t>
      </w:r>
    </w:p>
    <w:p>
      <w:pPr>
        <w:autoSpaceDE w:val="0"/>
        <w:autoSpaceDN w:val="0"/>
        <w:adjustRightInd w:val="0"/>
        <w:spacing w:line="360" w:lineRule="auto"/>
        <w:ind w:firstLine="371" w:firstLineChars="177"/>
        <w:jc w:val="left"/>
        <w:rPr>
          <w:rFonts w:ascii="宋体" w:hAnsi="宋体" w:cs="仿宋"/>
          <w:kern w:val="0"/>
          <w:szCs w:val="21"/>
        </w:rPr>
      </w:pPr>
      <w:r>
        <w:rPr>
          <w:rFonts w:ascii="宋体" w:hAnsi="宋体" w:cs="仿宋"/>
          <w:kern w:val="0"/>
          <w:szCs w:val="21"/>
        </w:rPr>
        <w:t xml:space="preserve">2. </w:t>
      </w:r>
      <w:r>
        <w:rPr>
          <w:rFonts w:hint="eastAsia" w:ascii="宋体" w:hAnsi="宋体" w:cs="仿宋"/>
          <w:i/>
          <w:iCs/>
          <w:kern w:val="0"/>
          <w:szCs w:val="21"/>
          <w:u w:val="single"/>
        </w:rPr>
        <w:t>（标的名称）</w:t>
      </w:r>
      <w:r>
        <w:rPr>
          <w:rFonts w:ascii="宋体" w:hAnsi="宋体" w:cs="仿宋"/>
          <w:kern w:val="0"/>
          <w:szCs w:val="21"/>
          <w:u w:val="single"/>
        </w:rPr>
        <w:t xml:space="preserve"> </w:t>
      </w:r>
      <w:r>
        <w:rPr>
          <w:rFonts w:hint="eastAsia" w:ascii="宋体" w:hAnsi="宋体" w:cs="仿宋"/>
          <w:kern w:val="0"/>
          <w:szCs w:val="21"/>
        </w:rPr>
        <w:t>，属于</w:t>
      </w:r>
      <w:r>
        <w:rPr>
          <w:rFonts w:hint="eastAsia" w:ascii="宋体" w:hAnsi="宋体" w:cs="仿宋"/>
          <w:i/>
          <w:iCs/>
          <w:kern w:val="0"/>
          <w:szCs w:val="21"/>
          <w:u w:val="single"/>
        </w:rPr>
        <w:t>（工业）</w:t>
      </w:r>
      <w:r>
        <w:rPr>
          <w:rFonts w:hint="eastAsia" w:ascii="宋体" w:hAnsi="宋体" w:cs="仿宋"/>
          <w:kern w:val="0"/>
          <w:szCs w:val="21"/>
          <w:u w:val="single"/>
        </w:rPr>
        <w:t>行业</w:t>
      </w:r>
      <w:r>
        <w:rPr>
          <w:rFonts w:hint="eastAsia" w:ascii="宋体" w:hAnsi="宋体" w:cs="仿宋"/>
          <w:kern w:val="0"/>
          <w:szCs w:val="21"/>
        </w:rPr>
        <w:t>；制造商为</w:t>
      </w:r>
      <w:r>
        <w:rPr>
          <w:rFonts w:hint="eastAsia" w:ascii="宋体" w:hAnsi="宋体" w:cs="仿宋"/>
          <w:i/>
          <w:iCs/>
          <w:kern w:val="0"/>
          <w:szCs w:val="21"/>
          <w:u w:val="single"/>
        </w:rPr>
        <w:t>（企业名称）</w:t>
      </w:r>
      <w:r>
        <w:rPr>
          <w:rFonts w:hint="eastAsia" w:ascii="宋体" w:hAnsi="宋体" w:cs="仿宋"/>
          <w:kern w:val="0"/>
          <w:szCs w:val="21"/>
        </w:rPr>
        <w:t>，从业人员</w:t>
      </w:r>
      <w:r>
        <w:rPr>
          <w:rFonts w:hint="eastAsia" w:ascii="宋体" w:hAnsi="宋体" w:cs="仿宋"/>
          <w:kern w:val="0"/>
          <w:szCs w:val="21"/>
          <w:u w:val="single"/>
        </w:rPr>
        <w:t xml:space="preserve"> </w:t>
      </w:r>
      <w:r>
        <w:rPr>
          <w:rFonts w:ascii="宋体" w:hAnsi="宋体" w:cs="仿宋"/>
          <w:kern w:val="0"/>
          <w:szCs w:val="21"/>
          <w:u w:val="single"/>
        </w:rPr>
        <w:t xml:space="preserve">   </w:t>
      </w:r>
      <w:r>
        <w:rPr>
          <w:rFonts w:hint="eastAsia" w:ascii="宋体" w:hAnsi="宋体" w:cs="仿宋"/>
          <w:kern w:val="0"/>
          <w:szCs w:val="21"/>
        </w:rPr>
        <w:t>人，营业收入为</w:t>
      </w:r>
      <w:r>
        <w:rPr>
          <w:rFonts w:hint="eastAsia" w:ascii="宋体" w:hAnsi="宋体" w:cs="仿宋"/>
          <w:kern w:val="0"/>
          <w:szCs w:val="21"/>
          <w:u w:val="single"/>
        </w:rPr>
        <w:t xml:space="preserve"> </w:t>
      </w:r>
      <w:r>
        <w:rPr>
          <w:rFonts w:ascii="宋体" w:hAnsi="宋体" w:cs="仿宋"/>
          <w:kern w:val="0"/>
          <w:szCs w:val="21"/>
          <w:u w:val="single"/>
        </w:rPr>
        <w:t xml:space="preserve">  </w:t>
      </w:r>
      <w:r>
        <w:rPr>
          <w:rFonts w:hint="eastAsia" w:ascii="宋体" w:hAnsi="宋体" w:cs="仿宋"/>
          <w:kern w:val="0"/>
          <w:szCs w:val="21"/>
        </w:rPr>
        <w:t>万元，资产总额为</w:t>
      </w:r>
      <w:r>
        <w:rPr>
          <w:rFonts w:hint="eastAsia" w:ascii="宋体" w:hAnsi="宋体" w:cs="仿宋"/>
          <w:kern w:val="0"/>
          <w:szCs w:val="21"/>
          <w:u w:val="single"/>
        </w:rPr>
        <w:t xml:space="preserve"> </w:t>
      </w:r>
      <w:r>
        <w:rPr>
          <w:rFonts w:ascii="宋体" w:hAnsi="宋体" w:cs="仿宋"/>
          <w:kern w:val="0"/>
          <w:szCs w:val="21"/>
          <w:u w:val="single"/>
        </w:rPr>
        <w:t xml:space="preserve">   </w:t>
      </w:r>
      <w:r>
        <w:rPr>
          <w:rFonts w:hint="eastAsia" w:ascii="宋体" w:hAnsi="宋体" w:cs="仿宋"/>
          <w:kern w:val="0"/>
          <w:szCs w:val="21"/>
        </w:rPr>
        <w:t>万元，属于</w:t>
      </w:r>
      <w:r>
        <w:rPr>
          <w:rFonts w:hint="eastAsia" w:ascii="宋体" w:hAnsi="宋体" w:cs="仿宋"/>
          <w:i/>
          <w:iCs/>
          <w:kern w:val="0"/>
          <w:szCs w:val="21"/>
          <w:u w:val="single"/>
        </w:rPr>
        <w:t>（中型企业、小型企业、微型企业）</w:t>
      </w:r>
      <w:r>
        <w:rPr>
          <w:rFonts w:hint="eastAsia" w:ascii="宋体" w:hAnsi="宋体" w:cs="仿宋"/>
          <w:kern w:val="0"/>
          <w:szCs w:val="21"/>
        </w:rPr>
        <w:t>；</w:t>
      </w:r>
    </w:p>
    <w:p>
      <w:pPr>
        <w:autoSpaceDE w:val="0"/>
        <w:autoSpaceDN w:val="0"/>
        <w:adjustRightInd w:val="0"/>
        <w:spacing w:line="360" w:lineRule="auto"/>
        <w:ind w:firstLine="371" w:firstLineChars="177"/>
        <w:jc w:val="left"/>
        <w:rPr>
          <w:rFonts w:ascii="宋体" w:hAnsi="宋体" w:cs="仿宋"/>
          <w:kern w:val="0"/>
          <w:szCs w:val="21"/>
        </w:rPr>
      </w:pPr>
      <w:r>
        <w:rPr>
          <w:rFonts w:hint="eastAsia" w:ascii="宋体" w:hAnsi="宋体" w:cs="仿宋"/>
          <w:kern w:val="0"/>
          <w:szCs w:val="21"/>
        </w:rPr>
        <w:t>……</w:t>
      </w:r>
    </w:p>
    <w:p>
      <w:pPr>
        <w:autoSpaceDE w:val="0"/>
        <w:autoSpaceDN w:val="0"/>
        <w:adjustRightInd w:val="0"/>
        <w:spacing w:line="360" w:lineRule="auto"/>
        <w:ind w:firstLine="371" w:firstLineChars="177"/>
        <w:jc w:val="left"/>
        <w:rPr>
          <w:rFonts w:ascii="宋体" w:hAnsi="宋体" w:cs="仿宋"/>
          <w:kern w:val="0"/>
          <w:szCs w:val="21"/>
        </w:rPr>
      </w:pPr>
    </w:p>
    <w:p>
      <w:pPr>
        <w:autoSpaceDE w:val="0"/>
        <w:autoSpaceDN w:val="0"/>
        <w:adjustRightInd w:val="0"/>
        <w:spacing w:line="360" w:lineRule="auto"/>
        <w:ind w:firstLine="371" w:firstLineChars="177"/>
        <w:jc w:val="left"/>
        <w:rPr>
          <w:rFonts w:ascii="宋体" w:hAnsi="宋体" w:cs="仿宋"/>
          <w:kern w:val="0"/>
          <w:szCs w:val="21"/>
        </w:rPr>
      </w:pPr>
      <w:r>
        <w:rPr>
          <w:rFonts w:hint="eastAsia" w:ascii="宋体" w:hAnsi="宋体" w:cs="仿宋"/>
          <w:kern w:val="0"/>
          <w:szCs w:val="21"/>
        </w:rPr>
        <w:t>以上企业，不属于大企业的分支机构，不存在控股股东为大企业的情形，也不存在与大企业的负责人为同一人的情形。</w:t>
      </w:r>
    </w:p>
    <w:p>
      <w:pPr>
        <w:autoSpaceDE w:val="0"/>
        <w:autoSpaceDN w:val="0"/>
        <w:adjustRightInd w:val="0"/>
        <w:spacing w:line="360" w:lineRule="auto"/>
        <w:ind w:firstLine="371" w:firstLineChars="177"/>
        <w:jc w:val="left"/>
        <w:rPr>
          <w:rFonts w:ascii="宋体" w:hAnsi="宋体" w:cs="仿宋"/>
          <w:kern w:val="0"/>
          <w:szCs w:val="21"/>
        </w:rPr>
      </w:pPr>
      <w:r>
        <w:rPr>
          <w:rFonts w:hint="eastAsia" w:ascii="宋体" w:hAnsi="宋体" w:cs="仿宋"/>
          <w:kern w:val="0"/>
          <w:szCs w:val="21"/>
        </w:rPr>
        <w:t>本企业对上述声明内容的真实性负责。如有虚假，将依法承担相应责任。</w:t>
      </w:r>
    </w:p>
    <w:p>
      <w:pPr>
        <w:autoSpaceDE w:val="0"/>
        <w:autoSpaceDN w:val="0"/>
        <w:adjustRightInd w:val="0"/>
        <w:spacing w:line="360" w:lineRule="auto"/>
        <w:ind w:firstLine="4836" w:firstLineChars="2303"/>
        <w:jc w:val="left"/>
        <w:rPr>
          <w:rFonts w:ascii="宋体" w:hAnsi="宋体" w:cs="仿宋"/>
          <w:kern w:val="0"/>
          <w:szCs w:val="21"/>
        </w:rPr>
      </w:pPr>
    </w:p>
    <w:p>
      <w:pPr>
        <w:autoSpaceDE w:val="0"/>
        <w:autoSpaceDN w:val="0"/>
        <w:adjustRightInd w:val="0"/>
        <w:spacing w:line="360" w:lineRule="auto"/>
        <w:ind w:firstLine="4836" w:firstLineChars="2303"/>
        <w:jc w:val="left"/>
        <w:rPr>
          <w:rFonts w:ascii="宋体" w:hAnsi="宋体" w:cs="仿宋"/>
          <w:kern w:val="0"/>
          <w:szCs w:val="21"/>
        </w:rPr>
      </w:pPr>
      <w:r>
        <w:rPr>
          <w:rFonts w:hint="eastAsia" w:ascii="宋体" w:hAnsi="宋体" w:cs="仿宋"/>
          <w:kern w:val="0"/>
          <w:szCs w:val="21"/>
        </w:rPr>
        <w:t>企业名称（盖章）：</w:t>
      </w:r>
    </w:p>
    <w:p>
      <w:pPr>
        <w:autoSpaceDE w:val="0"/>
        <w:autoSpaceDN w:val="0"/>
        <w:adjustRightInd w:val="0"/>
        <w:spacing w:line="360" w:lineRule="auto"/>
        <w:ind w:firstLine="4836" w:firstLineChars="2303"/>
        <w:jc w:val="left"/>
        <w:rPr>
          <w:rFonts w:ascii="宋体" w:hAnsi="宋体" w:cs="仿宋"/>
          <w:kern w:val="0"/>
          <w:szCs w:val="21"/>
        </w:rPr>
      </w:pPr>
      <w:r>
        <w:rPr>
          <w:rFonts w:hint="eastAsia" w:ascii="宋体" w:hAnsi="宋体" w:cs="仿宋"/>
          <w:kern w:val="0"/>
          <w:szCs w:val="21"/>
        </w:rPr>
        <w:t>日期：</w:t>
      </w:r>
    </w:p>
    <w:p>
      <w:pPr>
        <w:jc w:val="left"/>
        <w:rPr>
          <w:rFonts w:ascii="宋体" w:hAnsi="宋体"/>
          <w:spacing w:val="6"/>
          <w:szCs w:val="21"/>
        </w:rPr>
      </w:pPr>
      <w:r>
        <w:rPr>
          <w:rFonts w:ascii="宋体" w:hAnsi="宋体" w:cs="TimesNewRomanPSMT"/>
          <w:kern w:val="0"/>
          <w:szCs w:val="21"/>
        </w:rPr>
        <w:pict>
          <v:rect id="_x0000_i1025" o:spt="1" style="height:1pt;width:166.55pt;" fillcolor="#A0A0A0" filled="t" stroked="f" coordsize="21600,21600" o:hr="t" o:hrstd="t" o:hrpct="401">
            <v:path/>
            <v:fill on="t" focussize="0,0"/>
            <v:stroke on="f"/>
            <v:imagedata o:title=""/>
            <o:lock v:ext="edit"/>
            <w10:wrap type="none"/>
            <w10:anchorlock/>
          </v:rect>
        </w:pict>
      </w:r>
      <w:r>
        <w:rPr>
          <w:rFonts w:ascii="宋体" w:hAnsi="宋体" w:cs="TimesNewRomanPSMT"/>
          <w:kern w:val="0"/>
          <w:szCs w:val="21"/>
          <w:vertAlign w:val="superscript"/>
        </w:rPr>
        <w:t>1</w:t>
      </w:r>
      <w:r>
        <w:rPr>
          <w:rFonts w:hint="eastAsia" w:ascii="宋体" w:hAnsi="宋体" w:cs="宋体"/>
          <w:kern w:val="0"/>
          <w:szCs w:val="21"/>
        </w:rPr>
        <w:t>从业人员、营业收入、资产总额填报上一年度数据，无上一年度数据的新成立企业可不填报。</w:t>
      </w:r>
      <w:r>
        <w:rPr>
          <w:rFonts w:ascii="宋体" w:hAnsi="宋体"/>
          <w:spacing w:val="6"/>
          <w:szCs w:val="21"/>
        </w:rPr>
        <w:t xml:space="preserve"> </w:t>
      </w:r>
    </w:p>
    <w:p>
      <w:pPr>
        <w:jc w:val="center"/>
        <w:rPr>
          <w:rFonts w:ascii="宋体" w:hAnsi="宋体"/>
          <w:spacing w:val="6"/>
          <w:sz w:val="24"/>
        </w:rPr>
      </w:pPr>
    </w:p>
    <w:p>
      <w:pPr>
        <w:widowControl/>
        <w:jc w:val="left"/>
        <w:rPr>
          <w:rFonts w:ascii="宋体" w:hAnsi="宋体" w:cs="仿宋"/>
          <w:color w:val="000000" w:themeColor="text1"/>
          <w:szCs w:val="21"/>
          <w14:textFill>
            <w14:solidFill>
              <w14:schemeClr w14:val="tx1"/>
            </w14:solidFill>
          </w14:textFill>
        </w:rPr>
      </w:pPr>
      <w:r>
        <w:rPr>
          <w:rFonts w:ascii="宋体" w:hAnsi="宋体" w:cs="仿宋"/>
          <w:color w:val="000000" w:themeColor="text1"/>
          <w:szCs w:val="21"/>
          <w14:textFill>
            <w14:solidFill>
              <w14:schemeClr w14:val="tx1"/>
            </w14:solidFill>
          </w14:textFill>
        </w:rPr>
        <w:br w:type="page"/>
      </w:r>
    </w:p>
    <w:p>
      <w:pPr>
        <w:autoSpaceDE w:val="0"/>
        <w:autoSpaceDN w:val="0"/>
        <w:adjustRightInd w:val="0"/>
        <w:spacing w:line="360" w:lineRule="auto"/>
        <w:jc w:val="center"/>
        <w:rPr>
          <w:rFonts w:ascii="宋体" w:hAnsi="宋体"/>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残疾人福利性单位声明函</w:t>
      </w:r>
    </w:p>
    <w:p>
      <w:pPr>
        <w:spacing w:line="588" w:lineRule="exact"/>
        <w:ind w:left="420" w:leftChars="200"/>
        <w:rPr>
          <w:rFonts w:ascii="宋体" w:hAnsi="宋体"/>
          <w:color w:val="000000" w:themeColor="text1"/>
          <w:spacing w:val="6"/>
          <w:szCs w:val="21"/>
          <w14:textFill>
            <w14:solidFill>
              <w14:schemeClr w14:val="tx1"/>
            </w14:solidFill>
          </w14:textFill>
        </w:rPr>
      </w:pPr>
      <w:r>
        <w:rPr>
          <w:rFonts w:hint="eastAsia" w:ascii="宋体" w:hAnsi="宋体"/>
          <w:color w:val="000000" w:themeColor="text1"/>
          <w:spacing w:val="6"/>
          <w:szCs w:val="21"/>
          <w14:textFill>
            <w14:solidFill>
              <w14:schemeClr w14:val="tx1"/>
            </w14:solidFill>
          </w14:textFill>
        </w:rPr>
        <w:t>本单位郑重声明，根据《财政部 民政部 中国残疾人联合会关于促进残疾人就业政府采购政策的通知》（财库</w:t>
      </w:r>
      <w:r>
        <w:rPr>
          <w:rFonts w:hint="eastAsia" w:ascii="宋体" w:hAnsi="宋体"/>
          <w:color w:val="000000" w:themeColor="text1"/>
          <w:szCs w:val="21"/>
          <w14:textFill>
            <w14:solidFill>
              <w14:schemeClr w14:val="tx1"/>
            </w14:solidFill>
          </w14:textFill>
        </w:rPr>
        <w:t>〔2017〕 141</w:t>
      </w:r>
      <w:r>
        <w:rPr>
          <w:rFonts w:hint="eastAsia" w:ascii="宋体" w:hAnsi="宋体"/>
          <w:color w:val="000000" w:themeColor="text1"/>
          <w:spacing w:val="6"/>
          <w:szCs w:val="21"/>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color w:val="000000" w:themeColor="text1"/>
          <w:spacing w:val="6"/>
          <w:szCs w:val="21"/>
          <w14:textFill>
            <w14:solidFill>
              <w14:schemeClr w14:val="tx1"/>
            </w14:solidFill>
          </w14:textFill>
        </w:rPr>
      </w:pPr>
      <w:r>
        <w:rPr>
          <w:rFonts w:hint="eastAsia" w:ascii="宋体" w:hAnsi="宋体"/>
          <w:color w:val="000000" w:themeColor="text1"/>
          <w:spacing w:val="6"/>
          <w:szCs w:val="21"/>
          <w14:textFill>
            <w14:solidFill>
              <w14:schemeClr w14:val="tx1"/>
            </w14:solidFill>
          </w14:textFill>
        </w:rPr>
        <w:t>本单位对上述声明的真实性负责。如有虚假，将依法承担相应责任。</w:t>
      </w:r>
    </w:p>
    <w:p>
      <w:pPr>
        <w:tabs>
          <w:tab w:val="left" w:pos="4860"/>
        </w:tabs>
        <w:spacing w:line="588" w:lineRule="exact"/>
        <w:ind w:right="1560" w:firstLine="444" w:firstLineChars="200"/>
        <w:jc w:val="center"/>
        <w:rPr>
          <w:rFonts w:ascii="宋体" w:hAnsi="宋体"/>
          <w:color w:val="000000" w:themeColor="text1"/>
          <w:spacing w:val="6"/>
          <w:szCs w:val="21"/>
          <w14:textFill>
            <w14:solidFill>
              <w14:schemeClr w14:val="tx1"/>
            </w14:solidFill>
          </w14:textFill>
        </w:rPr>
      </w:pPr>
      <w:r>
        <w:rPr>
          <w:rFonts w:hint="eastAsia" w:ascii="宋体" w:hAnsi="宋体"/>
          <w:color w:val="000000" w:themeColor="text1"/>
          <w:spacing w:val="6"/>
          <w:szCs w:val="21"/>
          <w14:textFill>
            <w14:solidFill>
              <w14:schemeClr w14:val="tx1"/>
            </w14:solidFill>
          </w14:textFill>
        </w:rPr>
        <w:t>单位名称（盖章）：</w:t>
      </w:r>
    </w:p>
    <w:p>
      <w:pPr>
        <w:tabs>
          <w:tab w:val="left" w:pos="4860"/>
        </w:tabs>
        <w:spacing w:line="588" w:lineRule="exact"/>
        <w:ind w:right="1560" w:firstLine="444" w:firstLineChars="200"/>
        <w:jc w:val="center"/>
        <w:rPr>
          <w:rFonts w:ascii="宋体" w:hAnsi="宋体"/>
          <w:color w:val="000000" w:themeColor="text1"/>
          <w:spacing w:val="6"/>
          <w:szCs w:val="21"/>
          <w14:textFill>
            <w14:solidFill>
              <w14:schemeClr w14:val="tx1"/>
            </w14:solidFill>
          </w14:textFill>
        </w:rPr>
      </w:pPr>
      <w:r>
        <w:rPr>
          <w:rFonts w:hint="eastAsia" w:ascii="宋体" w:hAnsi="宋体"/>
          <w:color w:val="000000" w:themeColor="text1"/>
          <w:spacing w:val="6"/>
          <w:szCs w:val="21"/>
          <w14:textFill>
            <w14:solidFill>
              <w14:schemeClr w14:val="tx1"/>
            </w14:solidFill>
          </w14:textFill>
        </w:rPr>
        <w:t>日  期：</w:t>
      </w:r>
    </w:p>
    <w:p>
      <w:pPr>
        <w:tabs>
          <w:tab w:val="left" w:pos="5580"/>
        </w:tabs>
        <w:spacing w:before="120" w:line="360" w:lineRule="auto"/>
        <w:rPr>
          <w:color w:val="000000" w:themeColor="text1"/>
          <w:sz w:val="24"/>
          <w14:textFill>
            <w14:solidFill>
              <w14:schemeClr w14:val="tx1"/>
            </w14:solidFill>
          </w14:textFill>
        </w:rPr>
      </w:pPr>
    </w:p>
    <w:p>
      <w:pPr>
        <w:tabs>
          <w:tab w:val="left" w:pos="5580"/>
        </w:tabs>
        <w:spacing w:before="120" w:line="360" w:lineRule="auto"/>
        <w:rPr>
          <w:color w:val="000000" w:themeColor="text1"/>
          <w:sz w:val="24"/>
          <w14:textFill>
            <w14:solidFill>
              <w14:schemeClr w14:val="tx1"/>
            </w14:solidFill>
          </w14:textFill>
        </w:rPr>
      </w:pPr>
    </w:p>
    <w:p>
      <w:pPr>
        <w:tabs>
          <w:tab w:val="left" w:pos="5580"/>
        </w:tabs>
        <w:spacing w:before="120" w:line="360" w:lineRule="auto"/>
        <w:rPr>
          <w:color w:val="000000" w:themeColor="text1"/>
          <w:sz w:val="24"/>
          <w14:textFill>
            <w14:solidFill>
              <w14:schemeClr w14:val="tx1"/>
            </w14:solidFill>
          </w14:textFill>
        </w:rPr>
      </w:pPr>
    </w:p>
    <w:p>
      <w:pPr>
        <w:tabs>
          <w:tab w:val="left" w:pos="5580"/>
        </w:tabs>
        <w:spacing w:before="120" w:line="360" w:lineRule="auto"/>
        <w:rPr>
          <w:color w:val="000000" w:themeColor="text1"/>
          <w:sz w:val="24"/>
          <w14:textFill>
            <w14:solidFill>
              <w14:schemeClr w14:val="tx1"/>
            </w14:solidFill>
          </w14:textFill>
        </w:rPr>
        <w:sectPr>
          <w:pgSz w:w="11907" w:h="16840"/>
          <w:pgMar w:top="1758" w:right="1701" w:bottom="1588" w:left="1259" w:header="851" w:footer="992" w:gutter="0"/>
          <w:cols w:space="720" w:num="1"/>
          <w:docGrid w:linePitch="312" w:charSpace="0"/>
        </w:sectPr>
      </w:pPr>
      <w:r>
        <w:rPr>
          <w:rFonts w:hint="eastAsia" w:ascii="宋体" w:hAnsi="宋体"/>
          <w:b/>
          <w:bCs/>
          <w:color w:val="000000" w:themeColor="text1"/>
          <w:szCs w:val="21"/>
          <w14:textFill>
            <w14:solidFill>
              <w14:schemeClr w14:val="tx1"/>
            </w14:solidFill>
          </w14:textFill>
        </w:rPr>
        <w:t>备注：本项目专门面向中小企业采购，根据《政府采购促进中小企业发展管理办法》（财库﹝2020﹞46 号）和《工业和信息化部、国家统计局、国家发展和改革委员会、财政部关于印发中小企业划型标准规定的通知》（工信部联企业[2011]300号）的有关规定及划分标准，服务必须全部由符合政策要求的中型、小型或微型企业承接。残疾人福利性单位视同小微企业。</w:t>
      </w:r>
    </w:p>
    <w:p>
      <w:pPr>
        <w:pStyle w:val="3"/>
        <w:keepNext w:val="0"/>
        <w:keepLines w:val="0"/>
        <w:spacing w:line="360" w:lineRule="auto"/>
        <w:rPr>
          <w:rFonts w:ascii="Times New Roman" w:hAnsi="Times New Roman" w:eastAsia="宋体"/>
          <w:b w:val="0"/>
          <w:color w:val="000000" w:themeColor="text1"/>
          <w:sz w:val="24"/>
          <w14:textFill>
            <w14:solidFill>
              <w14:schemeClr w14:val="tx1"/>
            </w14:solidFill>
          </w14:textFill>
        </w:rPr>
      </w:pPr>
      <w:bookmarkStart w:id="501" w:name="_Toc438203878"/>
      <w:bookmarkStart w:id="502" w:name="_Toc529733211"/>
      <w:bookmarkStart w:id="503" w:name="_Toc67860258"/>
      <w:bookmarkStart w:id="504" w:name="_Toc139531411"/>
      <w:bookmarkStart w:id="505" w:name="_Toc277153153"/>
      <w:bookmarkStart w:id="506" w:name="_Toc277942528"/>
      <w:r>
        <w:rPr>
          <w:rFonts w:hint="eastAsia" w:ascii="Times New Roman" w:hAnsi="Times New Roman" w:eastAsia="宋体"/>
          <w:color w:val="000000" w:themeColor="text1"/>
          <w:sz w:val="28"/>
          <w14:textFill>
            <w14:solidFill>
              <w14:schemeClr w14:val="tx1"/>
            </w14:solidFill>
          </w14:textFill>
        </w:rPr>
        <w:t>附件</w:t>
      </w:r>
      <w:r>
        <w:rPr>
          <w:rFonts w:ascii="Times New Roman" w:hAnsi="Times New Roman" w:eastAsia="宋体"/>
          <w:color w:val="000000" w:themeColor="text1"/>
          <w:sz w:val="28"/>
          <w14:textFill>
            <w14:solidFill>
              <w14:schemeClr w14:val="tx1"/>
            </w14:solidFill>
          </w14:textFill>
        </w:rPr>
        <w:t>7</w:t>
      </w:r>
      <w:r>
        <w:rPr>
          <w:rFonts w:hint="eastAsia" w:ascii="Times New Roman" w:hAnsi="Times New Roman" w:eastAsia="宋体"/>
          <w:color w:val="000000" w:themeColor="text1"/>
          <w:sz w:val="28"/>
          <w14:textFill>
            <w14:solidFill>
              <w14:schemeClr w14:val="tx1"/>
            </w14:solidFill>
          </w14:textFill>
        </w:rPr>
        <w:t xml:space="preserve">  </w:t>
      </w:r>
      <w:bookmarkEnd w:id="501"/>
      <w:r>
        <w:rPr>
          <w:rFonts w:hint="eastAsia" w:ascii="Times New Roman" w:hAnsi="Times New Roman" w:eastAsia="宋体"/>
          <w:color w:val="000000" w:themeColor="text1"/>
          <w:sz w:val="28"/>
          <w14:textFill>
            <w14:solidFill>
              <w14:schemeClr w14:val="tx1"/>
            </w14:solidFill>
          </w14:textFill>
        </w:rPr>
        <w:t>业绩证明文件及人员配备</w:t>
      </w:r>
      <w:bookmarkEnd w:id="502"/>
      <w:bookmarkEnd w:id="503"/>
      <w:bookmarkEnd w:id="504"/>
    </w:p>
    <w:bookmarkEnd w:id="505"/>
    <w:bookmarkEnd w:id="506"/>
    <w:p>
      <w:pPr>
        <w:spacing w:before="25" w:after="25" w:line="360" w:lineRule="auto"/>
        <w:jc w:val="left"/>
        <w:rPr>
          <w:color w:val="000000" w:themeColor="text1"/>
          <w:sz w:val="24"/>
          <w14:textFill>
            <w14:solidFill>
              <w14:schemeClr w14:val="tx1"/>
            </w14:solidFill>
          </w14:textFill>
        </w:rPr>
      </w:pPr>
    </w:p>
    <w:p>
      <w:pPr>
        <w:spacing w:before="25" w:after="25" w:line="360" w:lineRule="auto"/>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1、请供应商自行设计表格填写，列表清晰并附注所有证明材料。</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【列表描述，包括但不限于项目名称、采购项目名称和数量、签订日期、合同金额、采购人联系方式等，须附合同复印件并加盖供应商公章】</w:t>
      </w:r>
    </w:p>
    <w:p>
      <w:pPr>
        <w:spacing w:line="360" w:lineRule="auto"/>
        <w:rPr>
          <w:b/>
          <w:bCs/>
          <w:color w:val="000000" w:themeColor="text1"/>
          <w:sz w:val="24"/>
          <w14:textFill>
            <w14:solidFill>
              <w14:schemeClr w14:val="tx1"/>
            </w14:solidFill>
          </w14:textFill>
        </w:rPr>
      </w:pPr>
      <w:r>
        <w:rPr>
          <w:rFonts w:hint="eastAsia" w:ascii="宋体" w:hAnsi="宋体"/>
          <w:b/>
          <w:bCs/>
          <w:color w:val="000000" w:themeColor="text1"/>
          <w:szCs w:val="21"/>
          <w14:textFill>
            <w14:solidFill>
              <w14:schemeClr w14:val="tx1"/>
            </w14:solidFill>
          </w14:textFill>
        </w:rPr>
        <w:t>备注：以上业绩均需提供完整合同的复印件并加盖投标单位公章</w:t>
      </w:r>
    </w:p>
    <w:p>
      <w:pPr>
        <w:spacing w:line="360" w:lineRule="auto"/>
        <w:jc w:val="center"/>
        <w:rPr>
          <w:b/>
          <w:bCs/>
          <w:color w:val="000000" w:themeColor="text1"/>
          <w:sz w:val="24"/>
          <w14:textFill>
            <w14:solidFill>
              <w14:schemeClr w14:val="tx1"/>
            </w14:solidFill>
          </w14:textFill>
        </w:rPr>
      </w:pPr>
    </w:p>
    <w:p>
      <w:pPr>
        <w:spacing w:line="360" w:lineRule="auto"/>
        <w:jc w:val="center"/>
        <w:rPr>
          <w:b/>
          <w:bCs/>
          <w:color w:val="000000" w:themeColor="text1"/>
          <w:sz w:val="24"/>
          <w14:textFill>
            <w14:solidFill>
              <w14:schemeClr w14:val="tx1"/>
            </w14:solidFill>
          </w14:textFill>
        </w:rPr>
      </w:pPr>
    </w:p>
    <w:p>
      <w:pPr>
        <w:pStyle w:val="20"/>
        <w:spacing w:line="360" w:lineRule="auto"/>
        <w:rPr>
          <w:rFonts w:hAnsi="宋体"/>
          <w:b/>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2、</w:t>
      </w:r>
      <w:r>
        <w:rPr>
          <w:rFonts w:hint="eastAsia" w:hAnsi="宋体"/>
          <w:b/>
          <w:color w:val="000000" w:themeColor="text1"/>
          <w:szCs w:val="21"/>
          <w14:textFill>
            <w14:solidFill>
              <w14:schemeClr w14:val="tx1"/>
            </w14:solidFill>
          </w14:textFill>
        </w:rPr>
        <w:t>项目组人员配备一览表</w:t>
      </w:r>
    </w:p>
    <w:tbl>
      <w:tblPr>
        <w:tblStyle w:val="39"/>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161"/>
        <w:gridCol w:w="1134"/>
        <w:gridCol w:w="2126"/>
        <w:gridCol w:w="1275"/>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7" w:type="dxa"/>
            <w:vAlign w:val="center"/>
          </w:tcPr>
          <w:p>
            <w:pPr>
              <w:adjustRightInd w:val="0"/>
              <w:snapToGrid w:val="0"/>
              <w:spacing w:after="120" w:after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人员姓名</w:t>
            </w:r>
          </w:p>
        </w:tc>
        <w:tc>
          <w:tcPr>
            <w:tcW w:w="1161" w:type="dxa"/>
            <w:vAlign w:val="center"/>
          </w:tcPr>
          <w:p>
            <w:pPr>
              <w:adjustRightInd w:val="0"/>
              <w:snapToGrid w:val="0"/>
              <w:spacing w:after="120" w:afterLines="50" w:line="360"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年龄</w:t>
            </w:r>
          </w:p>
        </w:tc>
        <w:tc>
          <w:tcPr>
            <w:tcW w:w="1134" w:type="dxa"/>
            <w:vAlign w:val="center"/>
          </w:tcPr>
          <w:p>
            <w:pPr>
              <w:adjustRightInd w:val="0"/>
              <w:snapToGrid w:val="0"/>
              <w:spacing w:after="120" w:afterLines="50" w:line="360"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学历及特长</w:t>
            </w:r>
          </w:p>
        </w:tc>
        <w:tc>
          <w:tcPr>
            <w:tcW w:w="2126" w:type="dxa"/>
            <w:vAlign w:val="center"/>
          </w:tcPr>
          <w:p>
            <w:pPr>
              <w:adjustRightInd w:val="0"/>
              <w:snapToGrid w:val="0"/>
              <w:spacing w:after="120" w:afterLines="50" w:line="360"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同类型项目</w:t>
            </w:r>
          </w:p>
          <w:p>
            <w:pPr>
              <w:adjustRightInd w:val="0"/>
              <w:snapToGrid w:val="0"/>
              <w:spacing w:after="120" w:afterLines="50" w:line="360"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工作经验</w:t>
            </w:r>
          </w:p>
        </w:tc>
        <w:tc>
          <w:tcPr>
            <w:tcW w:w="1275" w:type="dxa"/>
            <w:vAlign w:val="center"/>
          </w:tcPr>
          <w:p>
            <w:pPr>
              <w:adjustRightInd w:val="0"/>
              <w:snapToGrid w:val="0"/>
              <w:spacing w:after="120" w:afterLines="50" w:line="360"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在本项目</w:t>
            </w:r>
          </w:p>
          <w:p>
            <w:pPr>
              <w:adjustRightInd w:val="0"/>
              <w:snapToGrid w:val="0"/>
              <w:spacing w:after="120" w:afterLines="50" w:line="360"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中的职务</w:t>
            </w:r>
          </w:p>
        </w:tc>
        <w:tc>
          <w:tcPr>
            <w:tcW w:w="1357" w:type="dxa"/>
            <w:vAlign w:val="center"/>
          </w:tcPr>
          <w:p>
            <w:pPr>
              <w:adjustRightInd w:val="0"/>
              <w:snapToGrid w:val="0"/>
              <w:spacing w:after="120" w:afterLines="50" w:line="360" w:lineRule="auto"/>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61"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134"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2126"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275"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c>
          <w:tcPr>
            <w:tcW w:w="1357" w:type="dxa"/>
          </w:tcPr>
          <w:p>
            <w:pPr>
              <w:adjustRightInd w:val="0"/>
              <w:snapToGrid w:val="0"/>
              <w:spacing w:after="120" w:afterLines="50" w:line="360" w:lineRule="auto"/>
              <w:jc w:val="center"/>
              <w:rPr>
                <w:rFonts w:ascii="仿宋_GB2312" w:hAnsi="宋体" w:eastAsia="仿宋_GB2312"/>
                <w:color w:val="000000" w:themeColor="text1"/>
                <w:sz w:val="24"/>
                <w14:textFill>
                  <w14:solidFill>
                    <w14:schemeClr w14:val="tx1"/>
                  </w14:solidFill>
                </w14:textFill>
              </w:rPr>
            </w:pPr>
          </w:p>
        </w:tc>
      </w:tr>
    </w:tbl>
    <w:p>
      <w:pPr>
        <w:pStyle w:val="20"/>
        <w:spacing w:line="360" w:lineRule="auto"/>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注：后附人员相关证书复印件</w:t>
      </w:r>
    </w:p>
    <w:p>
      <w:pPr>
        <w:pStyle w:val="20"/>
        <w:spacing w:line="360" w:lineRule="auto"/>
        <w:jc w:val="left"/>
        <w:rPr>
          <w:rFonts w:hAnsi="宋体"/>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法定代表人或</w:t>
      </w:r>
      <w:r>
        <w:rPr>
          <w:rFonts w:hint="eastAsia" w:hAnsi="宋体"/>
          <w:bCs/>
          <w:color w:val="000000" w:themeColor="text1"/>
          <w:szCs w:val="21"/>
          <w14:textFill>
            <w14:solidFill>
              <w14:schemeClr w14:val="tx1"/>
            </w14:solidFill>
          </w14:textFill>
        </w:rPr>
        <w:t>被授权人</w:t>
      </w:r>
      <w:r>
        <w:rPr>
          <w:rFonts w:hAnsi="宋体"/>
          <w:bCs/>
          <w:color w:val="000000" w:themeColor="text1"/>
          <w:szCs w:val="21"/>
          <w14:textFill>
            <w14:solidFill>
              <w14:schemeClr w14:val="tx1"/>
            </w14:solidFill>
          </w14:textFill>
        </w:rPr>
        <w:t>(签字或盖章)：</w:t>
      </w:r>
      <w:r>
        <w:rPr>
          <w:rFonts w:hAnsi="宋体"/>
          <w:color w:val="000000" w:themeColor="text1"/>
          <w:szCs w:val="21"/>
          <w14:textFill>
            <w14:solidFill>
              <w14:schemeClr w14:val="tx1"/>
            </w14:solidFill>
          </w14:textFill>
        </w:rPr>
        <w:t>_______________</w:t>
      </w:r>
    </w:p>
    <w:p>
      <w:pPr>
        <w:pStyle w:val="20"/>
        <w:tabs>
          <w:tab w:val="left" w:pos="5100"/>
        </w:tabs>
        <w:spacing w:before="120" w:line="360" w:lineRule="auto"/>
        <w:jc w:val="left"/>
        <w:rPr>
          <w:rFonts w:hAnsi="宋体"/>
          <w:color w:val="000000" w:themeColor="text1"/>
          <w:szCs w:val="21"/>
          <w:u w:val="single"/>
          <w14:textFill>
            <w14:solidFill>
              <w14:schemeClr w14:val="tx1"/>
            </w14:solidFill>
          </w14:textFill>
        </w:rPr>
      </w:pPr>
      <w:r>
        <w:rPr>
          <w:rFonts w:hint="eastAsia" w:hAnsi="宋体"/>
          <w:color w:val="000000" w:themeColor="text1"/>
          <w:szCs w:val="21"/>
          <w14:textFill>
            <w14:solidFill>
              <w14:schemeClr w14:val="tx1"/>
            </w14:solidFill>
          </w14:textFill>
        </w:rPr>
        <w:t>供应商</w:t>
      </w:r>
      <w:r>
        <w:rPr>
          <w:rFonts w:hAnsi="宋体"/>
          <w:color w:val="000000" w:themeColor="text1"/>
          <w:szCs w:val="21"/>
          <w14:textFill>
            <w14:solidFill>
              <w14:schemeClr w14:val="tx1"/>
            </w14:solidFill>
          </w14:textFill>
        </w:rPr>
        <w:t>名称(盖章): ______________________</w:t>
      </w:r>
    </w:p>
    <w:p>
      <w:pPr>
        <w:spacing w:line="360" w:lineRule="auto"/>
        <w:ind w:firstLine="630" w:firstLineChars="30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   月    日</w:t>
      </w:r>
    </w:p>
    <w:p>
      <w:pPr>
        <w:spacing w:line="360" w:lineRule="auto"/>
        <w:rPr>
          <w:rFonts w:ascii="宋体" w:hAnsi="宋体"/>
          <w:b/>
          <w:bCs/>
          <w:color w:val="000000" w:themeColor="text1"/>
          <w:szCs w:val="21"/>
          <w14:textFill>
            <w14:solidFill>
              <w14:schemeClr w14:val="tx1"/>
            </w14:solidFill>
          </w14:textFill>
        </w:rPr>
        <w:sectPr>
          <w:pgSz w:w="11907" w:h="16840"/>
          <w:pgMar w:top="1758" w:right="1701" w:bottom="1588" w:left="1259" w:header="851" w:footer="992" w:gutter="0"/>
          <w:cols w:space="720" w:num="1"/>
          <w:docGrid w:linePitch="312" w:charSpace="0"/>
        </w:sectPr>
      </w:pPr>
    </w:p>
    <w:p>
      <w:pPr>
        <w:pStyle w:val="3"/>
        <w:keepNext w:val="0"/>
        <w:keepLines w:val="0"/>
        <w:spacing w:line="360" w:lineRule="auto"/>
        <w:rPr>
          <w:rFonts w:ascii="Times New Roman" w:hAnsi="Times New Roman" w:eastAsia="宋体"/>
          <w:color w:val="000000" w:themeColor="text1"/>
          <w:sz w:val="28"/>
          <w14:textFill>
            <w14:solidFill>
              <w14:schemeClr w14:val="tx1"/>
            </w14:solidFill>
          </w14:textFill>
        </w:rPr>
      </w:pPr>
      <w:bookmarkStart w:id="507" w:name="_Toc438203879"/>
      <w:bookmarkStart w:id="508" w:name="_Toc277942530"/>
      <w:bookmarkStart w:id="509" w:name="_Toc277153155"/>
      <w:bookmarkStart w:id="510" w:name="_Toc529733212"/>
      <w:bookmarkStart w:id="511" w:name="_Toc139531412"/>
      <w:bookmarkStart w:id="512" w:name="_Toc67860259"/>
      <w:r>
        <w:rPr>
          <w:rFonts w:hint="eastAsia" w:ascii="Times New Roman" w:hAnsi="Times New Roman" w:eastAsia="宋体"/>
          <w:color w:val="000000" w:themeColor="text1"/>
          <w:sz w:val="28"/>
          <w14:textFill>
            <w14:solidFill>
              <w14:schemeClr w14:val="tx1"/>
            </w14:solidFill>
          </w14:textFill>
        </w:rPr>
        <w:t>附件</w:t>
      </w:r>
      <w:r>
        <w:rPr>
          <w:rFonts w:ascii="Times New Roman" w:hAnsi="Times New Roman" w:eastAsia="宋体"/>
          <w:color w:val="000000" w:themeColor="text1"/>
          <w:sz w:val="28"/>
          <w14:textFill>
            <w14:solidFill>
              <w14:schemeClr w14:val="tx1"/>
            </w14:solidFill>
          </w14:textFill>
        </w:rPr>
        <w:t>8</w:t>
      </w:r>
      <w:r>
        <w:rPr>
          <w:rFonts w:hint="eastAsia" w:ascii="Times New Roman" w:hAnsi="Times New Roman" w:eastAsia="宋体"/>
          <w:color w:val="000000" w:themeColor="text1"/>
          <w:sz w:val="28"/>
          <w14:textFill>
            <w14:solidFill>
              <w14:schemeClr w14:val="tx1"/>
            </w14:solidFill>
          </w14:textFill>
        </w:rPr>
        <w:t xml:space="preserve">  </w:t>
      </w:r>
      <w:bookmarkEnd w:id="507"/>
      <w:bookmarkEnd w:id="508"/>
      <w:bookmarkEnd w:id="509"/>
      <w:r>
        <w:rPr>
          <w:rFonts w:hint="eastAsia" w:ascii="Times New Roman" w:hAnsi="Times New Roman" w:eastAsia="宋体"/>
          <w:color w:val="000000" w:themeColor="text1"/>
          <w:sz w:val="28"/>
          <w14:textFill>
            <w14:solidFill>
              <w14:schemeClr w14:val="tx1"/>
            </w14:solidFill>
          </w14:textFill>
        </w:rPr>
        <w:t>磋商文件要求的和供应商认为必要的其他文件</w:t>
      </w:r>
      <w:bookmarkEnd w:id="510"/>
      <w:bookmarkEnd w:id="511"/>
      <w:bookmarkEnd w:id="512"/>
    </w:p>
    <w:p>
      <w:pPr>
        <w:pStyle w:val="4"/>
        <w:spacing w:line="360" w:lineRule="auto"/>
        <w:ind w:firstLine="0"/>
        <w:rPr>
          <w:color w:val="000000" w:themeColor="text1"/>
          <w14:textFill>
            <w14:solidFill>
              <w14:schemeClr w14:val="tx1"/>
            </w14:solidFill>
          </w14:textFill>
        </w:rPr>
      </w:pPr>
      <w:bookmarkStart w:id="513" w:name="_Toc133737943"/>
      <w:bookmarkStart w:id="514" w:name="_Toc133916723"/>
      <w:bookmarkStart w:id="515" w:name="_Toc133737854"/>
    </w:p>
    <w:p>
      <w:pPr>
        <w:pStyle w:val="4"/>
        <w:spacing w:line="360" w:lineRule="auto"/>
        <w:ind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其他应包括但不限于：</w:t>
      </w:r>
    </w:p>
    <w:p>
      <w:pPr>
        <w:pStyle w:val="4"/>
        <w:spacing w:line="360" w:lineRule="auto"/>
        <w:ind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1.服务响应及技术方案</w:t>
      </w:r>
    </w:p>
    <w:p>
      <w:pPr>
        <w:pStyle w:val="4"/>
        <w:spacing w:line="360" w:lineRule="auto"/>
        <w:ind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2.实施方案</w:t>
      </w:r>
    </w:p>
    <w:p>
      <w:pPr>
        <w:pStyle w:val="4"/>
        <w:spacing w:line="360" w:lineRule="auto"/>
        <w:ind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3.售后服务方案</w:t>
      </w:r>
    </w:p>
    <w:p>
      <w:pPr>
        <w:pStyle w:val="4"/>
        <w:ind w:firstLine="0"/>
        <w:rPr>
          <w:color w:val="000000" w:themeColor="text1"/>
          <w14:textFill>
            <w14:solidFill>
              <w14:schemeClr w14:val="tx1"/>
            </w14:solidFill>
          </w14:textFill>
        </w:rPr>
        <w:sectPr>
          <w:pgSz w:w="16840" w:h="11907" w:orient="landscape"/>
          <w:pgMar w:top="1701" w:right="1588" w:bottom="1259" w:left="1758" w:header="851" w:footer="992" w:gutter="0"/>
          <w:cols w:space="720" w:num="1"/>
          <w:docGrid w:linePitch="312" w:charSpace="0"/>
        </w:sect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.磋商文件要求供应商提交的其他文件</w:t>
      </w:r>
    </w:p>
    <w:p>
      <w:pPr>
        <w:rPr>
          <w:rFonts w:ascii="宋体"/>
          <w:b/>
          <w:bCs/>
          <w:color w:val="000000" w:themeColor="text1"/>
          <w:sz w:val="72"/>
          <w:szCs w:val="72"/>
          <w14:textFill>
            <w14:solidFill>
              <w14:schemeClr w14:val="tx1"/>
            </w14:solidFill>
          </w14:textFill>
        </w:rPr>
      </w:pPr>
    </w:p>
    <w:p>
      <w:pPr>
        <w:spacing w:line="360" w:lineRule="auto"/>
        <w:jc w:val="center"/>
        <w:rPr>
          <w:rFonts w:ascii="宋体" w:hAnsi="宋体" w:cs="宋体"/>
          <w:b/>
          <w:bCs/>
          <w:color w:val="000000" w:themeColor="text1"/>
          <w:sz w:val="52"/>
          <w:szCs w:val="48"/>
          <w14:textFill>
            <w14:solidFill>
              <w14:schemeClr w14:val="tx1"/>
            </w14:solidFill>
          </w14:textFill>
        </w:rPr>
      </w:pPr>
      <w:r>
        <w:rPr>
          <w:rFonts w:hint="eastAsia" w:ascii="宋体" w:hAnsi="宋体" w:cs="宋体"/>
          <w:b/>
          <w:bCs/>
          <w:color w:val="000000" w:themeColor="text1"/>
          <w:sz w:val="52"/>
          <w:szCs w:val="48"/>
          <w14:textFill>
            <w14:solidFill>
              <w14:schemeClr w14:val="tx1"/>
            </w14:solidFill>
          </w14:textFill>
        </w:rPr>
        <w:t>北京交通大学机车轮驱跑合试验台</w:t>
      </w:r>
    </w:p>
    <w:p>
      <w:pPr>
        <w:spacing w:line="360" w:lineRule="auto"/>
        <w:jc w:val="center"/>
        <w:rPr>
          <w:rFonts w:ascii="宋体" w:hAnsi="宋体" w:cs="宋体"/>
          <w:b/>
          <w:bCs/>
          <w:color w:val="000000" w:themeColor="text1"/>
          <w:sz w:val="52"/>
          <w:szCs w:val="48"/>
          <w14:textFill>
            <w14:solidFill>
              <w14:schemeClr w14:val="tx1"/>
            </w14:solidFill>
          </w14:textFill>
        </w:rPr>
      </w:pPr>
      <w:r>
        <w:rPr>
          <w:rFonts w:hint="eastAsia" w:ascii="宋体" w:hAnsi="宋体" w:cs="宋体"/>
          <w:b/>
          <w:bCs/>
          <w:color w:val="000000" w:themeColor="text1"/>
          <w:sz w:val="52"/>
          <w:szCs w:val="48"/>
          <w14:textFill>
            <w14:solidFill>
              <w14:schemeClr w14:val="tx1"/>
            </w14:solidFill>
          </w14:textFill>
        </w:rPr>
        <w:t>零配件加工</w:t>
      </w:r>
    </w:p>
    <w:p>
      <w:pPr>
        <w:spacing w:line="360" w:lineRule="auto"/>
        <w:jc w:val="center"/>
        <w:rPr>
          <w:rFonts w:ascii="宋体" w:hAnsi="宋体" w:cs="宋体"/>
          <w:b/>
          <w:bCs/>
          <w:color w:val="000000" w:themeColor="text1"/>
          <w:sz w:val="52"/>
          <w:szCs w:val="48"/>
          <w14:textFill>
            <w14:solidFill>
              <w14:schemeClr w14:val="tx1"/>
            </w14:solidFill>
          </w14:textFill>
        </w:rPr>
      </w:pPr>
    </w:p>
    <w:p>
      <w:pPr>
        <w:spacing w:line="360" w:lineRule="auto"/>
        <w:jc w:val="center"/>
        <w:rPr>
          <w:b/>
          <w:color w:val="000000" w:themeColor="text1"/>
          <w:sz w:val="48"/>
          <w:szCs w:val="21"/>
          <w14:textFill>
            <w14:solidFill>
              <w14:schemeClr w14:val="tx1"/>
            </w14:solidFill>
          </w14:textFill>
        </w:rPr>
      </w:pPr>
      <w:r>
        <w:rPr>
          <w:rFonts w:hint="eastAsia"/>
          <w:b/>
          <w:color w:val="000000" w:themeColor="text1"/>
          <w:sz w:val="48"/>
          <w:szCs w:val="21"/>
          <w14:textFill>
            <w14:solidFill>
              <w14:schemeClr w14:val="tx1"/>
            </w14:solidFill>
          </w14:textFill>
        </w:rPr>
        <w:t>竞争性磋商文件</w:t>
      </w:r>
    </w:p>
    <w:p>
      <w:pPr>
        <w:spacing w:line="360" w:lineRule="auto"/>
        <w:jc w:val="center"/>
        <w:rPr>
          <w:rFonts w:ascii="宋体" w:hAnsi="宋体"/>
          <w:b/>
          <w:color w:val="000000" w:themeColor="text1"/>
          <w:sz w:val="32"/>
          <w:szCs w:val="32"/>
          <w14:textFill>
            <w14:solidFill>
              <w14:schemeClr w14:val="tx1"/>
            </w14:solidFill>
          </w14:textFill>
        </w:rPr>
      </w:pPr>
    </w:p>
    <w:p>
      <w:pPr>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采购编号：</w:t>
      </w:r>
      <w:r>
        <w:rPr>
          <w:rFonts w:ascii="宋体" w:hAnsi="宋体" w:cs="宋体"/>
          <w:b/>
          <w:bCs/>
          <w:color w:val="000000" w:themeColor="text1"/>
          <w:sz w:val="32"/>
          <w:szCs w:val="32"/>
          <w14:textFill>
            <w14:solidFill>
              <w14:schemeClr w14:val="tx1"/>
            </w14:solidFill>
          </w14:textFill>
        </w:rPr>
        <w:t>BMCC-ZC23-0</w:t>
      </w:r>
      <w:r>
        <w:rPr>
          <w:rFonts w:hint="eastAsia" w:ascii="宋体" w:hAnsi="宋体" w:cs="宋体"/>
          <w:b/>
          <w:bCs/>
          <w:color w:val="000000" w:themeColor="text1"/>
          <w:sz w:val="32"/>
          <w:szCs w:val="32"/>
          <w14:textFill>
            <w14:solidFill>
              <w14:schemeClr w14:val="tx1"/>
            </w14:solidFill>
          </w14:textFill>
        </w:rPr>
        <w:t>407</w:t>
      </w:r>
    </w:p>
    <w:p>
      <w:pPr>
        <w:spacing w:line="360" w:lineRule="auto"/>
        <w:jc w:val="center"/>
        <w:rPr>
          <w:b/>
          <w:color w:val="000000" w:themeColor="text1"/>
          <w:sz w:val="36"/>
          <w:szCs w:val="36"/>
          <w14:textFill>
            <w14:solidFill>
              <w14:schemeClr w14:val="tx1"/>
            </w14:solidFill>
          </w14:textFill>
        </w:rPr>
      </w:pPr>
    </w:p>
    <w:p>
      <w:pPr>
        <w:spacing w:line="360" w:lineRule="auto"/>
        <w:jc w:val="center"/>
        <w:rPr>
          <w:b/>
          <w:color w:val="000000" w:themeColor="text1"/>
          <w:sz w:val="52"/>
          <w14:textFill>
            <w14:solidFill>
              <w14:schemeClr w14:val="tx1"/>
            </w14:solidFill>
          </w14:textFill>
        </w:rPr>
      </w:pPr>
      <w:r>
        <w:rPr>
          <w:rFonts w:hint="eastAsia"/>
          <w:b/>
          <w:color w:val="000000" w:themeColor="text1"/>
          <w:sz w:val="52"/>
          <w14:textFill>
            <w14:solidFill>
              <w14:schemeClr w14:val="tx1"/>
            </w14:solidFill>
          </w14:textFill>
        </w:rPr>
        <w:t>第二册</w:t>
      </w:r>
    </w:p>
    <w:p>
      <w:pPr>
        <w:spacing w:line="360" w:lineRule="auto"/>
        <w:jc w:val="center"/>
        <w:rPr>
          <w:b/>
          <w:color w:val="000000" w:themeColor="text1"/>
          <w:sz w:val="52"/>
          <w14:textFill>
            <w14:solidFill>
              <w14:schemeClr w14:val="tx1"/>
            </w14:solidFill>
          </w14:textFill>
        </w:rPr>
      </w:pPr>
      <w:r>
        <w:rPr>
          <w:rFonts w:ascii="宋体" w:hAnsi="宋体"/>
          <w:b/>
          <w:color w:val="000000" w:themeColor="text1"/>
          <w:sz w:val="52"/>
          <w14:textFill>
            <w14:solidFill>
              <w14:schemeClr w14:val="tx1"/>
            </w14:solidFill>
          </w14:textFill>
        </w:rPr>
        <w:drawing>
          <wp:inline distT="0" distB="0" distL="0" distR="0">
            <wp:extent cx="3435350" cy="2419350"/>
            <wp:effectExtent l="0" t="0" r="0" b="0"/>
            <wp:docPr id="3" name="图片 3"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明德致信-LOG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35350" cy="2419350"/>
                    </a:xfrm>
                    <a:prstGeom prst="rect">
                      <a:avLst/>
                    </a:prstGeom>
                    <a:noFill/>
                    <a:ln>
                      <a:noFill/>
                    </a:ln>
                  </pic:spPr>
                </pic:pic>
              </a:graphicData>
            </a:graphic>
          </wp:inline>
        </w:drawing>
      </w:r>
    </w:p>
    <w:p>
      <w:pPr>
        <w:spacing w:after="240" w:afterLines="100"/>
        <w:jc w:val="center"/>
        <w:rPr>
          <w:rFonts w:ascii="宋体"/>
          <w:b/>
          <w:color w:val="000000" w:themeColor="text1"/>
          <w:sz w:val="30"/>
          <w:szCs w:val="30"/>
          <w14:textFill>
            <w14:solidFill>
              <w14:schemeClr w14:val="tx1"/>
            </w14:solidFill>
          </w14:textFill>
        </w:rPr>
      </w:pPr>
      <w:r>
        <w:rPr>
          <w:rFonts w:hint="eastAsia" w:ascii="宋体"/>
          <w:b/>
          <w:color w:val="000000" w:themeColor="text1"/>
          <w:sz w:val="30"/>
          <w:szCs w:val="30"/>
          <w14:textFill>
            <w14:solidFill>
              <w14:schemeClr w14:val="tx1"/>
            </w14:solidFill>
          </w14:textFill>
        </w:rPr>
        <w:t>北京明德致信咨询有限公司</w:t>
      </w:r>
    </w:p>
    <w:p>
      <w:pPr>
        <w:spacing w:after="240" w:afterLines="100"/>
        <w:jc w:val="center"/>
        <w:rPr>
          <w:rFonts w:ascii="宋体"/>
          <w:b/>
          <w:color w:val="000000" w:themeColor="text1"/>
          <w:sz w:val="30"/>
          <w:szCs w:val="30"/>
          <w14:textFill>
            <w14:solidFill>
              <w14:schemeClr w14:val="tx1"/>
            </w14:solidFill>
          </w14:textFill>
        </w:rPr>
      </w:pPr>
      <w:r>
        <w:rPr>
          <w:rFonts w:hint="eastAsia" w:ascii="宋体"/>
          <w:b/>
          <w:color w:val="000000" w:themeColor="text1"/>
          <w:sz w:val="30"/>
          <w:szCs w:val="30"/>
          <w14:textFill>
            <w14:solidFill>
              <w14:schemeClr w14:val="tx1"/>
            </w14:solidFill>
          </w14:textFill>
        </w:rPr>
        <w:t>202</w:t>
      </w:r>
      <w:r>
        <w:rPr>
          <w:rFonts w:ascii="宋体"/>
          <w:b/>
          <w:color w:val="000000" w:themeColor="text1"/>
          <w:sz w:val="30"/>
          <w:szCs w:val="30"/>
          <w14:textFill>
            <w14:solidFill>
              <w14:schemeClr w14:val="tx1"/>
            </w14:solidFill>
          </w14:textFill>
        </w:rPr>
        <w:t>3</w:t>
      </w:r>
      <w:r>
        <w:rPr>
          <w:rFonts w:hint="eastAsia" w:ascii="宋体"/>
          <w:b/>
          <w:color w:val="000000" w:themeColor="text1"/>
          <w:sz w:val="30"/>
          <w:szCs w:val="30"/>
          <w14:textFill>
            <w14:solidFill>
              <w14:schemeClr w14:val="tx1"/>
            </w14:solidFill>
          </w14:textFill>
        </w:rPr>
        <w:t>年7月</w:t>
      </w:r>
    </w:p>
    <w:p>
      <w:pPr>
        <w:pStyle w:val="20"/>
        <w:spacing w:line="360" w:lineRule="auto"/>
        <w:jc w:val="center"/>
        <w:rPr>
          <w:rFonts w:ascii="Times New Roman" w:hAnsi="Times New Roman"/>
          <w:b/>
          <w:color w:val="000000" w:themeColor="text1"/>
          <w:sz w:val="36"/>
          <w14:textFill>
            <w14:solidFill>
              <w14:schemeClr w14:val="tx1"/>
            </w14:solidFill>
          </w14:textFill>
        </w:rPr>
        <w:sectPr>
          <w:pgSz w:w="11907" w:h="16840"/>
          <w:pgMar w:top="1440" w:right="1080" w:bottom="1440" w:left="1080" w:header="851" w:footer="992" w:gutter="0"/>
          <w:cols w:space="720" w:num="1"/>
          <w:docGrid w:linePitch="312" w:charSpace="0"/>
        </w:sectPr>
      </w:pPr>
    </w:p>
    <w:p>
      <w:pPr>
        <w:pStyle w:val="2"/>
        <w:keepNext w:val="0"/>
        <w:keepLines w:val="0"/>
        <w:spacing w:before="0" w:after="0" w:line="360" w:lineRule="auto"/>
        <w:rPr>
          <w:rFonts w:ascii="Times New Roman"/>
          <w:color w:val="000000" w:themeColor="text1"/>
          <w14:textFill>
            <w14:solidFill>
              <w14:schemeClr w14:val="tx1"/>
            </w14:solidFill>
          </w14:textFill>
        </w:rPr>
      </w:pPr>
      <w:bookmarkStart w:id="516" w:name="_Toc139531413"/>
      <w:bookmarkStart w:id="517" w:name="_Hlk136008634"/>
      <w:r>
        <w:rPr>
          <w:rFonts w:hint="eastAsia" w:ascii="Times New Roman"/>
          <w:color w:val="000000" w:themeColor="text1"/>
          <w14:textFill>
            <w14:solidFill>
              <w14:schemeClr w14:val="tx1"/>
            </w14:solidFill>
          </w14:textFill>
        </w:rPr>
        <w:t>第四章  磋 商 邀 请</w:t>
      </w:r>
      <w:bookmarkEnd w:id="513"/>
      <w:bookmarkEnd w:id="514"/>
      <w:bookmarkEnd w:id="515"/>
      <w:bookmarkEnd w:id="516"/>
      <w:bookmarkStart w:id="518" w:name="_Hlk77680100"/>
      <w:bookmarkStart w:id="519" w:name="_Toc512937850"/>
      <w:bookmarkStart w:id="520" w:name="_Toc133737855"/>
      <w:bookmarkStart w:id="521" w:name="_Toc133916724"/>
      <w:bookmarkStart w:id="522" w:name="_Toc133737944"/>
    </w:p>
    <w:p>
      <w:pPr>
        <w:pBdr>
          <w:top w:val="single" w:color="auto" w:sz="4" w:space="1"/>
          <w:left w:val="single" w:color="auto" w:sz="4" w:space="4"/>
          <w:bottom w:val="single" w:color="auto" w:sz="4" w:space="1"/>
          <w:right w:val="single" w:color="auto" w:sz="4" w:space="4"/>
        </w:pBdr>
        <w:spacing w:line="276" w:lineRule="auto"/>
        <w:rPr>
          <w:rFonts w:ascii="宋体" w:hAnsi="宋体"/>
          <w:color w:val="000000" w:themeColor="text1"/>
          <w:sz w:val="24"/>
          <w:highlight w:val="none"/>
          <w14:textFill>
            <w14:solidFill>
              <w14:schemeClr w14:val="tx1"/>
            </w14:solidFill>
          </w14:textFill>
        </w:rPr>
      </w:pPr>
      <w:bookmarkStart w:id="523" w:name="_Hlk48742565"/>
      <w:bookmarkStart w:id="524" w:name="_Hlk81404456"/>
      <w:r>
        <w:rPr>
          <w:rFonts w:hint="eastAsia" w:ascii="宋体" w:hAnsi="宋体"/>
          <w:color w:val="000000" w:themeColor="text1"/>
          <w:sz w:val="24"/>
          <w:highlight w:val="none"/>
          <w14:textFill>
            <w14:solidFill>
              <w14:schemeClr w14:val="tx1"/>
            </w14:solidFill>
          </w14:textFill>
        </w:rPr>
        <w:t>项目概况</w:t>
      </w:r>
    </w:p>
    <w:p>
      <w:pPr>
        <w:widowControl/>
        <w:pBdr>
          <w:top w:val="single" w:color="auto" w:sz="4" w:space="1"/>
          <w:left w:val="single" w:color="auto" w:sz="4" w:space="4"/>
          <w:bottom w:val="single" w:color="auto" w:sz="4" w:space="1"/>
          <w:right w:val="single" w:color="auto" w:sz="4" w:space="4"/>
        </w:pBdr>
        <w:spacing w:line="276" w:lineRule="auto"/>
        <w:jc w:val="left"/>
        <w:rPr>
          <w:rFonts w:ascii="宋体" w:hAnsi="宋体"/>
          <w:color w:val="000000" w:themeColor="text1"/>
          <w:sz w:val="24"/>
          <w:highlight w:val="yellow"/>
          <w14:textFill>
            <w14:solidFill>
              <w14:schemeClr w14:val="tx1"/>
            </w14:solidFill>
          </w14:textFill>
        </w:rPr>
      </w:pPr>
      <w:bookmarkStart w:id="525" w:name="_Toc35393629"/>
      <w:bookmarkStart w:id="526" w:name="_Toc28359012"/>
      <w:bookmarkStart w:id="527" w:name="_Toc35393798"/>
      <w:bookmarkStart w:id="528" w:name="_Toc28359089"/>
      <w:r>
        <w:rPr>
          <w:rFonts w:hint="eastAsia" w:ascii="宋体" w:hAnsi="宋体"/>
          <w:color w:val="000000" w:themeColor="text1"/>
          <w:sz w:val="24"/>
          <w:highlight w:val="none"/>
          <w14:textFill>
            <w14:solidFill>
              <w14:schemeClr w14:val="tx1"/>
            </w14:solidFill>
          </w14:textFill>
        </w:rPr>
        <w:t>北京交通大学机车轮驱跑合试验台零配件加工的潜在供应商应在线上北京明德致信咨询有限公司官网（</w:t>
      </w:r>
      <w:r>
        <w:rPr>
          <w:rFonts w:ascii="宋体" w:hAnsi="宋体"/>
          <w:color w:val="000000" w:themeColor="text1"/>
          <w:sz w:val="24"/>
          <w:highlight w:val="none"/>
          <w14:textFill>
            <w14:solidFill>
              <w14:schemeClr w14:val="tx1"/>
            </w14:solidFill>
          </w14:textFill>
        </w:rPr>
        <w:t>http://zbbmcc.com/</w:t>
      </w:r>
      <w:r>
        <w:rPr>
          <w:rFonts w:hint="eastAsia" w:ascii="宋体" w:hAnsi="宋体"/>
          <w:color w:val="000000" w:themeColor="text1"/>
          <w:sz w:val="24"/>
          <w:highlight w:val="none"/>
          <w14:textFill>
            <w14:solidFill>
              <w14:schemeClr w14:val="tx1"/>
            </w14:solidFill>
          </w14:textFill>
        </w:rPr>
        <w:t>）（具体方式详见“其他补充事宜”）获取竞争性磋商文件，并于202</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年0</w:t>
      </w:r>
      <w:r>
        <w:rPr>
          <w:rFonts w:hint="eastAsia" w:ascii="宋体" w:hAnsi="宋体"/>
          <w:color w:val="000000" w:themeColor="text1"/>
          <w:sz w:val="24"/>
          <w:highlight w:val="none"/>
          <w:lang w:val="en-US" w:eastAsia="zh-CN"/>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28</w:t>
      </w:r>
      <w:r>
        <w:rPr>
          <w:rFonts w:hint="eastAsia" w:ascii="宋体" w:hAnsi="宋体"/>
          <w:color w:val="000000" w:themeColor="text1"/>
          <w:sz w:val="24"/>
          <w:highlight w:val="none"/>
          <w14:textFill>
            <w14:solidFill>
              <w14:schemeClr w14:val="tx1"/>
            </w14:solidFill>
          </w14:textFill>
        </w:rPr>
        <w:t>日上午0</w:t>
      </w:r>
      <w:r>
        <w:rPr>
          <w:rFonts w:hint="eastAsia" w:ascii="宋体" w:hAnsi="宋体"/>
          <w:color w:val="000000" w:themeColor="text1"/>
          <w:sz w:val="24"/>
          <w:highlight w:val="none"/>
          <w:lang w:val="en-US" w:eastAsia="zh-CN"/>
          <w14:textFill>
            <w14:solidFill>
              <w14:schemeClr w14:val="tx1"/>
            </w14:solidFill>
          </w14:textFill>
        </w:rPr>
        <w:t>9</w:t>
      </w:r>
      <w:r>
        <w:rPr>
          <w:rFonts w:hint="eastAsia" w:ascii="宋体" w:hAnsi="宋体"/>
          <w:color w:val="000000" w:themeColor="text1"/>
          <w:sz w:val="24"/>
          <w:highlight w:val="none"/>
          <w14:textFill>
            <w14:solidFill>
              <w14:schemeClr w14:val="tx1"/>
            </w14:solidFill>
          </w14:textFill>
        </w:rPr>
        <w:t>点</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0分（北京时间）前递交响应文件。</w:t>
      </w:r>
    </w:p>
    <w:p>
      <w:pPr>
        <w:spacing w:line="276"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一、项目基本情况</w:t>
      </w:r>
      <w:bookmarkEnd w:id="525"/>
      <w:bookmarkEnd w:id="526"/>
      <w:bookmarkEnd w:id="527"/>
      <w:bookmarkEnd w:id="528"/>
    </w:p>
    <w:p>
      <w:pPr>
        <w:spacing w:line="276"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项目编号：</w:t>
      </w:r>
      <w:r>
        <w:rPr>
          <w:rFonts w:ascii="宋体" w:hAnsi="宋体"/>
          <w:color w:val="000000" w:themeColor="text1"/>
          <w:sz w:val="24"/>
          <w14:textFill>
            <w14:solidFill>
              <w14:schemeClr w14:val="tx1"/>
            </w14:solidFill>
          </w14:textFill>
        </w:rPr>
        <w:t>BMCC-ZC23-0</w:t>
      </w:r>
      <w:r>
        <w:rPr>
          <w:rFonts w:hint="eastAsia" w:ascii="宋体" w:hAnsi="宋体"/>
          <w:color w:val="000000" w:themeColor="text1"/>
          <w:sz w:val="24"/>
          <w14:textFill>
            <w14:solidFill>
              <w14:schemeClr w14:val="tx1"/>
            </w14:solidFill>
          </w14:textFill>
        </w:rPr>
        <w:t>407</w:t>
      </w:r>
    </w:p>
    <w:p>
      <w:pPr>
        <w:spacing w:line="276" w:lineRule="auto"/>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r>
        <w:rPr>
          <w:rFonts w:hint="eastAsia" w:ascii="宋体" w:hAnsi="宋体"/>
          <w:color w:val="000000" w:themeColor="text1"/>
          <w:sz w:val="24"/>
          <w:u w:val="none"/>
          <w14:textFill>
            <w14:solidFill>
              <w14:schemeClr w14:val="tx1"/>
            </w14:solidFill>
          </w14:textFill>
        </w:rPr>
        <w:t>北京交通大学机车轮驱跑合试验台零配件加工</w:t>
      </w:r>
    </w:p>
    <w:p>
      <w:pPr>
        <w:spacing w:line="276"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采购方式：竞争性磋商</w:t>
      </w:r>
    </w:p>
    <w:p>
      <w:pPr>
        <w:spacing w:line="276"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预算金额：</w:t>
      </w:r>
      <w:r>
        <w:rPr>
          <w:rFonts w:ascii="宋体" w:hAnsi="宋体"/>
          <w:color w:val="000000" w:themeColor="text1"/>
          <w:sz w:val="24"/>
          <w14:textFill>
            <w14:solidFill>
              <w14:schemeClr w14:val="tx1"/>
            </w14:solidFill>
          </w14:textFill>
        </w:rPr>
        <w:t>49.</w:t>
      </w:r>
      <w:r>
        <w:rPr>
          <w:rFonts w:hint="eastAsia" w:ascii="宋体" w:hAnsi="宋体"/>
          <w:color w:val="000000" w:themeColor="text1"/>
          <w:sz w:val="24"/>
          <w14:textFill>
            <w14:solidFill>
              <w14:schemeClr w14:val="tx1"/>
            </w14:solidFill>
          </w14:textFill>
        </w:rPr>
        <w:t>4万元</w:t>
      </w:r>
    </w:p>
    <w:p>
      <w:pPr>
        <w:spacing w:line="276"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最高限价：同预算金额</w:t>
      </w:r>
    </w:p>
    <w:p>
      <w:pPr>
        <w:spacing w:line="276"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采购需求：</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3050"/>
        <w:gridCol w:w="3397"/>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3" w:type="pct"/>
            <w:shd w:val="clear" w:color="000000" w:fill="auto"/>
            <w:vAlign w:val="center"/>
          </w:tcPr>
          <w:p>
            <w:pPr>
              <w:widowControl/>
              <w:spacing w:line="276"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包号</w:t>
            </w:r>
          </w:p>
        </w:tc>
        <w:tc>
          <w:tcPr>
            <w:tcW w:w="1664" w:type="pct"/>
            <w:shd w:val="clear" w:color="000000" w:fill="auto"/>
            <w:vAlign w:val="center"/>
          </w:tcPr>
          <w:p>
            <w:pPr>
              <w:widowControl/>
              <w:spacing w:line="276"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名称</w:t>
            </w:r>
          </w:p>
        </w:tc>
        <w:tc>
          <w:tcPr>
            <w:tcW w:w="1853" w:type="pct"/>
            <w:shd w:val="clear" w:color="000000" w:fill="auto"/>
            <w:vAlign w:val="center"/>
          </w:tcPr>
          <w:p>
            <w:pPr>
              <w:widowControl/>
              <w:spacing w:line="276" w:lineRule="auto"/>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技术指标、数量概述</w:t>
            </w:r>
          </w:p>
        </w:tc>
        <w:tc>
          <w:tcPr>
            <w:tcW w:w="1019" w:type="pct"/>
            <w:shd w:val="clear" w:color="000000" w:fill="auto"/>
            <w:vAlign w:val="center"/>
          </w:tcPr>
          <w:p>
            <w:pPr>
              <w:widowControl/>
              <w:spacing w:line="276"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总预算金额</w:t>
            </w:r>
          </w:p>
          <w:p>
            <w:pPr>
              <w:widowControl/>
              <w:spacing w:line="276"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63" w:type="pct"/>
            <w:vAlign w:val="center"/>
          </w:tcPr>
          <w:p>
            <w:pPr>
              <w:widowControl/>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w:t>
            </w:r>
            <w:r>
              <w:rPr>
                <w:rFonts w:ascii="宋体" w:hAnsi="宋体" w:cs="宋体"/>
                <w:color w:val="000000" w:themeColor="text1"/>
                <w:sz w:val="24"/>
                <w14:textFill>
                  <w14:solidFill>
                    <w14:schemeClr w14:val="tx1"/>
                  </w14:solidFill>
                </w14:textFill>
              </w:rPr>
              <w:t>1</w:t>
            </w:r>
          </w:p>
        </w:tc>
        <w:tc>
          <w:tcPr>
            <w:tcW w:w="1664" w:type="pct"/>
            <w:vAlign w:val="center"/>
          </w:tcPr>
          <w:p>
            <w:pPr>
              <w:widowControl/>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北京交通大学机车轮驱跑合试验台零配件加工</w:t>
            </w:r>
          </w:p>
        </w:tc>
        <w:tc>
          <w:tcPr>
            <w:tcW w:w="1853" w:type="pct"/>
            <w:vAlign w:val="center"/>
          </w:tcPr>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机车轮驱跑合试验台零配件加工</w:t>
            </w: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其他详见竞争性磋商文件</w:t>
            </w:r>
          </w:p>
        </w:tc>
        <w:tc>
          <w:tcPr>
            <w:tcW w:w="1019" w:type="pct"/>
            <w:vAlign w:val="center"/>
          </w:tcPr>
          <w:p>
            <w:pPr>
              <w:widowControl/>
              <w:spacing w:line="276" w:lineRule="auto"/>
              <w:jc w:val="center"/>
              <w:rPr>
                <w:rFonts w:ascii="宋体" w:hAnsi="宋体" w:cs="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49.</w:t>
            </w:r>
            <w:r>
              <w:rPr>
                <w:rFonts w:hint="eastAsia" w:ascii="宋体" w:hAnsi="宋体"/>
                <w:color w:val="000000" w:themeColor="text1"/>
                <w:sz w:val="24"/>
                <w14:textFill>
                  <w14:solidFill>
                    <w14:schemeClr w14:val="tx1"/>
                  </w14:solidFill>
                </w14:textFill>
              </w:rPr>
              <w:t>4</w:t>
            </w:r>
          </w:p>
        </w:tc>
      </w:tr>
    </w:tbl>
    <w:p>
      <w:pPr>
        <w:spacing w:line="276" w:lineRule="auto"/>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14:textFill>
            <w14:solidFill>
              <w14:schemeClr w14:val="tx1"/>
            </w14:solidFill>
          </w14:textFill>
        </w:rPr>
        <w:t>服</w:t>
      </w:r>
      <w:r>
        <w:rPr>
          <w:rFonts w:hint="eastAsia" w:ascii="宋体" w:hAnsi="宋体"/>
          <w:b/>
          <w:color w:val="000000" w:themeColor="text1"/>
          <w:sz w:val="24"/>
          <w:highlight w:val="none"/>
          <w14:textFill>
            <w14:solidFill>
              <w14:schemeClr w14:val="tx1"/>
            </w14:solidFill>
          </w14:textFill>
        </w:rPr>
        <w:t>务履行期限：自合同签订后四个月</w:t>
      </w:r>
      <w:r>
        <w:rPr>
          <w:rFonts w:hint="eastAsia" w:ascii="宋体" w:hAnsi="宋体"/>
          <w:b/>
          <w:color w:val="000000" w:themeColor="text1"/>
          <w:sz w:val="24"/>
          <w:highlight w:val="none"/>
          <w14:textFill>
            <w14:solidFill>
              <w14:schemeClr w14:val="tx1"/>
            </w14:solidFill>
          </w14:textFill>
        </w:rPr>
        <w:t>完成交付</w:t>
      </w:r>
      <w:r>
        <w:rPr>
          <w:rFonts w:ascii="宋体" w:hAnsi="宋体" w:cs="Arial"/>
          <w:color w:val="000000" w:themeColor="text1"/>
          <w:kern w:val="0"/>
          <w:sz w:val="24"/>
          <w:highlight w:val="none"/>
          <w14:textFill>
            <w14:solidFill>
              <w14:schemeClr w14:val="tx1"/>
            </w14:solidFill>
          </w14:textFill>
        </w:rPr>
        <w:t>。</w:t>
      </w:r>
    </w:p>
    <w:p>
      <w:pPr>
        <w:spacing w:line="276"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本项目（□是</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否</w:t>
      </w:r>
      <w:r>
        <w:rPr>
          <w:rFonts w:hint="eastAsia" w:ascii="宋体" w:hAnsi="宋体"/>
          <w:color w:val="000000" w:themeColor="text1"/>
          <w:sz w:val="24"/>
          <w:highlight w:val="none"/>
          <w14:textFill>
            <w14:solidFill>
              <w14:schemeClr w14:val="tx1"/>
            </w14:solidFill>
          </w14:textFill>
        </w:rPr>
        <w:t>）接受联合体。</w:t>
      </w:r>
    </w:p>
    <w:bookmarkEnd w:id="523"/>
    <w:p>
      <w:pPr>
        <w:widowControl/>
        <w:spacing w:line="360" w:lineRule="auto"/>
        <w:jc w:val="left"/>
        <w:rPr>
          <w:rFonts w:ascii="宋体" w:hAnsi="宋体" w:cs="宋体"/>
          <w:b/>
          <w:color w:val="000000" w:themeColor="text1"/>
          <w:sz w:val="24"/>
          <w14:textFill>
            <w14:solidFill>
              <w14:schemeClr w14:val="tx1"/>
            </w14:solidFill>
          </w14:textFill>
        </w:rPr>
      </w:pPr>
      <w:bookmarkStart w:id="529" w:name="_Toc35393622"/>
      <w:bookmarkStart w:id="530" w:name="_Toc28359080"/>
      <w:bookmarkStart w:id="531" w:name="_Toc28359003"/>
      <w:bookmarkStart w:id="532" w:name="_Toc35393791"/>
      <w:r>
        <w:rPr>
          <w:rFonts w:hint="eastAsia" w:ascii="宋体" w:hAnsi="宋体" w:cs="宋体"/>
          <w:b/>
          <w:color w:val="000000" w:themeColor="text1"/>
          <w:sz w:val="24"/>
          <w14:textFill>
            <w14:solidFill>
              <w14:schemeClr w14:val="tx1"/>
            </w14:solidFill>
          </w14:textFill>
        </w:rPr>
        <w:t>二、申请人的资格要求</w:t>
      </w:r>
      <w:bookmarkEnd w:id="529"/>
      <w:bookmarkEnd w:id="530"/>
      <w:bookmarkEnd w:id="531"/>
      <w:bookmarkEnd w:id="532"/>
    </w:p>
    <w:p>
      <w:pPr>
        <w:widowControl/>
        <w:spacing w:line="360" w:lineRule="auto"/>
        <w:jc w:val="left"/>
        <w:rPr>
          <w:rFonts w:ascii="宋体" w:hAnsi="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合格供应商：满足《中华人民共和国政府采购法》第二十二条规定及竞争性磋商文件第一章供应商须知第</w:t>
      </w:r>
      <w:r>
        <w:rPr>
          <w:rFonts w:ascii="宋体" w:hAnsi="宋体" w:cs="宋体"/>
          <w:color w:val="000000" w:themeColor="text1"/>
          <w:sz w:val="24"/>
          <w14:textFill>
            <w14:solidFill>
              <w14:schemeClr w14:val="tx1"/>
            </w14:solidFill>
          </w14:textFill>
        </w:rPr>
        <w:t>1.2项。</w:t>
      </w:r>
    </w:p>
    <w:p>
      <w:pPr>
        <w:widowControl/>
        <w:spacing w:line="360" w:lineRule="auto"/>
        <w:jc w:val="left"/>
        <w:rPr>
          <w:rFonts w:ascii="宋体" w:hAnsi="宋体" w:cs="宋体"/>
          <w:color w:val="000000" w:themeColor="text1"/>
          <w:sz w:val="24"/>
          <w14:textFill>
            <w14:solidFill>
              <w14:schemeClr w14:val="tx1"/>
            </w14:solidFill>
          </w14:textFill>
        </w:rPr>
      </w:pPr>
      <w:bookmarkStart w:id="533" w:name="_Toc28359004"/>
      <w:bookmarkStart w:id="534" w:name="_Toc28359081"/>
      <w:r>
        <w:rPr>
          <w:rFonts w:hint="eastAsia" w:ascii="宋体" w:hAnsi="宋体" w:cs="宋体"/>
          <w:color w:val="000000" w:themeColor="text1"/>
          <w:sz w:val="24"/>
          <w14:textFill>
            <w14:solidFill>
              <w14:schemeClr w14:val="tx1"/>
            </w14:solidFill>
          </w14:textFill>
        </w:rPr>
        <w:t>2.落实政府采购政策需满足的资格要求：本项目专门面向中小企业采购，即货物由中小企业生产且使用该中小企业商号或者注册商标。</w:t>
      </w:r>
    </w:p>
    <w:p>
      <w:pPr>
        <w:widowControl/>
        <w:spacing w:line="360" w:lineRule="auto"/>
        <w:jc w:val="left"/>
        <w:rPr>
          <w:rFonts w:ascii="宋体" w:hAnsi="宋体" w:cs="宋体"/>
          <w:i/>
          <w:iCs/>
          <w:color w:val="000000" w:themeColor="text1"/>
          <w:sz w:val="24"/>
          <w:highlight w:val="none"/>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3.本项目的特定资格要求：无；本项目不接受联合体投标；遵守国家有关法律、法规、</w:t>
      </w:r>
      <w:r>
        <w:rPr>
          <w:rFonts w:hint="eastAsia" w:ascii="宋体" w:hAnsi="宋体" w:cs="宋体"/>
          <w:color w:val="000000" w:themeColor="text1"/>
          <w:sz w:val="24"/>
          <w:highlight w:val="none"/>
          <w14:textFill>
            <w14:solidFill>
              <w14:schemeClr w14:val="tx1"/>
            </w14:solidFill>
          </w14:textFill>
        </w:rPr>
        <w:t>规章；须购买竞争性磋商文件并登记备案。</w:t>
      </w:r>
    </w:p>
    <w:p>
      <w:pPr>
        <w:widowControl/>
        <w:spacing w:line="360" w:lineRule="auto"/>
        <w:jc w:val="left"/>
        <w:rPr>
          <w:rFonts w:ascii="宋体" w:hAnsi="宋体" w:cs="宋体"/>
          <w:b/>
          <w:color w:val="000000" w:themeColor="text1"/>
          <w:sz w:val="24"/>
          <w:highlight w:val="none"/>
          <w14:textFill>
            <w14:solidFill>
              <w14:schemeClr w14:val="tx1"/>
            </w14:solidFill>
          </w14:textFill>
        </w:rPr>
      </w:pPr>
      <w:bookmarkStart w:id="535" w:name="_Toc35393623"/>
      <w:bookmarkStart w:id="536" w:name="_Toc35393792"/>
      <w:r>
        <w:rPr>
          <w:rFonts w:hint="eastAsia" w:ascii="宋体" w:hAnsi="宋体" w:cs="宋体"/>
          <w:b/>
          <w:color w:val="000000" w:themeColor="text1"/>
          <w:sz w:val="24"/>
          <w:highlight w:val="none"/>
          <w14:textFill>
            <w14:solidFill>
              <w14:schemeClr w14:val="tx1"/>
            </w14:solidFill>
          </w14:textFill>
        </w:rPr>
        <w:t>三、获取采购文件</w:t>
      </w:r>
      <w:bookmarkEnd w:id="533"/>
      <w:bookmarkEnd w:id="534"/>
      <w:bookmarkEnd w:id="535"/>
      <w:bookmarkEnd w:id="536"/>
    </w:p>
    <w:p>
      <w:pPr>
        <w:widowControl/>
        <w:spacing w:line="360" w:lineRule="auto"/>
        <w:jc w:val="left"/>
        <w:rPr>
          <w:rFonts w:ascii="宋体" w:hAnsi="宋体" w:cs="宋体"/>
          <w:color w:val="000000"/>
          <w:sz w:val="24"/>
          <w:highlight w:val="none"/>
          <w:u w:val="single"/>
        </w:rPr>
      </w:pPr>
      <w:r>
        <w:rPr>
          <w:rFonts w:hint="eastAsia" w:ascii="宋体" w:hAnsi="宋体" w:cs="宋体"/>
          <w:b/>
          <w:color w:val="000000"/>
          <w:sz w:val="24"/>
          <w:highlight w:val="none"/>
        </w:rPr>
        <w:t>时间</w:t>
      </w:r>
      <w:r>
        <w:rPr>
          <w:rFonts w:hint="eastAsia" w:ascii="宋体" w:hAnsi="宋体" w:cs="宋体"/>
          <w:color w:val="000000"/>
          <w:sz w:val="24"/>
          <w:highlight w:val="none"/>
        </w:rPr>
        <w:t>：</w:t>
      </w:r>
      <w:r>
        <w:rPr>
          <w:rFonts w:hint="eastAsia" w:ascii="宋体" w:hAnsi="宋体" w:cs="宋体"/>
          <w:color w:val="000000"/>
          <w:sz w:val="24"/>
          <w:highlight w:val="none"/>
          <w:u w:val="single"/>
        </w:rPr>
        <w:t>2023年0</w:t>
      </w:r>
      <w:r>
        <w:rPr>
          <w:rFonts w:hint="eastAsia" w:ascii="宋体" w:hAnsi="宋体" w:cs="宋体"/>
          <w:color w:val="000000"/>
          <w:sz w:val="24"/>
          <w:highlight w:val="none"/>
          <w:u w:val="single"/>
          <w:lang w:val="en-US" w:eastAsia="zh-CN"/>
        </w:rPr>
        <w:t>7</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17</w:t>
      </w:r>
      <w:r>
        <w:rPr>
          <w:rFonts w:hint="eastAsia" w:ascii="宋体" w:hAnsi="宋体" w:cs="宋体"/>
          <w:color w:val="000000"/>
          <w:sz w:val="24"/>
          <w:highlight w:val="none"/>
          <w:u w:val="single"/>
        </w:rPr>
        <w:t>日至2023年0</w:t>
      </w:r>
      <w:r>
        <w:rPr>
          <w:rFonts w:hint="eastAsia" w:ascii="宋体" w:hAnsi="宋体" w:cs="宋体"/>
          <w:color w:val="000000"/>
          <w:sz w:val="24"/>
          <w:highlight w:val="none"/>
          <w:u w:val="single"/>
          <w:lang w:val="en-US" w:eastAsia="zh-CN"/>
        </w:rPr>
        <w:t>7</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24</w:t>
      </w:r>
      <w:r>
        <w:rPr>
          <w:rFonts w:hint="eastAsia" w:ascii="宋体" w:hAnsi="宋体" w:cs="宋体"/>
          <w:color w:val="000000"/>
          <w:sz w:val="24"/>
          <w:highlight w:val="none"/>
          <w:u w:val="single"/>
        </w:rPr>
        <w:t>日，上午9:00至11:30，下午13:</w:t>
      </w:r>
      <w:r>
        <w:rPr>
          <w:rFonts w:ascii="宋体" w:hAnsi="宋体" w:cs="宋体"/>
          <w:color w:val="000000"/>
          <w:sz w:val="24"/>
          <w:highlight w:val="none"/>
          <w:u w:val="single"/>
        </w:rPr>
        <w:t>0</w:t>
      </w:r>
      <w:r>
        <w:rPr>
          <w:rFonts w:hint="eastAsia" w:ascii="宋体" w:hAnsi="宋体" w:cs="宋体"/>
          <w:color w:val="000000"/>
          <w:sz w:val="24"/>
          <w:highlight w:val="none"/>
          <w:u w:val="single"/>
        </w:rPr>
        <w:t>0至1</w:t>
      </w:r>
      <w:r>
        <w:rPr>
          <w:rFonts w:hint="eastAsia" w:ascii="宋体" w:hAnsi="宋体" w:cs="宋体"/>
          <w:color w:val="000000"/>
          <w:sz w:val="24"/>
          <w:highlight w:val="none"/>
          <w:u w:val="single"/>
          <w:lang w:val="en-US" w:eastAsia="zh-CN"/>
        </w:rPr>
        <w:t>7</w:t>
      </w:r>
      <w:r>
        <w:rPr>
          <w:rFonts w:hint="eastAsia" w:ascii="宋体" w:hAnsi="宋体" w:cs="宋体"/>
          <w:color w:val="000000"/>
          <w:sz w:val="24"/>
          <w:highlight w:val="none"/>
          <w:u w:val="single"/>
        </w:rPr>
        <w:t>:</w:t>
      </w:r>
      <w:r>
        <w:rPr>
          <w:rFonts w:hint="eastAsia" w:ascii="宋体" w:hAnsi="宋体" w:cs="宋体"/>
          <w:color w:val="000000"/>
          <w:sz w:val="24"/>
          <w:highlight w:val="none"/>
          <w:u w:val="single"/>
          <w:lang w:val="en-US" w:eastAsia="zh-CN"/>
        </w:rPr>
        <w:t>0</w:t>
      </w:r>
      <w:r>
        <w:rPr>
          <w:rFonts w:hint="eastAsia" w:ascii="宋体" w:hAnsi="宋体" w:cs="宋体"/>
          <w:color w:val="000000"/>
          <w:sz w:val="24"/>
          <w:highlight w:val="none"/>
          <w:u w:val="single"/>
        </w:rPr>
        <w:t>0（北京时间，下同）。期满后购买招标文件的潜在投标人不足3家的，招标采购单位可以顺延招标文件出售时间并另行公告。</w:t>
      </w:r>
    </w:p>
    <w:p>
      <w:pPr>
        <w:widowControl/>
        <w:spacing w:line="360" w:lineRule="auto"/>
        <w:jc w:val="left"/>
        <w:rPr>
          <w:rFonts w:ascii="宋体" w:hAnsi="宋体" w:cs="宋体"/>
          <w:color w:val="000000"/>
          <w:sz w:val="24"/>
        </w:rPr>
      </w:pPr>
      <w:r>
        <w:rPr>
          <w:rFonts w:hint="eastAsia" w:ascii="宋体" w:hAnsi="宋体" w:cs="宋体"/>
          <w:b/>
          <w:color w:val="000000"/>
          <w:sz w:val="24"/>
        </w:rPr>
        <w:t>地点：</w:t>
      </w:r>
      <w:r>
        <w:rPr>
          <w:rFonts w:hint="eastAsia" w:ascii="宋体" w:hAnsi="宋体"/>
          <w:color w:val="000000" w:themeColor="text1"/>
          <w:sz w:val="24"/>
          <w14:textFill>
            <w14:solidFill>
              <w14:schemeClr w14:val="tx1"/>
            </w14:solidFill>
          </w14:textFill>
        </w:rPr>
        <w:t>北京明德致信咨询有限公司官网（</w:t>
      </w:r>
      <w:r>
        <w:rPr>
          <w:rFonts w:ascii="宋体" w:hAnsi="宋体"/>
          <w:color w:val="000000" w:themeColor="text1"/>
          <w:sz w:val="24"/>
          <w14:textFill>
            <w14:solidFill>
              <w14:schemeClr w14:val="tx1"/>
            </w14:solidFill>
          </w14:textFill>
        </w:rPr>
        <w:t>http://zbbmcc.com/</w:t>
      </w:r>
      <w:r>
        <w:rPr>
          <w:rFonts w:hint="eastAsia" w:ascii="宋体" w:hAnsi="宋体"/>
          <w:color w:val="000000" w:themeColor="text1"/>
          <w:sz w:val="24"/>
          <w14:textFill>
            <w14:solidFill>
              <w14:schemeClr w14:val="tx1"/>
            </w14:solidFill>
          </w14:textFill>
        </w:rPr>
        <w:t>）</w:t>
      </w:r>
    </w:p>
    <w:p>
      <w:pPr>
        <w:widowControl/>
        <w:spacing w:line="360" w:lineRule="auto"/>
        <w:jc w:val="left"/>
        <w:rPr>
          <w:rFonts w:ascii="宋体" w:hAnsi="宋体" w:cs="宋体"/>
          <w:color w:val="000000"/>
          <w:sz w:val="24"/>
        </w:rPr>
      </w:pPr>
      <w:r>
        <w:rPr>
          <w:rFonts w:hint="eastAsia" w:ascii="宋体" w:hAnsi="宋体" w:cs="宋体"/>
          <w:b/>
          <w:color w:val="000000"/>
          <w:sz w:val="24"/>
        </w:rPr>
        <w:t>方式：</w:t>
      </w:r>
      <w:r>
        <w:rPr>
          <w:rFonts w:hint="eastAsia" w:ascii="宋体" w:hAnsi="宋体" w:cs="宋体"/>
          <w:color w:val="000000"/>
          <w:sz w:val="24"/>
        </w:rPr>
        <w:t>本项目只接受电汇或网银购买。</w:t>
      </w:r>
      <w:bookmarkStart w:id="537" w:name="_Toc28359082"/>
      <w:bookmarkStart w:id="538" w:name="_Toc28359005"/>
      <w:bookmarkStart w:id="539" w:name="_Toc35393624"/>
      <w:bookmarkStart w:id="540" w:name="_Toc35393793"/>
      <w:bookmarkStart w:id="541" w:name="_Toc66978693"/>
    </w:p>
    <w:p>
      <w:pPr>
        <w:widowControl/>
        <w:spacing w:line="360" w:lineRule="auto"/>
        <w:jc w:val="left"/>
        <w:rPr>
          <w:rFonts w:ascii="宋体" w:hAnsi="宋体" w:cs="宋体"/>
          <w:color w:val="000000"/>
          <w:sz w:val="24"/>
          <w:highlight w:val="none"/>
        </w:rPr>
      </w:pPr>
      <w:r>
        <w:rPr>
          <w:rFonts w:hint="eastAsia" w:ascii="宋体" w:hAnsi="宋体" w:cs="宋体"/>
          <w:b/>
          <w:color w:val="000000"/>
          <w:sz w:val="24"/>
          <w:highlight w:val="none"/>
        </w:rPr>
        <w:t>售价：</w:t>
      </w:r>
      <w:r>
        <w:rPr>
          <w:rFonts w:hint="eastAsia" w:ascii="宋体" w:hAnsi="宋体" w:cs="宋体"/>
          <w:color w:val="000000"/>
          <w:sz w:val="24"/>
          <w:highlight w:val="none"/>
        </w:rPr>
        <w:t>人民币</w:t>
      </w:r>
      <w:r>
        <w:rPr>
          <w:rFonts w:ascii="宋体" w:hAnsi="宋体" w:cs="宋体"/>
          <w:color w:val="000000"/>
          <w:sz w:val="24"/>
          <w:highlight w:val="none"/>
        </w:rPr>
        <w:t>5</w:t>
      </w:r>
      <w:r>
        <w:rPr>
          <w:rFonts w:hint="eastAsia" w:ascii="宋体" w:hAnsi="宋体" w:cs="宋体"/>
          <w:color w:val="000000"/>
          <w:sz w:val="24"/>
          <w:highlight w:val="none"/>
        </w:rPr>
        <w:t>00元/包，售后不退</w:t>
      </w:r>
    </w:p>
    <w:p>
      <w:pPr>
        <w:spacing w:line="360" w:lineRule="auto"/>
        <w:rPr>
          <w:rFonts w:ascii="宋体" w:hAnsi="宋体"/>
          <w:b/>
          <w:color w:val="000000"/>
          <w:sz w:val="24"/>
          <w:highlight w:val="none"/>
        </w:rPr>
      </w:pPr>
      <w:bookmarkStart w:id="542" w:name="_Toc72236643"/>
      <w:r>
        <w:rPr>
          <w:rFonts w:hint="eastAsia" w:ascii="宋体" w:hAnsi="宋体"/>
          <w:b/>
          <w:color w:val="000000"/>
          <w:sz w:val="24"/>
          <w:highlight w:val="none"/>
        </w:rPr>
        <w:t>四、提交投标文件</w:t>
      </w:r>
      <w:bookmarkEnd w:id="537"/>
      <w:bookmarkEnd w:id="538"/>
      <w:r>
        <w:rPr>
          <w:rFonts w:hint="eastAsia" w:ascii="宋体" w:hAnsi="宋体"/>
          <w:b/>
          <w:color w:val="000000"/>
          <w:sz w:val="24"/>
          <w:highlight w:val="none"/>
        </w:rPr>
        <w:t>截止时间、开标时间和地点</w:t>
      </w:r>
      <w:bookmarkEnd w:id="539"/>
      <w:bookmarkEnd w:id="540"/>
      <w:bookmarkEnd w:id="541"/>
      <w:bookmarkEnd w:id="542"/>
    </w:p>
    <w:p>
      <w:pPr>
        <w:spacing w:line="360" w:lineRule="auto"/>
        <w:rPr>
          <w:rFonts w:ascii="宋体" w:hAnsi="宋体"/>
          <w:color w:val="000000"/>
          <w:sz w:val="24"/>
          <w:highlight w:val="none"/>
        </w:rPr>
      </w:pPr>
      <w:bookmarkStart w:id="543" w:name="_Toc72236644"/>
      <w:bookmarkStart w:id="544" w:name="_Toc35393794"/>
      <w:bookmarkStart w:id="545" w:name="_Toc35393625"/>
      <w:bookmarkStart w:id="546" w:name="_Toc66978694"/>
      <w:bookmarkStart w:id="547" w:name="_Toc28359084"/>
      <w:bookmarkStart w:id="548" w:name="_Toc28359007"/>
      <w:r>
        <w:rPr>
          <w:rFonts w:hint="eastAsia" w:ascii="宋体" w:hAnsi="宋体"/>
          <w:color w:val="000000"/>
          <w:sz w:val="24"/>
          <w:highlight w:val="none"/>
        </w:rPr>
        <w:t>时间：2023年0</w:t>
      </w:r>
      <w:r>
        <w:rPr>
          <w:rFonts w:hint="eastAsia" w:ascii="宋体" w:hAnsi="宋体"/>
          <w:color w:val="000000"/>
          <w:sz w:val="24"/>
          <w:highlight w:val="none"/>
          <w:lang w:val="en-US" w:eastAsia="zh-CN"/>
        </w:rPr>
        <w:t>7</w:t>
      </w:r>
      <w:r>
        <w:rPr>
          <w:rFonts w:hint="eastAsia" w:ascii="宋体" w:hAnsi="宋体"/>
          <w:color w:val="000000"/>
          <w:sz w:val="24"/>
          <w:highlight w:val="none"/>
        </w:rPr>
        <w:t>月</w:t>
      </w:r>
      <w:r>
        <w:rPr>
          <w:rFonts w:hint="eastAsia" w:ascii="宋体" w:hAnsi="宋体"/>
          <w:color w:val="000000"/>
          <w:sz w:val="24"/>
          <w:highlight w:val="none"/>
          <w:lang w:val="en-US" w:eastAsia="zh-CN"/>
        </w:rPr>
        <w:t>28</w:t>
      </w:r>
      <w:r>
        <w:rPr>
          <w:rFonts w:hint="eastAsia" w:ascii="宋体" w:hAnsi="宋体"/>
          <w:color w:val="000000"/>
          <w:sz w:val="24"/>
          <w:highlight w:val="none"/>
        </w:rPr>
        <w:t>日上午</w:t>
      </w:r>
      <w:r>
        <w:rPr>
          <w:rFonts w:ascii="宋体" w:hAnsi="宋体"/>
          <w:color w:val="000000"/>
          <w:sz w:val="24"/>
          <w:highlight w:val="none"/>
        </w:rPr>
        <w:t>09</w:t>
      </w:r>
      <w:r>
        <w:rPr>
          <w:rFonts w:hint="eastAsia" w:ascii="宋体" w:hAnsi="宋体"/>
          <w:color w:val="000000"/>
          <w:sz w:val="24"/>
          <w:highlight w:val="none"/>
        </w:rPr>
        <w:t>:</w:t>
      </w:r>
      <w:r>
        <w:rPr>
          <w:rFonts w:ascii="宋体" w:hAnsi="宋体"/>
          <w:color w:val="000000"/>
          <w:sz w:val="24"/>
          <w:highlight w:val="none"/>
        </w:rPr>
        <w:t>30</w:t>
      </w:r>
      <w:r>
        <w:rPr>
          <w:rFonts w:hint="eastAsia" w:ascii="宋体" w:hAnsi="宋体"/>
          <w:color w:val="000000"/>
          <w:sz w:val="24"/>
          <w:highlight w:val="none"/>
        </w:rPr>
        <w:t>整（北京时间）。</w:t>
      </w:r>
      <w:bookmarkEnd w:id="543"/>
    </w:p>
    <w:p>
      <w:pPr>
        <w:spacing w:line="360" w:lineRule="auto"/>
        <w:rPr>
          <w:rFonts w:ascii="宋体" w:hAnsi="宋体"/>
          <w:color w:val="000000"/>
          <w:sz w:val="24"/>
          <w:highlight w:val="none"/>
        </w:rPr>
      </w:pPr>
      <w:bookmarkStart w:id="549" w:name="_Toc72236645"/>
      <w:r>
        <w:rPr>
          <w:rFonts w:hint="eastAsia" w:ascii="宋体" w:hAnsi="宋体"/>
          <w:color w:val="000000"/>
          <w:sz w:val="24"/>
          <w:highlight w:val="none"/>
        </w:rPr>
        <w:t>地点：北京市海淀区学院路30号科大天工大厦B座17层1706第</w:t>
      </w:r>
      <w:r>
        <w:rPr>
          <w:rFonts w:hint="eastAsia" w:ascii="宋体" w:hAnsi="宋体"/>
          <w:color w:val="000000"/>
          <w:sz w:val="24"/>
          <w:highlight w:val="none"/>
          <w:lang w:val="en-US" w:eastAsia="zh-CN"/>
        </w:rPr>
        <w:t>二</w:t>
      </w:r>
      <w:r>
        <w:rPr>
          <w:rFonts w:hint="eastAsia" w:ascii="宋体" w:hAnsi="宋体"/>
          <w:color w:val="000000"/>
          <w:sz w:val="24"/>
          <w:highlight w:val="none"/>
        </w:rPr>
        <w:t>会议室。</w:t>
      </w:r>
      <w:bookmarkEnd w:id="549"/>
    </w:p>
    <w:p>
      <w:pPr>
        <w:spacing w:line="360" w:lineRule="auto"/>
        <w:rPr>
          <w:rFonts w:ascii="宋体" w:hAnsi="宋体"/>
          <w:b/>
          <w:color w:val="000000"/>
          <w:sz w:val="24"/>
        </w:rPr>
      </w:pPr>
      <w:bookmarkStart w:id="550" w:name="_Toc72236646"/>
      <w:r>
        <w:rPr>
          <w:rFonts w:hint="eastAsia" w:ascii="宋体" w:hAnsi="宋体"/>
          <w:b/>
          <w:color w:val="000000"/>
          <w:sz w:val="24"/>
        </w:rPr>
        <w:t>五、公告期限</w:t>
      </w:r>
      <w:bookmarkEnd w:id="544"/>
      <w:bookmarkEnd w:id="545"/>
      <w:bookmarkEnd w:id="546"/>
      <w:bookmarkEnd w:id="547"/>
      <w:bookmarkEnd w:id="548"/>
      <w:bookmarkEnd w:id="550"/>
    </w:p>
    <w:p>
      <w:pPr>
        <w:widowControl/>
        <w:spacing w:line="360" w:lineRule="auto"/>
        <w:jc w:val="left"/>
        <w:rPr>
          <w:rFonts w:ascii="宋体" w:hAnsi="宋体" w:cs="宋体"/>
          <w:color w:val="000000"/>
          <w:sz w:val="24"/>
        </w:rPr>
      </w:pPr>
      <w:r>
        <w:rPr>
          <w:rFonts w:hint="eastAsia" w:ascii="宋体" w:hAnsi="宋体" w:cs="宋体"/>
          <w:color w:val="000000"/>
          <w:sz w:val="24"/>
        </w:rPr>
        <w:t>自本公告发布之日起</w:t>
      </w:r>
      <w:r>
        <w:rPr>
          <w:rFonts w:ascii="宋体" w:hAnsi="宋体" w:cs="宋体"/>
          <w:color w:val="000000"/>
          <w:sz w:val="24"/>
        </w:rPr>
        <w:t>3</w:t>
      </w:r>
      <w:r>
        <w:rPr>
          <w:rFonts w:hint="eastAsia" w:ascii="宋体" w:hAnsi="宋体" w:cs="宋体"/>
          <w:color w:val="000000"/>
          <w:sz w:val="24"/>
        </w:rPr>
        <w:t>个工作日。</w:t>
      </w:r>
    </w:p>
    <w:p>
      <w:pPr>
        <w:spacing w:line="360" w:lineRule="auto"/>
        <w:rPr>
          <w:rFonts w:ascii="宋体" w:hAnsi="宋体"/>
          <w:b/>
          <w:color w:val="000000"/>
          <w:sz w:val="24"/>
        </w:rPr>
      </w:pPr>
      <w:bookmarkStart w:id="551" w:name="_Toc35393626"/>
      <w:bookmarkStart w:id="552" w:name="_Toc35393795"/>
      <w:bookmarkStart w:id="553" w:name="_Toc72236647"/>
      <w:bookmarkStart w:id="554" w:name="_Toc66978695"/>
      <w:r>
        <w:rPr>
          <w:rFonts w:hint="eastAsia" w:ascii="宋体" w:hAnsi="宋体"/>
          <w:b/>
          <w:color w:val="000000"/>
          <w:sz w:val="24"/>
        </w:rPr>
        <w:t>六、其他补充事宜</w:t>
      </w:r>
      <w:bookmarkEnd w:id="551"/>
      <w:bookmarkEnd w:id="552"/>
      <w:bookmarkEnd w:id="553"/>
      <w:bookmarkEnd w:id="554"/>
    </w:p>
    <w:p>
      <w:pPr>
        <w:spacing w:line="360" w:lineRule="auto"/>
        <w:rPr>
          <w:rFonts w:ascii="宋体" w:hAnsi="宋体"/>
          <w:color w:val="000000"/>
          <w:sz w:val="24"/>
        </w:rPr>
      </w:pPr>
      <w:bookmarkStart w:id="555" w:name="_Toc66978696"/>
      <w:bookmarkStart w:id="556" w:name="_Toc35393627"/>
      <w:bookmarkStart w:id="557" w:name="_Toc72236648"/>
      <w:bookmarkStart w:id="558" w:name="_Toc35393796"/>
      <w:bookmarkStart w:id="559" w:name="_Toc28359085"/>
      <w:bookmarkStart w:id="560" w:name="_Toc28359008"/>
      <w:r>
        <w:rPr>
          <w:rFonts w:hint="eastAsia" w:ascii="宋体" w:hAnsi="宋体"/>
          <w:color w:val="000000"/>
          <w:sz w:val="24"/>
        </w:rPr>
        <w:t>1.详细报名方式请完整阅读以下全部内容：</w:t>
      </w:r>
    </w:p>
    <w:p>
      <w:pPr>
        <w:spacing w:line="360" w:lineRule="auto"/>
        <w:rPr>
          <w:rFonts w:ascii="宋体" w:hAnsi="宋体"/>
          <w:color w:val="000000"/>
          <w:sz w:val="24"/>
        </w:rPr>
      </w:pPr>
      <w:r>
        <w:rPr>
          <w:rFonts w:hint="eastAsia" w:ascii="宋体" w:hAnsi="宋体"/>
          <w:color w:val="000000"/>
          <w:sz w:val="24"/>
        </w:rPr>
        <w:t>1）供应商须登录北京明德致信咨询有限公司官网（http://www.zbbmcc.com）点击右上角“项目报名”选择本项目编号“BMCC-ZC23-0407”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pPr>
        <w:widowControl/>
        <w:spacing w:line="360" w:lineRule="auto"/>
        <w:jc w:val="left"/>
        <w:rPr>
          <w:rFonts w:ascii="宋体" w:hAnsi="宋体" w:cs="宋体"/>
          <w:bCs/>
          <w:color w:val="000000"/>
          <w:sz w:val="24"/>
        </w:rPr>
      </w:pPr>
      <w:r>
        <w:rPr>
          <w:rFonts w:hint="eastAsia" w:ascii="宋体" w:hAnsi="宋体" w:cs="宋体"/>
          <w:bCs/>
          <w:color w:val="000000"/>
          <w:sz w:val="24"/>
        </w:rPr>
        <w:t>2）银行账户信息，电汇购买招标文件、投标保证金及中标服务费收取的唯一账户：</w:t>
      </w:r>
    </w:p>
    <w:p>
      <w:pPr>
        <w:widowControl/>
        <w:spacing w:line="360" w:lineRule="auto"/>
        <w:jc w:val="left"/>
        <w:rPr>
          <w:rFonts w:ascii="宋体" w:hAnsi="宋体" w:cs="宋体"/>
          <w:bCs/>
          <w:color w:val="000000"/>
          <w:sz w:val="24"/>
        </w:rPr>
      </w:pPr>
      <w:r>
        <w:rPr>
          <w:rFonts w:hint="eastAsia" w:ascii="宋体" w:hAnsi="宋体" w:cs="宋体"/>
          <w:bCs/>
          <w:color w:val="000000"/>
          <w:sz w:val="24"/>
        </w:rPr>
        <w:t>汇款或转账时请务必附言“项目编号+用途”，例如：ZC23-0407标书款或保证金。</w:t>
      </w:r>
    </w:p>
    <w:p>
      <w:pPr>
        <w:widowControl/>
        <w:spacing w:line="360" w:lineRule="auto"/>
        <w:jc w:val="left"/>
        <w:rPr>
          <w:rFonts w:ascii="宋体" w:hAnsi="宋体" w:cs="宋体"/>
          <w:bCs/>
          <w:color w:val="000000"/>
          <w:sz w:val="24"/>
        </w:rPr>
      </w:pPr>
      <w:r>
        <w:rPr>
          <w:rFonts w:hint="eastAsia" w:ascii="宋体" w:hAnsi="宋体" w:cs="宋体"/>
          <w:bCs/>
          <w:color w:val="000000"/>
          <w:sz w:val="24"/>
        </w:rPr>
        <w:t>公司名称：北京明德致信咨询有限公司</w:t>
      </w:r>
    </w:p>
    <w:p>
      <w:pPr>
        <w:widowControl/>
        <w:spacing w:line="360" w:lineRule="auto"/>
        <w:jc w:val="left"/>
        <w:rPr>
          <w:rFonts w:ascii="宋体" w:hAnsi="宋体" w:cs="宋体"/>
          <w:bCs/>
          <w:color w:val="000000"/>
          <w:sz w:val="24"/>
        </w:rPr>
      </w:pPr>
      <w:r>
        <w:rPr>
          <w:rFonts w:hint="eastAsia" w:ascii="宋体" w:hAnsi="宋体" w:cs="宋体"/>
          <w:bCs/>
          <w:color w:val="000000"/>
          <w:sz w:val="24"/>
        </w:rPr>
        <w:t>开 户 行：中国工商银行股份有限公司北京东升路支行</w:t>
      </w:r>
    </w:p>
    <w:p>
      <w:pPr>
        <w:widowControl/>
        <w:spacing w:line="360" w:lineRule="auto"/>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账    号：0200 0062 1920 0492 968</w:t>
      </w:r>
    </w:p>
    <w:p>
      <w:pPr>
        <w:widowControl/>
        <w:spacing w:line="360" w:lineRule="auto"/>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3）招标磋商文件的获取：</w:t>
      </w:r>
    </w:p>
    <w:p>
      <w:pPr>
        <w:widowControl/>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电子版：北京明德致信咨询有公司网站“招标（采购）公告”频道：http://www.zbbmcc.com/node/119。无需注册，按项目名称或编号查找对应项目，点击标题下红色“下载”按钮即可；</w:t>
      </w:r>
    </w:p>
    <w:p>
      <w:pPr>
        <w:widowControl/>
        <w:spacing w:line="360" w:lineRule="auto"/>
        <w:jc w:val="left"/>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.发布公告的媒介：本公告在中国政府采购网发布。</w:t>
      </w:r>
    </w:p>
    <w:p>
      <w:pPr>
        <w:widowControl/>
        <w:spacing w:line="360" w:lineRule="auto"/>
        <w:jc w:val="left"/>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3</w:t>
      </w:r>
      <w:r>
        <w:rPr>
          <w:rFonts w:hint="eastAsia" w:ascii="宋体" w:hAnsi="宋体" w:cs="宋体"/>
          <w:bCs/>
          <w:color w:val="000000" w:themeColor="text1"/>
          <w:sz w:val="24"/>
          <w14:textFill>
            <w14:solidFill>
              <w14:schemeClr w14:val="tx1"/>
            </w14:solidFill>
          </w14:textFill>
        </w:rPr>
        <w:t>.需要落实的政府采购政策：如促进中小企业、监狱企业、残疾人福利性单位发展、扶持不发达地区和少数民族地区（如有相应的具体实施政策的）等。</w:t>
      </w:r>
    </w:p>
    <w:p>
      <w:pPr>
        <w:widowControl/>
        <w:spacing w:line="360" w:lineRule="auto"/>
        <w:jc w:val="left"/>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4</w:t>
      </w:r>
      <w:r>
        <w:rPr>
          <w:rFonts w:hint="eastAsia" w:ascii="宋体" w:hAnsi="宋体" w:cs="宋体"/>
          <w:bCs/>
          <w:color w:val="000000" w:themeColor="text1"/>
          <w:sz w:val="24"/>
          <w14:textFill>
            <w14:solidFill>
              <w14:schemeClr w14:val="tx1"/>
            </w14:solidFill>
          </w14:textFill>
        </w:rPr>
        <w:t>.响应文件请于投标当日（投标截止时间之前）递交至投标地点，逾期递交的文件恕不接受。</w:t>
      </w:r>
    </w:p>
    <w:p>
      <w:pPr>
        <w:widowControl/>
        <w:spacing w:line="360" w:lineRule="auto"/>
        <w:jc w:val="left"/>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.届时请供应商派代表参加开标仪式。参与开标仪式的人员应佩戴口罩、携带身份证。</w:t>
      </w:r>
    </w:p>
    <w:p>
      <w:pPr>
        <w:widowControl/>
        <w:spacing w:line="360" w:lineRule="auto"/>
        <w:jc w:val="left"/>
        <w:rPr>
          <w:rFonts w:ascii="宋体" w:hAnsi="宋体" w:cs="宋体"/>
          <w:bCs/>
          <w:color w:val="000000"/>
          <w:sz w:val="24"/>
        </w:rPr>
      </w:pPr>
      <w:r>
        <w:rPr>
          <w:rFonts w:ascii="宋体" w:hAnsi="宋体" w:cs="宋体"/>
          <w:bCs/>
          <w:color w:val="000000" w:themeColor="text1"/>
          <w:sz w:val="24"/>
          <w14:textFill>
            <w14:solidFill>
              <w14:schemeClr w14:val="tx1"/>
            </w14:solidFill>
          </w14:textFill>
        </w:rPr>
        <w:t>6</w:t>
      </w:r>
      <w:r>
        <w:rPr>
          <w:rFonts w:hint="eastAsia" w:ascii="宋体" w:hAnsi="宋体" w:cs="宋体"/>
          <w:bCs/>
          <w:color w:val="000000" w:themeColor="text1"/>
          <w:sz w:val="24"/>
          <w14:textFill>
            <w14:solidFill>
              <w14:schemeClr w14:val="tx1"/>
            </w14:solidFill>
          </w14:textFill>
        </w:rPr>
        <w:t>.如本磋商内容和磋商文件内容不一致，以磋商文件为准。</w:t>
      </w:r>
    </w:p>
    <w:p>
      <w:pPr>
        <w:spacing w:line="360" w:lineRule="auto"/>
        <w:rPr>
          <w:rFonts w:ascii="宋体" w:hAnsi="宋体"/>
          <w:b/>
          <w:color w:val="000000"/>
          <w:sz w:val="24"/>
        </w:rPr>
      </w:pPr>
      <w:r>
        <w:rPr>
          <w:rFonts w:hint="eastAsia" w:ascii="宋体" w:hAnsi="宋体"/>
          <w:b/>
          <w:color w:val="000000"/>
          <w:sz w:val="24"/>
        </w:rPr>
        <w:t>七、对本次招标提出询问，请按以下方式联系。</w:t>
      </w:r>
      <w:bookmarkEnd w:id="555"/>
      <w:bookmarkEnd w:id="556"/>
      <w:bookmarkEnd w:id="557"/>
      <w:bookmarkEnd w:id="558"/>
      <w:bookmarkEnd w:id="559"/>
      <w:bookmarkEnd w:id="560"/>
    </w:p>
    <w:p>
      <w:pPr>
        <w:spacing w:line="360" w:lineRule="auto"/>
        <w:rPr>
          <w:rFonts w:ascii="宋体" w:hAnsi="宋体"/>
          <w:b/>
          <w:color w:val="000000"/>
          <w:sz w:val="24"/>
        </w:rPr>
      </w:pPr>
      <w:r>
        <w:rPr>
          <w:rFonts w:hint="eastAsia" w:ascii="宋体" w:hAnsi="宋体"/>
          <w:b/>
          <w:color w:val="000000"/>
          <w:sz w:val="24"/>
        </w:rPr>
        <w:t>采购人：北京交通大学</w:t>
      </w:r>
    </w:p>
    <w:p>
      <w:pPr>
        <w:spacing w:line="360" w:lineRule="auto"/>
        <w:rPr>
          <w:rFonts w:ascii="宋体" w:hAnsi="宋体"/>
          <w:bCs/>
          <w:color w:val="000000"/>
          <w:sz w:val="24"/>
        </w:rPr>
      </w:pPr>
      <w:r>
        <w:rPr>
          <w:rFonts w:hint="eastAsia" w:ascii="宋体" w:hAnsi="宋体"/>
          <w:bCs/>
          <w:color w:val="000000"/>
          <w:sz w:val="24"/>
        </w:rPr>
        <w:t xml:space="preserve">地址：北京市海淀区上园村3号 </w:t>
      </w:r>
    </w:p>
    <w:p>
      <w:pPr>
        <w:spacing w:line="360" w:lineRule="auto"/>
        <w:rPr>
          <w:rFonts w:ascii="宋体" w:hAnsi="宋体"/>
          <w:bCs/>
          <w:color w:val="000000"/>
          <w:sz w:val="24"/>
        </w:rPr>
      </w:pPr>
      <w:r>
        <w:rPr>
          <w:rFonts w:hint="eastAsia" w:ascii="宋体" w:hAnsi="宋体"/>
          <w:bCs/>
          <w:color w:val="000000"/>
          <w:sz w:val="24"/>
        </w:rPr>
        <w:t>联系方式：侯老师/51683701</w:t>
      </w:r>
    </w:p>
    <w:p>
      <w:pPr>
        <w:spacing w:line="360" w:lineRule="auto"/>
        <w:rPr>
          <w:rFonts w:ascii="宋体" w:hAnsi="宋体"/>
          <w:b/>
          <w:color w:val="000000"/>
          <w:sz w:val="24"/>
        </w:rPr>
      </w:pPr>
      <w:r>
        <w:rPr>
          <w:rFonts w:hint="eastAsia" w:ascii="宋体" w:hAnsi="宋体"/>
          <w:b/>
          <w:color w:val="000000"/>
          <w:sz w:val="24"/>
        </w:rPr>
        <w:t>采购代理机构信息</w:t>
      </w:r>
    </w:p>
    <w:p>
      <w:pPr>
        <w:spacing w:line="360" w:lineRule="auto"/>
        <w:rPr>
          <w:rFonts w:ascii="宋体" w:hAnsi="宋体"/>
          <w:bCs/>
          <w:color w:val="000000"/>
          <w:sz w:val="24"/>
        </w:rPr>
      </w:pPr>
      <w:r>
        <w:rPr>
          <w:rFonts w:hint="eastAsia" w:ascii="宋体" w:hAnsi="宋体"/>
          <w:bCs/>
          <w:color w:val="000000"/>
          <w:sz w:val="24"/>
        </w:rPr>
        <w:t>采购代理机构：北京明德致信咨询有限公司</w:t>
      </w:r>
    </w:p>
    <w:p>
      <w:pPr>
        <w:spacing w:line="360" w:lineRule="auto"/>
        <w:rPr>
          <w:rFonts w:ascii="宋体" w:hAnsi="宋体"/>
          <w:bCs/>
          <w:color w:val="000000"/>
          <w:sz w:val="24"/>
        </w:rPr>
      </w:pPr>
      <w:r>
        <w:rPr>
          <w:rFonts w:hint="eastAsia" w:ascii="宋体" w:hAnsi="宋体"/>
          <w:bCs/>
          <w:color w:val="000000"/>
          <w:sz w:val="24"/>
        </w:rPr>
        <w:t>地址：北京市海淀区学院路30号科大天工大厦B座17层09室</w:t>
      </w:r>
    </w:p>
    <w:p>
      <w:pPr>
        <w:spacing w:line="360" w:lineRule="auto"/>
        <w:rPr>
          <w:rFonts w:ascii="宋体" w:hAnsi="宋体"/>
          <w:bCs/>
          <w:color w:val="000000"/>
          <w:sz w:val="24"/>
        </w:rPr>
      </w:pPr>
      <w:r>
        <w:rPr>
          <w:rFonts w:hint="eastAsia" w:ascii="宋体" w:hAnsi="宋体"/>
          <w:bCs/>
          <w:color w:val="000000"/>
          <w:sz w:val="24"/>
        </w:rPr>
        <w:t>项目负责人：</w:t>
      </w:r>
      <w:r>
        <w:rPr>
          <w:rFonts w:hint="eastAsia" w:ascii="宋体" w:hAnsi="宋体" w:cs="宋体"/>
          <w:color w:val="000000"/>
          <w:sz w:val="24"/>
        </w:rPr>
        <w:t>夏晓红、</w:t>
      </w:r>
      <w:r>
        <w:rPr>
          <w:rFonts w:hint="eastAsia" w:ascii="宋体" w:hAnsi="宋体"/>
          <w:bCs/>
          <w:color w:val="000000"/>
          <w:sz w:val="24"/>
        </w:rPr>
        <w:t>王希、吕绍山</w:t>
      </w:r>
    </w:p>
    <w:p>
      <w:pPr>
        <w:widowControl/>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bCs/>
          <w:color w:val="000000"/>
          <w:sz w:val="24"/>
        </w:rPr>
        <w:t>联系方式：010－8237</w:t>
      </w:r>
      <w:r>
        <w:rPr>
          <w:rFonts w:ascii="宋体" w:hAnsi="宋体"/>
          <w:bCs/>
          <w:color w:val="000000"/>
          <w:sz w:val="24"/>
        </w:rPr>
        <w:t>0045</w:t>
      </w:r>
      <w:r>
        <w:rPr>
          <w:rFonts w:hint="eastAsia" w:ascii="宋体" w:hAnsi="宋体"/>
          <w:bCs/>
          <w:color w:val="000000"/>
          <w:sz w:val="24"/>
        </w:rPr>
        <w:t>、</w:t>
      </w:r>
      <w:r>
        <w:rPr>
          <w:rFonts w:ascii="宋体" w:hAnsi="宋体"/>
          <w:bCs/>
          <w:color w:val="000000"/>
          <w:sz w:val="24"/>
        </w:rPr>
        <w:t xml:space="preserve">13601015707    </w:t>
      </w:r>
      <w:r>
        <w:rPr>
          <w:rFonts w:hint="eastAsia" w:ascii="宋体" w:hAnsi="宋体"/>
          <w:bCs/>
          <w:color w:val="000000"/>
          <w:sz w:val="24"/>
        </w:rPr>
        <w:t>电子邮件：</w:t>
      </w:r>
      <w:r>
        <w:fldChar w:fldCharType="begin"/>
      </w:r>
      <w:r>
        <w:instrText xml:space="preserve"> HYPERLINK "mailto:bjmdzx@vip.163.com" </w:instrText>
      </w:r>
      <w:r>
        <w:fldChar w:fldCharType="separate"/>
      </w:r>
      <w:r>
        <w:rPr>
          <w:rFonts w:hint="eastAsia" w:ascii="宋体" w:hAnsi="宋体"/>
          <w:bCs/>
          <w:color w:val="000000"/>
          <w:sz w:val="24"/>
        </w:rPr>
        <w:t>bjmdzx@vip.163.com</w:t>
      </w:r>
      <w:r>
        <w:rPr>
          <w:rFonts w:hint="eastAsia" w:ascii="宋体" w:hAnsi="宋体"/>
          <w:bCs/>
          <w:color w:val="000000"/>
          <w:sz w:val="24"/>
        </w:rPr>
        <w:fldChar w:fldCharType="end"/>
      </w:r>
      <w:bookmarkEnd w:id="517"/>
    </w:p>
    <w:bookmarkEnd w:id="524"/>
    <w:p>
      <w:pPr>
        <w:spacing w:line="360" w:lineRule="auto"/>
        <w:rPr>
          <w:color w:val="000000" w:themeColor="text1"/>
          <w14:textFill>
            <w14:solidFill>
              <w14:schemeClr w14:val="tx1"/>
            </w14:solidFill>
          </w14:textFill>
        </w:rPr>
        <w:sectPr>
          <w:pgSz w:w="11907" w:h="16840"/>
          <w:pgMar w:top="1758" w:right="1701" w:bottom="1588" w:left="1259" w:header="851" w:footer="992" w:gutter="0"/>
          <w:cols w:space="720" w:num="1"/>
          <w:docGrid w:linePitch="312" w:charSpace="0"/>
        </w:sectPr>
      </w:pPr>
    </w:p>
    <w:bookmarkEnd w:id="518"/>
    <w:p>
      <w:pPr>
        <w:pStyle w:val="2"/>
        <w:keepNext w:val="0"/>
        <w:keepLines w:val="0"/>
        <w:spacing w:before="0" w:after="0" w:line="360" w:lineRule="auto"/>
        <w:ind w:firstLine="1928" w:firstLineChars="600"/>
        <w:jc w:val="both"/>
        <w:rPr>
          <w:rFonts w:ascii="Times New Roman"/>
          <w:color w:val="000000" w:themeColor="text1"/>
          <w14:textFill>
            <w14:solidFill>
              <w14:schemeClr w14:val="tx1"/>
            </w14:solidFill>
          </w14:textFill>
        </w:rPr>
      </w:pPr>
      <w:bookmarkStart w:id="561" w:name="_Toc139531414"/>
      <w:r>
        <w:rPr>
          <w:rFonts w:hint="eastAsia" w:ascii="Times New Roman"/>
          <w:color w:val="000000" w:themeColor="text1"/>
          <w14:textFill>
            <w14:solidFill>
              <w14:schemeClr w14:val="tx1"/>
            </w14:solidFill>
          </w14:textFill>
        </w:rPr>
        <w:t>第五章  供应商须知资料表</w:t>
      </w:r>
      <w:bookmarkEnd w:id="519"/>
      <w:bookmarkEnd w:id="520"/>
      <w:bookmarkEnd w:id="521"/>
      <w:bookmarkEnd w:id="522"/>
      <w:bookmarkEnd w:id="561"/>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本表是对供应商须知的具体补充和修改，如有矛盾，应以本资料表为准。</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48"/>
        <w:gridCol w:w="66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条款号</w:t>
            </w:r>
          </w:p>
        </w:tc>
        <w:tc>
          <w:tcPr>
            <w:tcW w:w="6660" w:type="dxa"/>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内</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2"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1.1</w:t>
            </w:r>
          </w:p>
        </w:tc>
        <w:tc>
          <w:tcPr>
            <w:tcW w:w="6660" w:type="dxa"/>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采购人：北京交通大学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7"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11.1</w:t>
            </w:r>
          </w:p>
        </w:tc>
        <w:tc>
          <w:tcPr>
            <w:tcW w:w="6660" w:type="dxa"/>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磋商保证金：人民币</w:t>
            </w:r>
            <w:r>
              <w:rPr>
                <w:rFonts w:ascii="宋体" w:hAnsi="宋体"/>
                <w:color w:val="000000" w:themeColor="text1"/>
                <w:sz w:val="24"/>
                <w14:textFill>
                  <w14:solidFill>
                    <w14:schemeClr w14:val="tx1"/>
                  </w14:solidFill>
                </w14:textFill>
              </w:rPr>
              <w:t>74</w:t>
            </w:r>
            <w:r>
              <w:rPr>
                <w:rFonts w:hint="eastAsia" w:ascii="宋体" w:hAnsi="宋体"/>
                <w:color w:val="000000" w:themeColor="text1"/>
                <w:sz w:val="24"/>
                <w:lang w:val="en-US" w:eastAsia="zh-CN"/>
                <w14:textFill>
                  <w14:solidFill>
                    <w14:schemeClr w14:val="tx1"/>
                  </w14:solidFill>
                </w14:textFill>
              </w:rPr>
              <w:t>10</w:t>
            </w:r>
            <w:r>
              <w:rPr>
                <w:rFonts w:ascii="宋体" w:hAnsi="宋体"/>
                <w:color w:val="000000" w:themeColor="text1"/>
                <w:sz w:val="24"/>
                <w14:textFill>
                  <w14:solidFill>
                    <w14:schemeClr w14:val="tx1"/>
                  </w14:solidFill>
                </w14:textFill>
              </w:rPr>
              <w:t>元</w:t>
            </w:r>
            <w:r>
              <w:rPr>
                <w:rFonts w:hint="eastAsia" w:ascii="宋体" w:hAnsi="宋体"/>
                <w:color w:val="000000" w:themeColor="text1"/>
                <w:sz w:val="24"/>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11.6</w:t>
            </w:r>
          </w:p>
        </w:tc>
        <w:tc>
          <w:tcPr>
            <w:tcW w:w="6660" w:type="dxa"/>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成交服务费：按《招标代理服务收费管理暂行办法》（计价格[2002]1980号）及《国家发展改革委办公厅关于招标代理服务收费有关问题的通知》（发改办价格[2003]857号）执行，按差额定率累进法计算，由每包成交人按成交金额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3"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1.2.2</w:t>
            </w:r>
          </w:p>
        </w:tc>
        <w:tc>
          <w:tcPr>
            <w:tcW w:w="6660" w:type="dxa"/>
            <w:vAlign w:val="center"/>
          </w:tcPr>
          <w:p>
            <w:pPr>
              <w:spacing w:line="360" w:lineRule="auto"/>
              <w:ind w:left="1592" w:hanging="159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是否为专门面向中小企业：是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3"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12.1</w:t>
            </w:r>
          </w:p>
        </w:tc>
        <w:tc>
          <w:tcPr>
            <w:tcW w:w="6660" w:type="dxa"/>
            <w:vAlign w:val="center"/>
          </w:tcPr>
          <w:p>
            <w:pPr>
              <w:spacing w:line="360" w:lineRule="auto"/>
              <w:ind w:left="1592" w:hanging="159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磋商响应文件有效期：90天(日历日)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1"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13.1</w:t>
            </w:r>
          </w:p>
        </w:tc>
        <w:tc>
          <w:tcPr>
            <w:tcW w:w="6660" w:type="dxa"/>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磋商响应文件：正本：1份，副本：3份 </w:t>
            </w:r>
          </w:p>
          <w:p>
            <w:pPr>
              <w:spacing w:line="360" w:lineRule="auto"/>
              <w:ind w:firstLine="1560" w:firstLineChars="6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电子版文件（U盘）：</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94" w:hRule="atLeast"/>
        </w:trPr>
        <w:tc>
          <w:tcPr>
            <w:tcW w:w="1648" w:type="dxa"/>
            <w:vAlign w:val="center"/>
          </w:tcPr>
          <w:p>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15.1</w:t>
            </w:r>
          </w:p>
        </w:tc>
        <w:tc>
          <w:tcPr>
            <w:tcW w:w="6660" w:type="dxa"/>
            <w:vAlign w:val="center"/>
          </w:tcPr>
          <w:p>
            <w:pPr>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递交首次磋商响应文件截止时间：</w:t>
            </w:r>
            <w:r>
              <w:rPr>
                <w:rFonts w:hint="eastAsia" w:ascii="宋体" w:hAnsi="宋体"/>
                <w:color w:val="000000" w:themeColor="text1"/>
                <w:sz w:val="24"/>
                <w:highlight w:val="none"/>
                <w:u w:val="single"/>
                <w14:textFill>
                  <w14:solidFill>
                    <w14:schemeClr w14:val="tx1"/>
                  </w14:solidFill>
                </w14:textFill>
              </w:rPr>
              <w:t>202</w:t>
            </w:r>
            <w:r>
              <w:rPr>
                <w:rFonts w:ascii="宋体" w:hAnsi="宋体"/>
                <w:color w:val="000000" w:themeColor="text1"/>
                <w:sz w:val="24"/>
                <w:highlight w:val="none"/>
                <w:u w:val="singl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0</w:t>
            </w:r>
            <w:r>
              <w:rPr>
                <w:rFonts w:hint="eastAsia" w:ascii="宋体" w:hAnsi="宋体"/>
                <w:color w:val="000000" w:themeColor="text1"/>
                <w:sz w:val="24"/>
                <w:highlight w:val="none"/>
                <w:u w:val="single"/>
                <w:lang w:val="en-US" w:eastAsia="zh-CN"/>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lang w:val="en-US" w:eastAsia="zh-CN"/>
                <w14:textFill>
                  <w14:solidFill>
                    <w14:schemeClr w14:val="tx1"/>
                  </w14:solidFill>
                </w14:textFill>
              </w:rPr>
              <w:t>28</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u w:val="single"/>
                <w14:textFill>
                  <w14:solidFill>
                    <w14:schemeClr w14:val="tx1"/>
                  </w14:solidFill>
                </w14:textFill>
              </w:rPr>
              <w:t>上午0</w:t>
            </w:r>
            <w:r>
              <w:rPr>
                <w:rFonts w:hint="eastAsia" w:ascii="宋体" w:hAnsi="宋体"/>
                <w:color w:val="000000" w:themeColor="text1"/>
                <w:sz w:val="24"/>
                <w:highlight w:val="none"/>
                <w:u w:val="single"/>
                <w:lang w:val="en-US" w:eastAsia="zh-CN"/>
                <w14:textFill>
                  <w14:solidFill>
                    <w14:schemeClr w14:val="tx1"/>
                  </w14:solidFill>
                </w14:textFill>
              </w:rPr>
              <w:t>9</w:t>
            </w:r>
            <w:r>
              <w:rPr>
                <w:rFonts w:hint="eastAsia" w:ascii="宋体" w:hAnsi="宋体"/>
                <w:color w:val="000000" w:themeColor="text1"/>
                <w:sz w:val="24"/>
                <w:highlight w:val="none"/>
                <w:u w:val="single"/>
                <w14:textFill>
                  <w14:solidFill>
                    <w14:schemeClr w14:val="tx1"/>
                  </w14:solidFill>
                </w14:textFill>
              </w:rPr>
              <w:t>:</w:t>
            </w:r>
            <w:r>
              <w:rPr>
                <w:rFonts w:hint="eastAsia" w:ascii="宋体" w:hAnsi="宋体"/>
                <w:color w:val="000000" w:themeColor="text1"/>
                <w:sz w:val="24"/>
                <w:highlight w:val="none"/>
                <w:u w:val="single"/>
                <w:lang w:val="en-US" w:eastAsia="zh-CN"/>
                <w14:textFill>
                  <w14:solidFill>
                    <w14:schemeClr w14:val="tx1"/>
                  </w14:solidFill>
                </w14:textFill>
              </w:rPr>
              <w:t>3</w:t>
            </w:r>
            <w:r>
              <w:rPr>
                <w:rFonts w:hint="eastAsia" w:ascii="宋体" w:hAnsi="宋体"/>
                <w:color w:val="000000" w:themeColor="text1"/>
                <w:sz w:val="24"/>
                <w:highlight w:val="none"/>
                <w:u w:val="single"/>
                <w14:textFill>
                  <w14:solidFill>
                    <w14:schemeClr w14:val="tx1"/>
                  </w14:solidFill>
                </w14:textFill>
              </w:rPr>
              <w:t>0</w:t>
            </w:r>
            <w:r>
              <w:rPr>
                <w:rFonts w:hint="eastAsia" w:ascii="宋体" w:hAnsi="宋体"/>
                <w:color w:val="000000" w:themeColor="text1"/>
                <w:sz w:val="24"/>
                <w:highlight w:val="none"/>
                <w14:textFill>
                  <w14:solidFill>
                    <w14:schemeClr w14:val="tx1"/>
                  </w14:solidFill>
                </w14:textFill>
              </w:rPr>
              <w:t>（北京时间）。</w:t>
            </w:r>
          </w:p>
          <w:p>
            <w:pPr>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首次开启磋商响应文件时间：</w:t>
            </w:r>
            <w:r>
              <w:rPr>
                <w:rFonts w:hint="eastAsia" w:ascii="宋体" w:hAnsi="宋体"/>
                <w:color w:val="000000" w:themeColor="text1"/>
                <w:sz w:val="24"/>
                <w:highlight w:val="none"/>
                <w:u w:val="single"/>
                <w14:textFill>
                  <w14:solidFill>
                    <w14:schemeClr w14:val="tx1"/>
                  </w14:solidFill>
                </w14:textFill>
              </w:rPr>
              <w:t>202</w:t>
            </w:r>
            <w:r>
              <w:rPr>
                <w:rFonts w:ascii="宋体" w:hAnsi="宋体"/>
                <w:color w:val="000000" w:themeColor="text1"/>
                <w:sz w:val="24"/>
                <w:highlight w:val="none"/>
                <w:u w:val="singl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0</w:t>
            </w:r>
            <w:r>
              <w:rPr>
                <w:rFonts w:hint="eastAsia" w:ascii="宋体" w:hAnsi="宋体"/>
                <w:color w:val="000000" w:themeColor="text1"/>
                <w:sz w:val="24"/>
                <w:highlight w:val="none"/>
                <w:u w:val="single"/>
                <w:lang w:val="en-US" w:eastAsia="zh-CN"/>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lang w:val="en-US" w:eastAsia="zh-CN"/>
                <w14:textFill>
                  <w14:solidFill>
                    <w14:schemeClr w14:val="tx1"/>
                  </w14:solidFill>
                </w14:textFill>
              </w:rPr>
              <w:t>28</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u w:val="single"/>
                <w14:textFill>
                  <w14:solidFill>
                    <w14:schemeClr w14:val="tx1"/>
                  </w14:solidFill>
                </w14:textFill>
              </w:rPr>
              <w:t>上午0</w:t>
            </w:r>
            <w:r>
              <w:rPr>
                <w:rFonts w:hint="eastAsia" w:ascii="宋体" w:hAnsi="宋体"/>
                <w:color w:val="000000" w:themeColor="text1"/>
                <w:sz w:val="24"/>
                <w:highlight w:val="none"/>
                <w:u w:val="single"/>
                <w:lang w:val="en-US" w:eastAsia="zh-CN"/>
                <w14:textFill>
                  <w14:solidFill>
                    <w14:schemeClr w14:val="tx1"/>
                  </w14:solidFill>
                </w14:textFill>
              </w:rPr>
              <w:t>9</w:t>
            </w:r>
            <w:r>
              <w:rPr>
                <w:rFonts w:hint="eastAsia" w:ascii="宋体" w:hAnsi="宋体"/>
                <w:color w:val="000000" w:themeColor="text1"/>
                <w:sz w:val="24"/>
                <w:highlight w:val="none"/>
                <w:u w:val="single"/>
                <w14:textFill>
                  <w14:solidFill>
                    <w14:schemeClr w14:val="tx1"/>
                  </w14:solidFill>
                </w14:textFill>
              </w:rPr>
              <w:t>:</w:t>
            </w:r>
            <w:r>
              <w:rPr>
                <w:rFonts w:hint="eastAsia" w:ascii="宋体" w:hAnsi="宋体"/>
                <w:color w:val="000000" w:themeColor="text1"/>
                <w:sz w:val="24"/>
                <w:highlight w:val="none"/>
                <w:u w:val="single"/>
                <w:lang w:val="en-US" w:eastAsia="zh-CN"/>
                <w14:textFill>
                  <w14:solidFill>
                    <w14:schemeClr w14:val="tx1"/>
                  </w14:solidFill>
                </w14:textFill>
              </w:rPr>
              <w:t>3</w:t>
            </w:r>
            <w:r>
              <w:rPr>
                <w:rFonts w:hint="eastAsia" w:ascii="宋体" w:hAnsi="宋体"/>
                <w:color w:val="000000" w:themeColor="text1"/>
                <w:sz w:val="24"/>
                <w:highlight w:val="none"/>
                <w:u w:val="single"/>
                <w14:textFill>
                  <w14:solidFill>
                    <w14:schemeClr w14:val="tx1"/>
                  </w14:solidFill>
                </w14:textFill>
              </w:rPr>
              <w:t>0</w:t>
            </w:r>
            <w:r>
              <w:rPr>
                <w:rFonts w:hint="eastAsia" w:ascii="宋体" w:hAnsi="宋体"/>
                <w:color w:val="000000" w:themeColor="text1"/>
                <w:sz w:val="24"/>
                <w:highlight w:val="none"/>
                <w14:textFill>
                  <w14:solidFill>
                    <w14:schemeClr w14:val="tx1"/>
                  </w14:solidFill>
                </w14:textFill>
              </w:rPr>
              <w:t>（北京时间）。</w:t>
            </w:r>
          </w:p>
          <w:p>
            <w:pPr>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竞争性磋商会议地点：</w:t>
            </w:r>
            <w:r>
              <w:rPr>
                <w:rFonts w:hint="eastAsia" w:ascii="宋体" w:hAnsi="宋体" w:cs="宋体"/>
                <w:color w:val="000000" w:themeColor="text1"/>
                <w:sz w:val="24"/>
                <w:highlight w:val="none"/>
                <w:u w:val="single"/>
                <w14:textFill>
                  <w14:solidFill>
                    <w14:schemeClr w14:val="tx1"/>
                  </w14:solidFill>
                </w14:textFill>
              </w:rPr>
              <w:t>北京市海淀区学院路30号科科大天工大厦B座</w:t>
            </w:r>
            <w:r>
              <w:rPr>
                <w:rFonts w:ascii="宋体" w:hAnsi="宋体" w:cs="宋体"/>
                <w:color w:val="000000" w:themeColor="text1"/>
                <w:sz w:val="24"/>
                <w:highlight w:val="none"/>
                <w:u w:val="single"/>
                <w14:textFill>
                  <w14:solidFill>
                    <w14:schemeClr w14:val="tx1"/>
                  </w14:solidFill>
                </w14:textFill>
              </w:rPr>
              <w:t>17</w:t>
            </w:r>
            <w:r>
              <w:rPr>
                <w:rFonts w:hint="eastAsia" w:ascii="宋体" w:hAnsi="宋体" w:cs="宋体"/>
                <w:color w:val="000000" w:themeColor="text1"/>
                <w:sz w:val="24"/>
                <w:highlight w:val="none"/>
                <w:u w:val="single"/>
                <w14:textFill>
                  <w14:solidFill>
                    <w14:schemeClr w14:val="tx1"/>
                  </w14:solidFill>
                </w14:textFill>
              </w:rPr>
              <w:t>层1</w:t>
            </w:r>
            <w:r>
              <w:rPr>
                <w:rFonts w:ascii="宋体" w:hAnsi="宋体" w:cs="宋体"/>
                <w:color w:val="000000" w:themeColor="text1"/>
                <w:sz w:val="24"/>
                <w:highlight w:val="none"/>
                <w:u w:val="single"/>
                <w14:textFill>
                  <w14:solidFill>
                    <w14:schemeClr w14:val="tx1"/>
                  </w14:solidFill>
                </w14:textFill>
              </w:rPr>
              <w:t>706</w:t>
            </w:r>
            <w:r>
              <w:rPr>
                <w:rFonts w:hint="eastAsia" w:ascii="宋体" w:hAnsi="宋体" w:cs="宋体"/>
                <w:color w:val="000000" w:themeColor="text1"/>
                <w:sz w:val="24"/>
                <w:highlight w:val="none"/>
                <w:u w:val="single"/>
                <w14:textFill>
                  <w14:solidFill>
                    <w14:schemeClr w14:val="tx1"/>
                  </w14:solidFill>
                </w14:textFill>
              </w:rPr>
              <w:t>第</w:t>
            </w:r>
            <w:r>
              <w:rPr>
                <w:rFonts w:hint="eastAsia" w:ascii="宋体" w:hAnsi="宋体" w:cs="宋体"/>
                <w:color w:val="000000" w:themeColor="text1"/>
                <w:sz w:val="24"/>
                <w:highlight w:val="none"/>
                <w:u w:val="single"/>
                <w:lang w:val="en-US" w:eastAsia="zh-CN"/>
                <w14:textFill>
                  <w14:solidFill>
                    <w14:schemeClr w14:val="tx1"/>
                  </w14:solidFill>
                </w14:textFill>
              </w:rPr>
              <w:t>二</w:t>
            </w:r>
            <w:r>
              <w:rPr>
                <w:rFonts w:hint="eastAsia" w:ascii="宋体" w:hAnsi="宋体" w:cs="宋体"/>
                <w:color w:val="000000" w:themeColor="text1"/>
                <w:sz w:val="24"/>
                <w:highlight w:val="none"/>
                <w:u w:val="single"/>
                <w14:textFill>
                  <w14:solidFill>
                    <w14:schemeClr w14:val="tx1"/>
                  </w14:solidFill>
                </w14:textFill>
              </w:rPr>
              <w:t>会议室。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w:t>
            </w:r>
            <w:r>
              <w:rPr>
                <w:rFonts w:ascii="宋体" w:hAnsi="宋体"/>
                <w:color w:val="000000" w:themeColor="text1"/>
                <w:sz w:val="24"/>
                <w14:textFill>
                  <w14:solidFill>
                    <w14:schemeClr w14:val="tx1"/>
                  </w14:solidFill>
                </w14:textFill>
              </w:rPr>
              <w:t>5</w:t>
            </w:r>
          </w:p>
        </w:tc>
        <w:tc>
          <w:tcPr>
            <w:tcW w:w="6660" w:type="dxa"/>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评审方法：在最大限度地满足磋商文件实质性要求的前提下，按照磋商文件中规定的各项因素进行综合评审后，按每包评审总得分高低顺序推荐前3家供应商依次作为本项目成交候选供应商的评审方法（本项目提交响应文件供应商只有</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家时，推荐前</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家供应商）。磋商小组所有成员对各供应商进行独立打分，所有评委对同一供应商打分的算数平均值为该供应商的最终得分（全部打分保留小数点二位，第三位四舍五入）。</w:t>
            </w:r>
          </w:p>
        </w:tc>
      </w:tr>
    </w:tbl>
    <w:p>
      <w:pPr>
        <w:rPr>
          <w:color w:val="000000" w:themeColor="text1"/>
          <w14:textFill>
            <w14:solidFill>
              <w14:schemeClr w14:val="tx1"/>
            </w14:solidFill>
          </w14:textFill>
        </w:rPr>
        <w:sectPr>
          <w:pgSz w:w="11907" w:h="16840"/>
          <w:pgMar w:top="1758" w:right="1701" w:bottom="1588" w:left="1259" w:header="851" w:footer="992" w:gutter="0"/>
          <w:cols w:space="720" w:num="1"/>
          <w:docGrid w:linePitch="312" w:charSpace="0"/>
        </w:sectPr>
      </w:pPr>
      <w:bookmarkStart w:id="562" w:name="_Toc133916725"/>
      <w:bookmarkStart w:id="563" w:name="_Toc277942535"/>
    </w:p>
    <w:bookmarkEnd w:id="562"/>
    <w:bookmarkEnd w:id="563"/>
    <w:p>
      <w:pPr>
        <w:pStyle w:val="2"/>
        <w:keepNext w:val="0"/>
        <w:keepLines w:val="0"/>
        <w:spacing w:before="0" w:after="0" w:line="360" w:lineRule="auto"/>
        <w:rPr>
          <w:rFonts w:ascii="Times New Roman"/>
          <w:color w:val="000000" w:themeColor="text1"/>
          <w14:textFill>
            <w14:solidFill>
              <w14:schemeClr w14:val="tx1"/>
            </w14:solidFill>
          </w14:textFill>
        </w:rPr>
      </w:pPr>
      <w:bookmarkStart w:id="564" w:name="_Toc133916726"/>
      <w:bookmarkStart w:id="565" w:name="_Toc139531415"/>
      <w:bookmarkStart w:id="566" w:name="_Hlk140505501"/>
      <w:r>
        <w:rPr>
          <w:rFonts w:hint="eastAsia" w:ascii="Times New Roman"/>
          <w:color w:val="000000" w:themeColor="text1"/>
          <w14:textFill>
            <w14:solidFill>
              <w14:schemeClr w14:val="tx1"/>
            </w14:solidFill>
          </w14:textFill>
        </w:rPr>
        <w:t xml:space="preserve">第六章  </w:t>
      </w:r>
      <w:bookmarkEnd w:id="564"/>
      <w:r>
        <w:rPr>
          <w:rFonts w:hint="eastAsia" w:ascii="Times New Roman"/>
          <w:color w:val="000000" w:themeColor="text1"/>
          <w14:textFill>
            <w14:solidFill>
              <w14:schemeClr w14:val="tx1"/>
            </w14:solidFill>
          </w14:textFill>
        </w:rPr>
        <w:t>货物需求一览表及技术需求</w:t>
      </w:r>
      <w:bookmarkEnd w:id="565"/>
    </w:p>
    <w:p>
      <w:pPr>
        <w:jc w:val="center"/>
        <w:rPr>
          <w:b/>
          <w:color w:val="000000" w:themeColor="text1"/>
          <w:sz w:val="28"/>
          <w:szCs w:val="28"/>
          <w14:textFill>
            <w14:solidFill>
              <w14:schemeClr w14:val="tx1"/>
            </w14:solidFill>
          </w14:textFill>
        </w:rPr>
      </w:pPr>
      <w:bookmarkStart w:id="567" w:name="_Toc512937853"/>
      <w:bookmarkStart w:id="568" w:name="_Toc290558067"/>
      <w:r>
        <w:rPr>
          <w:rFonts w:hint="eastAsia"/>
          <w:b/>
          <w:color w:val="000000" w:themeColor="text1"/>
          <w:sz w:val="28"/>
          <w:szCs w:val="28"/>
          <w14:textFill>
            <w14:solidFill>
              <w14:schemeClr w14:val="tx1"/>
            </w14:solidFill>
          </w14:textFill>
        </w:rPr>
        <w:t>第一部分  需求一览表</w:t>
      </w:r>
      <w:bookmarkEnd w:id="567"/>
      <w:bookmarkEnd w:id="568"/>
    </w:p>
    <w:p>
      <w:pPr>
        <w:jc w:val="center"/>
        <w:rPr>
          <w:b/>
          <w:color w:val="000000" w:themeColor="text1"/>
          <w:sz w:val="28"/>
          <w:szCs w:val="28"/>
          <w14:textFill>
            <w14:solidFill>
              <w14:schemeClr w14:val="tx1"/>
            </w14:solidFill>
          </w14:textFill>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4320"/>
        <w:gridCol w:w="108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spacing w:line="360" w:lineRule="auto"/>
              <w:jc w:val="center"/>
              <w:rPr>
                <w:rFonts w:ascii="宋体" w:hAnsi="宋体"/>
                <w:sz w:val="24"/>
              </w:rPr>
            </w:pPr>
            <w:r>
              <w:rPr>
                <w:rFonts w:hint="eastAsia" w:ascii="宋体" w:hAnsi="宋体"/>
                <w:sz w:val="24"/>
              </w:rPr>
              <w:t>包号</w:t>
            </w:r>
          </w:p>
        </w:tc>
        <w:tc>
          <w:tcPr>
            <w:tcW w:w="4320" w:type="dxa"/>
            <w:vAlign w:val="center"/>
          </w:tcPr>
          <w:p>
            <w:pPr>
              <w:spacing w:line="360" w:lineRule="auto"/>
              <w:jc w:val="center"/>
              <w:rPr>
                <w:rFonts w:ascii="宋体" w:hAnsi="宋体"/>
                <w:sz w:val="24"/>
              </w:rPr>
            </w:pPr>
            <w:r>
              <w:rPr>
                <w:rFonts w:hint="eastAsia" w:ascii="宋体" w:hAnsi="宋体"/>
                <w:sz w:val="24"/>
              </w:rPr>
              <w:t>本包的名称</w:t>
            </w:r>
          </w:p>
        </w:tc>
        <w:tc>
          <w:tcPr>
            <w:tcW w:w="1080" w:type="dxa"/>
            <w:vAlign w:val="center"/>
          </w:tcPr>
          <w:p>
            <w:pPr>
              <w:spacing w:line="360" w:lineRule="auto"/>
              <w:jc w:val="center"/>
              <w:rPr>
                <w:rFonts w:ascii="宋体" w:hAnsi="宋体"/>
                <w:sz w:val="24"/>
              </w:rPr>
            </w:pPr>
            <w:r>
              <w:rPr>
                <w:rFonts w:hint="eastAsia" w:ascii="宋体" w:hAnsi="宋体"/>
                <w:sz w:val="24"/>
              </w:rPr>
              <w:t>数量</w:t>
            </w:r>
          </w:p>
        </w:tc>
        <w:tc>
          <w:tcPr>
            <w:tcW w:w="2294" w:type="dxa"/>
            <w:vAlign w:val="center"/>
          </w:tcPr>
          <w:p>
            <w:pPr>
              <w:spacing w:line="360" w:lineRule="auto"/>
              <w:jc w:val="center"/>
              <w:rPr>
                <w:rFonts w:ascii="宋体" w:hAnsi="宋体"/>
                <w:sz w:val="24"/>
              </w:rPr>
            </w:pPr>
            <w:r>
              <w:rPr>
                <w:rFonts w:hint="eastAsia" w:ascii="宋体" w:hAnsi="宋体"/>
                <w:sz w:val="24"/>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spacing w:line="360" w:lineRule="auto"/>
              <w:jc w:val="center"/>
              <w:rPr>
                <w:rFonts w:ascii="宋体" w:hAnsi="宋体"/>
                <w:sz w:val="24"/>
              </w:rPr>
            </w:pPr>
            <w:r>
              <w:rPr>
                <w:rFonts w:hint="eastAsia" w:ascii="宋体" w:hAnsi="宋体"/>
                <w:sz w:val="24"/>
              </w:rPr>
              <w:t>01</w:t>
            </w:r>
          </w:p>
        </w:tc>
        <w:tc>
          <w:tcPr>
            <w:tcW w:w="4320" w:type="dxa"/>
            <w:vAlign w:val="center"/>
          </w:tcPr>
          <w:p>
            <w:pPr>
              <w:spacing w:line="360" w:lineRule="auto"/>
              <w:jc w:val="center"/>
              <w:rPr>
                <w:rFonts w:ascii="宋体" w:hAnsi="宋体"/>
                <w:sz w:val="24"/>
              </w:rPr>
            </w:pPr>
            <w:r>
              <w:rPr>
                <w:rFonts w:hint="eastAsia" w:ascii="宋体" w:hAnsi="宋体"/>
                <w:sz w:val="24"/>
              </w:rPr>
              <w:t>机车轮驱跑合试验故障自动诊断设备</w:t>
            </w:r>
          </w:p>
        </w:tc>
        <w:tc>
          <w:tcPr>
            <w:tcW w:w="1080" w:type="dxa"/>
            <w:vAlign w:val="center"/>
          </w:tcPr>
          <w:p>
            <w:pPr>
              <w:spacing w:line="360" w:lineRule="auto"/>
              <w:jc w:val="center"/>
              <w:rPr>
                <w:rFonts w:ascii="宋体" w:hAnsi="宋体"/>
                <w:sz w:val="24"/>
              </w:rPr>
            </w:pPr>
            <w:r>
              <w:rPr>
                <w:rFonts w:hint="eastAsia" w:ascii="宋体" w:hAnsi="宋体"/>
                <w:sz w:val="24"/>
              </w:rPr>
              <w:t>一批</w:t>
            </w:r>
          </w:p>
        </w:tc>
        <w:tc>
          <w:tcPr>
            <w:tcW w:w="2294" w:type="dxa"/>
            <w:vAlign w:val="center"/>
          </w:tcPr>
          <w:p>
            <w:pPr>
              <w:spacing w:line="360" w:lineRule="auto"/>
              <w:rPr>
                <w:rFonts w:ascii="宋体" w:hAnsi="宋体"/>
                <w:sz w:val="24"/>
              </w:rPr>
            </w:pPr>
            <w:r>
              <w:rPr>
                <w:rFonts w:hint="eastAsia" w:ascii="宋体" w:hAnsi="宋体"/>
                <w:sz w:val="24"/>
              </w:rPr>
              <w:t>494000.00元</w:t>
            </w:r>
          </w:p>
        </w:tc>
      </w:tr>
    </w:tbl>
    <w:p>
      <w:pPr>
        <w:jc w:val="left"/>
        <w:rPr>
          <w:rFonts w:ascii="宋体" w:hAnsi="宋体" w:cs="Arial"/>
          <w:b/>
          <w:color w:val="000000" w:themeColor="text1"/>
          <w:kern w:val="0"/>
          <w:sz w:val="24"/>
          <w14:textFill>
            <w14:solidFill>
              <w14:schemeClr w14:val="tx1"/>
            </w14:solidFill>
          </w14:textFill>
        </w:rPr>
      </w:pPr>
    </w:p>
    <w:p>
      <w:pPr>
        <w:spacing w:line="360" w:lineRule="auto"/>
        <w:jc w:val="left"/>
        <w:rPr>
          <w:rFonts w:ascii="宋体" w:hAnsi="宋体" w:cs="Arial"/>
          <w:b/>
          <w:color w:val="000000" w:themeColor="text1"/>
          <w:kern w:val="0"/>
          <w:sz w:val="24"/>
          <w14:textFill>
            <w14:solidFill>
              <w14:schemeClr w14:val="tx1"/>
            </w14:solidFill>
          </w14:textFill>
        </w:rPr>
      </w:pPr>
      <w:r>
        <w:rPr>
          <w:rFonts w:hint="eastAsia" w:ascii="宋体" w:hAnsi="宋体" w:cs="Arial"/>
          <w:b/>
          <w:color w:val="000000" w:themeColor="text1"/>
          <w:kern w:val="0"/>
          <w:sz w:val="24"/>
          <w14:textFill>
            <w14:solidFill>
              <w14:schemeClr w14:val="tx1"/>
            </w14:solidFill>
          </w14:textFill>
        </w:rPr>
        <w:t>注：1、本项目不接受进口产品和服务。</w:t>
      </w:r>
    </w:p>
    <w:p>
      <w:pPr>
        <w:spacing w:line="360" w:lineRule="auto"/>
        <w:ind w:firstLine="482" w:firstLineChars="200"/>
        <w:jc w:val="left"/>
        <w:rPr>
          <w:rFonts w:ascii="宋体" w:hAnsi="宋体"/>
          <w:b/>
          <w:color w:val="000000" w:themeColor="text1"/>
          <w:sz w:val="24"/>
          <w14:textFill>
            <w14:solidFill>
              <w14:schemeClr w14:val="tx1"/>
            </w14:solidFill>
          </w14:textFill>
        </w:rPr>
      </w:pPr>
      <w:r>
        <w:rPr>
          <w:rFonts w:hint="eastAsia" w:ascii="宋体" w:hAnsi="宋体" w:cs="Arial"/>
          <w:b/>
          <w:color w:val="000000" w:themeColor="text1"/>
          <w:kern w:val="0"/>
          <w:sz w:val="24"/>
          <w14:textFill>
            <w14:solidFill>
              <w14:schemeClr w14:val="tx1"/>
            </w14:solidFill>
          </w14:textFill>
        </w:rPr>
        <w:t>2、具体采购内容详见第二部分技术规格及要求。</w:t>
      </w:r>
    </w:p>
    <w:p>
      <w:pPr>
        <w:spacing w:line="360" w:lineRule="auto"/>
        <w:ind w:firstLine="482" w:firstLineChars="200"/>
        <w:jc w:val="left"/>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3</w:t>
      </w:r>
      <w:r>
        <w:rPr>
          <w:rFonts w:hint="eastAsia" w:ascii="宋体" w:hAnsi="宋体"/>
          <w:b/>
          <w:color w:val="000000" w:themeColor="text1"/>
          <w:sz w:val="24"/>
          <w14:textFill>
            <w14:solidFill>
              <w14:schemeClr w14:val="tx1"/>
            </w14:solidFill>
          </w14:textFill>
        </w:rPr>
        <w:t>、任何时候供应商的磋商报价不得超出预算金额，否则其磋商响应将被拒绝。</w:t>
      </w:r>
    </w:p>
    <w:p>
      <w:pPr>
        <w:spacing w:line="360" w:lineRule="auto"/>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 xml:space="preserve">第二部分  </w:t>
      </w:r>
      <w:r>
        <w:rPr>
          <w:b/>
          <w:color w:val="000000" w:themeColor="text1"/>
          <w:sz w:val="28"/>
          <w:szCs w:val="28"/>
          <w14:textFill>
            <w14:solidFill>
              <w14:schemeClr w14:val="tx1"/>
            </w14:solidFill>
          </w14:textFill>
        </w:rPr>
        <w:t>技术规格及要求</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698"/>
        <w:gridCol w:w="3702"/>
        <w:gridCol w:w="90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品目</w:t>
            </w:r>
          </w:p>
        </w:tc>
        <w:tc>
          <w:tcPr>
            <w:tcW w:w="169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名称</w:t>
            </w:r>
          </w:p>
        </w:tc>
        <w:tc>
          <w:tcPr>
            <w:tcW w:w="3702"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技术参数</w:t>
            </w:r>
          </w:p>
        </w:tc>
        <w:tc>
          <w:tcPr>
            <w:tcW w:w="900"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数量</w:t>
            </w:r>
          </w:p>
        </w:tc>
        <w:tc>
          <w:tcPr>
            <w:tcW w:w="1394"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698" w:type="dxa"/>
            <w:vAlign w:val="center"/>
          </w:tcPr>
          <w:p>
            <w:pPr>
              <w:widowControl/>
              <w:jc w:val="left"/>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sz w:val="24"/>
              </w:rPr>
              <w:t>驱动轮加工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定制，符合图纸尺寸要求，热处理HRC56</w:t>
            </w:r>
          </w:p>
        </w:tc>
        <w:tc>
          <w:tcPr>
            <w:tcW w:w="900" w:type="dxa"/>
            <w:vAlign w:val="center"/>
          </w:tcPr>
          <w:p>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1</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导向轮加工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定制，符合图纸尺寸要求，热处理HRC56</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4</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导向块加工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定制，符合图纸尺寸要求，热处理HRC45,整件探伤</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2</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导向杆加工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定制，符合图纸尺寸要求，热处理HRC40,整件探伤</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8</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轴承座加工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定制，符合图纸尺寸要求，同轴度≤0.03mm</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4</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信号预处理电路板加工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定制，符合图纸生产，防静电处理</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4</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控制模块机箱加工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定制，符合图纸生产，板材厚度不低于1.5mm</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30</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加速度采集电路板加工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定制，符合图纸生产，防静电处理</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4</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转速采集电路板加工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定制，符合图纸生产，防静电处理</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20</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温度采集电路板加工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定制，符合图纸生产，防静电处理</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4</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11</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信号采集机箱加工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定制，符合图纸生产，板材厚度不低于1.5mm</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8</w:t>
            </w:r>
          </w:p>
        </w:tc>
        <w:tc>
          <w:tcPr>
            <w:tcW w:w="1394" w:type="dxa"/>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12</w:t>
            </w:r>
          </w:p>
        </w:tc>
        <w:tc>
          <w:tcPr>
            <w:tcW w:w="1698"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机柜加工</w:t>
            </w:r>
          </w:p>
        </w:tc>
        <w:tc>
          <w:tcPr>
            <w:tcW w:w="3702"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定制，符合图纸生产，板材厚度不低于1.5mm</w:t>
            </w:r>
          </w:p>
        </w:tc>
        <w:tc>
          <w:tcPr>
            <w:tcW w:w="900"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5</w:t>
            </w:r>
          </w:p>
        </w:tc>
        <w:tc>
          <w:tcPr>
            <w:tcW w:w="1394" w:type="dxa"/>
          </w:tcPr>
          <w:p>
            <w:pPr>
              <w:rPr>
                <w:rFonts w:asciiTheme="minorEastAsia" w:hAnsiTheme="minorEastAsia" w:eastAsiaTheme="minorEastAsia" w:cstheme="minorEastAsia"/>
                <w:sz w:val="24"/>
              </w:rPr>
            </w:pPr>
          </w:p>
        </w:tc>
      </w:tr>
    </w:tbl>
    <w:p/>
    <w:p>
      <w:pPr>
        <w:spacing w:line="360" w:lineRule="auto"/>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三、商务要求：</w:t>
      </w:r>
    </w:p>
    <w:p>
      <w:pPr>
        <w:spacing w:line="360" w:lineRule="auto"/>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1.交货地点和服务要求</w:t>
      </w:r>
    </w:p>
    <w:p>
      <w:pPr>
        <w:spacing w:line="360" w:lineRule="auto"/>
        <w:jc w:val="left"/>
        <w:rPr>
          <w:rFonts w:ascii="宋体" w:hAnsi="宋体"/>
          <w:color w:val="000000" w:themeColor="text1"/>
          <w:sz w:val="24"/>
          <w:szCs w:val="32"/>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交货地点：</w:t>
      </w:r>
      <w:r>
        <w:rPr>
          <w:rFonts w:hint="eastAsia" w:ascii="宋体" w:hAnsi="宋体"/>
          <w:color w:val="000000" w:themeColor="text1"/>
          <w:sz w:val="24"/>
          <w:szCs w:val="32"/>
          <w14:textFill>
            <w14:solidFill>
              <w14:schemeClr w14:val="tx1"/>
            </w14:solidFill>
          </w14:textFill>
        </w:rPr>
        <w:t>甲方指定地点</w:t>
      </w:r>
    </w:p>
    <w:p>
      <w:pPr>
        <w:spacing w:line="360" w:lineRule="auto"/>
        <w:jc w:val="left"/>
        <w:rPr>
          <w:rFonts w:ascii="宋体" w:hAnsi="宋体"/>
          <w:color w:val="000000" w:themeColor="text1"/>
          <w:sz w:val="24"/>
          <w:szCs w:val="32"/>
          <w14:textFill>
            <w14:solidFill>
              <w14:schemeClr w14:val="tx1"/>
            </w14:solidFill>
          </w14:textFill>
        </w:rPr>
      </w:pPr>
      <w:r>
        <w:rPr>
          <w:rFonts w:hint="eastAsia" w:ascii="宋体" w:hAnsi="宋体"/>
          <w:b/>
          <w:bCs/>
          <w:color w:val="000000" w:themeColor="text1"/>
          <w:sz w:val="24"/>
          <w:szCs w:val="32"/>
          <w14:textFill>
            <w14:solidFill>
              <w14:schemeClr w14:val="tx1"/>
            </w14:solidFill>
          </w14:textFill>
        </w:rPr>
        <w:t>交货时间：</w:t>
      </w:r>
      <w:r>
        <w:rPr>
          <w:rFonts w:hint="eastAsia" w:ascii="宋体" w:hAnsi="宋体"/>
          <w:color w:val="000000" w:themeColor="text1"/>
          <w:sz w:val="24"/>
          <w:szCs w:val="32"/>
          <w14:textFill>
            <w14:solidFill>
              <w14:schemeClr w14:val="tx1"/>
            </w14:solidFill>
          </w14:textFill>
        </w:rPr>
        <w:t>合同签订后四个月内交付。</w:t>
      </w:r>
    </w:p>
    <w:p>
      <w:pPr>
        <w:tabs>
          <w:tab w:val="left" w:pos="312"/>
        </w:tabs>
        <w:spacing w:line="360" w:lineRule="auto"/>
        <w:rPr>
          <w:rFonts w:ascii="宋体" w:hAnsi="宋体"/>
          <w:color w:val="000000" w:themeColor="text1"/>
          <w:sz w:val="24"/>
          <w:szCs w:val="32"/>
          <w14:textFill>
            <w14:solidFill>
              <w14:schemeClr w14:val="tx1"/>
            </w14:solidFill>
          </w14:textFill>
        </w:rPr>
      </w:pPr>
      <w:r>
        <w:rPr>
          <w:rFonts w:hint="eastAsia" w:ascii="宋体" w:hAnsi="宋体"/>
          <w:b/>
          <w:bCs/>
          <w:color w:val="000000" w:themeColor="text1"/>
          <w:sz w:val="24"/>
          <w:szCs w:val="32"/>
          <w14:textFill>
            <w14:solidFill>
              <w14:schemeClr w14:val="tx1"/>
            </w14:solidFill>
          </w14:textFill>
        </w:rPr>
        <w:t>服务要求：</w:t>
      </w:r>
      <w:r>
        <w:rPr>
          <w:rFonts w:hint="eastAsia" w:ascii="宋体" w:hAnsi="宋体"/>
          <w:color w:val="000000" w:themeColor="text1"/>
          <w:sz w:val="24"/>
          <w:szCs w:val="32"/>
          <w14:textFill>
            <w14:solidFill>
              <w14:schemeClr w14:val="tx1"/>
            </w14:solidFill>
          </w14:textFill>
        </w:rPr>
        <w:t>免费送货上门，供应商每周7*</w:t>
      </w:r>
      <w:r>
        <w:rPr>
          <w:rFonts w:ascii="宋体" w:hAnsi="宋体"/>
          <w:color w:val="000000" w:themeColor="text1"/>
          <w:sz w:val="24"/>
          <w:szCs w:val="32"/>
          <w14:textFill>
            <w14:solidFill>
              <w14:schemeClr w14:val="tx1"/>
            </w14:solidFill>
          </w14:textFill>
        </w:rPr>
        <w:t>24</w:t>
      </w:r>
      <w:r>
        <w:rPr>
          <w:rFonts w:hint="eastAsia" w:ascii="宋体" w:hAnsi="宋体"/>
          <w:color w:val="000000" w:themeColor="text1"/>
          <w:sz w:val="24"/>
          <w:szCs w:val="32"/>
          <w14:textFill>
            <w14:solidFill>
              <w14:schemeClr w14:val="tx1"/>
            </w14:solidFill>
          </w14:textFill>
        </w:rPr>
        <w:t>小时响应。</w:t>
      </w:r>
    </w:p>
    <w:p>
      <w:pPr>
        <w:tabs>
          <w:tab w:val="left" w:pos="312"/>
        </w:tabs>
        <w:spacing w:line="360" w:lineRule="auto"/>
        <w:rPr>
          <w:rFonts w:ascii="宋体" w:hAnsi="宋体"/>
          <w:b/>
          <w:bCs/>
          <w:sz w:val="24"/>
        </w:rPr>
      </w:pPr>
      <w:r>
        <w:rPr>
          <w:rFonts w:hint="eastAsia" w:ascii="宋体" w:hAnsi="宋体"/>
          <w:b/>
          <w:bCs/>
          <w:sz w:val="24"/>
        </w:rPr>
        <w:t>2</w:t>
      </w:r>
      <w:r>
        <w:rPr>
          <w:rFonts w:ascii="宋体" w:hAnsi="宋体"/>
          <w:b/>
          <w:bCs/>
          <w:sz w:val="24"/>
        </w:rPr>
        <w:t>.</w:t>
      </w:r>
      <w:r>
        <w:rPr>
          <w:rFonts w:hint="eastAsia" w:ascii="宋体" w:hAnsi="宋体"/>
          <w:b/>
          <w:bCs/>
          <w:sz w:val="24"/>
        </w:rPr>
        <w:t>验收标准</w:t>
      </w:r>
    </w:p>
    <w:p>
      <w:pPr>
        <w:spacing w:line="360" w:lineRule="auto"/>
        <w:jc w:val="left"/>
        <w:rPr>
          <w:rFonts w:ascii="宋体" w:hAnsi="宋体"/>
          <w:sz w:val="24"/>
          <w:szCs w:val="32"/>
        </w:rPr>
      </w:pPr>
      <w:r>
        <w:rPr>
          <w:rFonts w:hint="eastAsia" w:ascii="宋体" w:hAnsi="宋体"/>
          <w:sz w:val="24"/>
          <w:szCs w:val="32"/>
        </w:rPr>
        <w:t>（一）符合招标文件及合同里的技术参数、商务条款要求，符合国家相关行业规范规则标准。</w:t>
      </w:r>
    </w:p>
    <w:p>
      <w:pPr>
        <w:spacing w:line="360" w:lineRule="auto"/>
        <w:jc w:val="left"/>
        <w:rPr>
          <w:rFonts w:ascii="宋体" w:hAnsi="宋体"/>
          <w:sz w:val="24"/>
          <w:szCs w:val="32"/>
        </w:rPr>
      </w:pPr>
      <w:r>
        <w:rPr>
          <w:rFonts w:hint="eastAsia" w:ascii="宋体" w:hAnsi="宋体"/>
          <w:sz w:val="24"/>
          <w:szCs w:val="32"/>
        </w:rPr>
        <w:t>（二）机械零部件验收应符合图纸尺寸及热处理要求。</w:t>
      </w:r>
    </w:p>
    <w:p>
      <w:pPr>
        <w:spacing w:line="360" w:lineRule="auto"/>
        <w:jc w:val="left"/>
        <w:rPr>
          <w:rFonts w:ascii="宋体" w:hAnsi="宋体"/>
          <w:sz w:val="24"/>
          <w:szCs w:val="32"/>
        </w:rPr>
      </w:pPr>
      <w:r>
        <w:rPr>
          <w:rFonts w:hint="eastAsia" w:ascii="宋体" w:hAnsi="宋体"/>
          <w:sz w:val="24"/>
          <w:szCs w:val="32"/>
        </w:rPr>
        <w:t>（三）电子元器件验收标准符合图纸尺寸及加工要求；</w:t>
      </w:r>
    </w:p>
    <w:p>
      <w:pPr>
        <w:spacing w:line="360" w:lineRule="auto"/>
        <w:jc w:val="left"/>
        <w:rPr>
          <w:rFonts w:ascii="宋体" w:hAnsi="宋体"/>
          <w:sz w:val="24"/>
          <w:szCs w:val="32"/>
        </w:rPr>
      </w:pPr>
      <w:r>
        <w:rPr>
          <w:rFonts w:hint="eastAsia" w:ascii="宋体" w:hAnsi="宋体"/>
          <w:b/>
          <w:bCs/>
          <w:sz w:val="24"/>
          <w:szCs w:val="32"/>
        </w:rPr>
        <w:t>3.质保期要求：</w:t>
      </w:r>
      <w:r>
        <w:rPr>
          <w:rFonts w:hint="eastAsia" w:ascii="宋体" w:hAnsi="宋体"/>
          <w:sz w:val="24"/>
          <w:szCs w:val="32"/>
        </w:rPr>
        <w:t>所有零件质保期为一年，免费质保期过后为终身有偿质保。</w:t>
      </w:r>
    </w:p>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br w:type="page"/>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附件：</w:t>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驱动轮加工图纸</w:t>
      </w:r>
    </w:p>
    <w:p>
      <w:pPr>
        <w:spacing w:line="360" w:lineRule="auto"/>
      </w:pPr>
      <w:r>
        <w:drawing>
          <wp:inline distT="0" distB="0" distL="114300" distR="114300">
            <wp:extent cx="5722620" cy="6271260"/>
            <wp:effectExtent l="0" t="0" r="762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722620" cy="6271260"/>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导向轮加工图纸</w:t>
      </w:r>
    </w:p>
    <w:p>
      <w:pPr>
        <w:spacing w:line="360" w:lineRule="auto"/>
      </w:pPr>
      <w:r>
        <w:drawing>
          <wp:inline distT="0" distB="0" distL="114300" distR="114300">
            <wp:extent cx="5793740" cy="6865620"/>
            <wp:effectExtent l="0" t="0" r="1270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793740" cy="6865620"/>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导向块加工图纸</w:t>
      </w:r>
    </w:p>
    <w:p>
      <w:pPr>
        <w:spacing w:line="360" w:lineRule="auto"/>
      </w:pPr>
      <w:r>
        <w:drawing>
          <wp:inline distT="0" distB="0" distL="114300" distR="114300">
            <wp:extent cx="5664200" cy="6454775"/>
            <wp:effectExtent l="0" t="0" r="508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664200" cy="6454775"/>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导向杆加工图纸</w:t>
      </w:r>
    </w:p>
    <w:p>
      <w:pPr>
        <w:spacing w:line="360" w:lineRule="auto"/>
      </w:pPr>
      <w:r>
        <w:drawing>
          <wp:inline distT="0" distB="0" distL="114300" distR="114300">
            <wp:extent cx="5764530" cy="7409180"/>
            <wp:effectExtent l="0" t="0" r="1143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764530" cy="7409180"/>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轴承座加工图纸</w:t>
      </w:r>
    </w:p>
    <w:p>
      <w:pPr>
        <w:spacing w:line="360" w:lineRule="auto"/>
      </w:pPr>
      <w:r>
        <w:drawing>
          <wp:inline distT="0" distB="0" distL="114300" distR="114300">
            <wp:extent cx="5675630" cy="4175125"/>
            <wp:effectExtent l="0" t="0" r="889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5675630" cy="4175125"/>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信号预处理电路板加工图纸</w:t>
      </w:r>
    </w:p>
    <w:p>
      <w:pPr>
        <w:spacing w:line="360" w:lineRule="auto"/>
      </w:pPr>
      <w:r>
        <w:drawing>
          <wp:inline distT="0" distB="0" distL="114300" distR="114300">
            <wp:extent cx="5680710" cy="3683635"/>
            <wp:effectExtent l="0" t="0" r="3810"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680710" cy="3683635"/>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控制模块机箱加工图纸</w:t>
      </w:r>
    </w:p>
    <w:p>
      <w:pPr>
        <w:spacing w:line="360" w:lineRule="auto"/>
      </w:pPr>
      <w:r>
        <w:drawing>
          <wp:inline distT="0" distB="0" distL="114300" distR="114300">
            <wp:extent cx="5676900" cy="4213860"/>
            <wp:effectExtent l="0" t="0" r="762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676900" cy="4213860"/>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加速度采集电路板加工图纸</w:t>
      </w:r>
    </w:p>
    <w:p>
      <w:pPr>
        <w:spacing w:line="360" w:lineRule="auto"/>
      </w:pPr>
      <w:r>
        <w:drawing>
          <wp:inline distT="0" distB="0" distL="114300" distR="114300">
            <wp:extent cx="5676900" cy="4020185"/>
            <wp:effectExtent l="0" t="0" r="762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676900" cy="4020185"/>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转速采集电路板加工加工图纸</w:t>
      </w:r>
    </w:p>
    <w:p>
      <w:pPr>
        <w:spacing w:line="360" w:lineRule="auto"/>
      </w:pPr>
      <w:r>
        <w:drawing>
          <wp:inline distT="0" distB="0" distL="114300" distR="114300">
            <wp:extent cx="5680710" cy="3940810"/>
            <wp:effectExtent l="0" t="0" r="381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5680710" cy="3940810"/>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温度采集电路板加工图纸</w:t>
      </w:r>
    </w:p>
    <w:p>
      <w:pPr>
        <w:spacing w:line="360" w:lineRule="auto"/>
      </w:pPr>
      <w:r>
        <w:drawing>
          <wp:inline distT="0" distB="0" distL="114300" distR="114300">
            <wp:extent cx="5679440" cy="3957320"/>
            <wp:effectExtent l="0" t="0" r="5080" b="508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2"/>
                    <a:stretch>
                      <a:fillRect/>
                    </a:stretch>
                  </pic:blipFill>
                  <pic:spPr>
                    <a:xfrm>
                      <a:off x="0" y="0"/>
                      <a:ext cx="5679440" cy="3957320"/>
                    </a:xfrm>
                    <a:prstGeom prst="rect">
                      <a:avLst/>
                    </a:prstGeom>
                    <a:noFill/>
                    <a:ln>
                      <a:noFill/>
                    </a:ln>
                  </pic:spPr>
                </pic:pic>
              </a:graphicData>
            </a:graphic>
          </wp:inline>
        </w:drawing>
      </w:r>
      <w:r>
        <w:drawing>
          <wp:inline distT="0" distB="0" distL="114300" distR="114300">
            <wp:extent cx="5680710" cy="3396615"/>
            <wp:effectExtent l="0" t="0" r="3810" b="19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5680710" cy="3396615"/>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信号采集机箱加工图纸</w:t>
      </w:r>
    </w:p>
    <w:p>
      <w:pPr>
        <w:spacing w:line="360" w:lineRule="auto"/>
      </w:pPr>
      <w:r>
        <w:drawing>
          <wp:inline distT="0" distB="0" distL="114300" distR="114300">
            <wp:extent cx="5680075" cy="3646170"/>
            <wp:effectExtent l="0" t="0" r="4445" b="1143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4"/>
                    <a:stretch>
                      <a:fillRect/>
                    </a:stretch>
                  </pic:blipFill>
                  <pic:spPr>
                    <a:xfrm>
                      <a:off x="0" y="0"/>
                      <a:ext cx="5680075" cy="3646170"/>
                    </a:xfrm>
                    <a:prstGeom prst="rect">
                      <a:avLst/>
                    </a:prstGeom>
                    <a:noFill/>
                    <a:ln>
                      <a:noFill/>
                    </a:ln>
                  </pic:spPr>
                </pic:pic>
              </a:graphicData>
            </a:graphic>
          </wp:inline>
        </w:drawing>
      </w:r>
      <w:r>
        <w:drawing>
          <wp:inline distT="0" distB="0" distL="114300" distR="114300">
            <wp:extent cx="5680710" cy="3702685"/>
            <wp:effectExtent l="0" t="0" r="3810" b="63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5"/>
                    <a:stretch>
                      <a:fillRect/>
                    </a:stretch>
                  </pic:blipFill>
                  <pic:spPr>
                    <a:xfrm>
                      <a:off x="0" y="0"/>
                      <a:ext cx="5680710" cy="3702685"/>
                    </a:xfrm>
                    <a:prstGeom prst="rect">
                      <a:avLst/>
                    </a:prstGeom>
                    <a:noFill/>
                    <a:ln>
                      <a:noFill/>
                    </a:ln>
                  </pic:spPr>
                </pic:pic>
              </a:graphicData>
            </a:graphic>
          </wp:inline>
        </w:drawing>
      </w:r>
    </w:p>
    <w:p>
      <w:r>
        <w:br w:type="page"/>
      </w:r>
    </w:p>
    <w:p>
      <w:pPr>
        <w:numPr>
          <w:ilvl w:val="0"/>
          <w:numId w:val="15"/>
        </w:num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机柜加工图纸</w:t>
      </w:r>
    </w:p>
    <w:p>
      <w:pPr>
        <w:spacing w:line="360" w:lineRule="auto"/>
        <w:rPr>
          <w:rFonts w:asciiTheme="minorEastAsia" w:hAnsiTheme="minorEastAsia" w:eastAsiaTheme="minorEastAsia" w:cstheme="minorEastAsia"/>
          <w:color w:val="000000"/>
          <w:sz w:val="24"/>
        </w:rPr>
      </w:pPr>
      <w:r>
        <w:drawing>
          <wp:inline distT="0" distB="0" distL="114300" distR="114300">
            <wp:extent cx="5673725" cy="3907155"/>
            <wp:effectExtent l="0" t="0" r="10795"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5673725" cy="3907155"/>
                    </a:xfrm>
                    <a:prstGeom prst="rect">
                      <a:avLst/>
                    </a:prstGeom>
                    <a:noFill/>
                    <a:ln>
                      <a:noFill/>
                    </a:ln>
                  </pic:spPr>
                </pic:pic>
              </a:graphicData>
            </a:graphic>
          </wp:inline>
        </w:drawing>
      </w:r>
      <w:bookmarkEnd w:id="566"/>
    </w:p>
    <w:sectPr>
      <w:pgSz w:w="11907" w:h="16840"/>
      <w:pgMar w:top="1758" w:right="1701" w:bottom="1588" w:left="1259"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inherit">
    <w:altName w:val="微软雅黑"/>
    <w:panose1 w:val="00000000000000000000"/>
    <w:charset w:val="00"/>
    <w:family w:val="roman"/>
    <w:pitch w:val="default"/>
    <w:sig w:usb0="00000000" w:usb1="00000000" w:usb2="00000000" w:usb3="00000000" w:csb0="00040001" w:csb1="00000000"/>
  </w:font>
  <w:font w:name="TimesNewRomanPSM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fldChar w:fldCharType="begin"/>
    </w:r>
    <w:r>
      <w:rPr>
        <w:rStyle w:val="43"/>
      </w:rPr>
      <w:instrText xml:space="preserve">PAGE  </w:instrText>
    </w:r>
    <w:r>
      <w:fldChar w:fldCharType="separate"/>
    </w:r>
    <w:r>
      <w:rPr>
        <w:rStyle w:val="43"/>
      </w:rPr>
      <w:t>15</w:t>
    </w:r>
    <w:r>
      <w:fldChar w:fldCharType="end"/>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fldChar w:fldCharType="begin"/>
    </w:r>
    <w:r>
      <w:rPr>
        <w:rStyle w:val="43"/>
      </w:rPr>
      <w:instrText xml:space="preserve">PAGE  </w:instrTex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fldChar w:fldCharType="begin"/>
    </w:r>
    <w:r>
      <w:rPr>
        <w:rStyle w:val="43"/>
      </w:rPr>
      <w:instrText xml:space="preserve">PAGE  </w:instrText>
    </w:r>
    <w:r>
      <w:fldChar w:fldCharType="end"/>
    </w:r>
  </w:p>
  <w:p>
    <w:pPr>
      <w:pStyle w:val="2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rPr>
        <w:rStyle w:val="43"/>
      </w:rPr>
      <w:instrText xml:space="preserve"> PAGE </w:instrText>
    </w:r>
    <w:r>
      <w:fldChar w:fldCharType="separate"/>
    </w:r>
    <w:r>
      <w:rPr>
        <w:rStyle w:val="43"/>
      </w:rPr>
      <w:t>26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51</w:t>
    </w:r>
    <w:r>
      <w:rPr>
        <w:lang w:val="zh-CN"/>
      </w:rPr>
      <w:fldChar w:fldCharType="end"/>
    </w:r>
  </w:p>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F332B"/>
    <w:multiLevelType w:val="multilevel"/>
    <w:tmpl w:val="03DF332B"/>
    <w:lvl w:ilvl="0" w:tentative="0">
      <w:start w:val="1"/>
      <w:numFmt w:val="decimal"/>
      <w:lvlText w:val="%1)"/>
      <w:lvlJc w:val="left"/>
      <w:pPr>
        <w:ind w:left="420" w:hanging="420"/>
      </w:pPr>
      <w:rPr>
        <w:rFonts w:ascii="宋体" w:hAnsi="宋体" w:eastAsia="宋体"/>
        <w:b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41D02BC"/>
    <w:multiLevelType w:val="multilevel"/>
    <w:tmpl w:val="041D02BC"/>
    <w:lvl w:ilvl="0" w:tentative="0">
      <w:start w:val="14"/>
      <w:numFmt w:val="decimal"/>
      <w:pStyle w:val="152"/>
      <w:lvlText w:val="%1"/>
      <w:lvlJc w:val="left"/>
      <w:pPr>
        <w:tabs>
          <w:tab w:val="left" w:pos="480"/>
        </w:tabs>
        <w:ind w:left="480" w:hanging="480"/>
      </w:pPr>
      <w:rPr>
        <w:rFonts w:hint="default"/>
      </w:rPr>
    </w:lvl>
    <w:lvl w:ilvl="1" w:tentative="0">
      <w:start w:val="1"/>
      <w:numFmt w:val="decimal"/>
      <w:lvlText w:val="%1.%2"/>
      <w:lvlJc w:val="left"/>
      <w:pPr>
        <w:tabs>
          <w:tab w:val="left" w:pos="480"/>
        </w:tabs>
        <w:ind w:left="480" w:hanging="48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2">
    <w:nsid w:val="05A820D8"/>
    <w:multiLevelType w:val="multilevel"/>
    <w:tmpl w:val="05A820D8"/>
    <w:lvl w:ilvl="0" w:tentative="0">
      <w:start w:val="17"/>
      <w:numFmt w:val="decimal"/>
      <w:pStyle w:val="172"/>
      <w:lvlText w:val="%1"/>
      <w:lvlJc w:val="left"/>
      <w:pPr>
        <w:tabs>
          <w:tab w:val="left" w:pos="480"/>
        </w:tabs>
        <w:ind w:left="480" w:hanging="480"/>
      </w:pPr>
      <w:rPr>
        <w:rFonts w:hint="eastAsia"/>
      </w:rPr>
    </w:lvl>
    <w:lvl w:ilvl="1" w:tentative="0">
      <w:start w:val="2"/>
      <w:numFmt w:val="decimal"/>
      <w:lvlText w:val="%1.%2"/>
      <w:lvlJc w:val="left"/>
      <w:pPr>
        <w:tabs>
          <w:tab w:val="left" w:pos="480"/>
        </w:tabs>
        <w:ind w:left="480" w:hanging="480"/>
      </w:pPr>
      <w:rPr>
        <w:rFonts w:hint="eastAsia" w:ascii="仿宋" w:hAnsi="仿宋" w:eastAsia="仿宋"/>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
    <w:nsid w:val="0FAD17BF"/>
    <w:multiLevelType w:val="singleLevel"/>
    <w:tmpl w:val="0FAD17BF"/>
    <w:lvl w:ilvl="0" w:tentative="0">
      <w:start w:val="1"/>
      <w:numFmt w:val="decimal"/>
      <w:lvlText w:val="%1)"/>
      <w:lvlJc w:val="left"/>
      <w:pPr>
        <w:tabs>
          <w:tab w:val="left" w:pos="1324"/>
        </w:tabs>
        <w:ind w:left="1304" w:hanging="340"/>
      </w:pPr>
      <w:rPr>
        <w:rFonts w:hint="eastAsia"/>
        <w:b w:val="0"/>
        <w:i w:val="0"/>
        <w:sz w:val="24"/>
      </w:rPr>
    </w:lvl>
  </w:abstractNum>
  <w:abstractNum w:abstractNumId="4">
    <w:nsid w:val="155E6A8F"/>
    <w:multiLevelType w:val="multilevel"/>
    <w:tmpl w:val="155E6A8F"/>
    <w:lvl w:ilvl="0" w:tentative="0">
      <w:start w:val="1"/>
      <w:numFmt w:val="decimal"/>
      <w:lvlText w:val="（%1）"/>
      <w:lvlJc w:val="left"/>
      <w:pPr>
        <w:tabs>
          <w:tab w:val="left" w:pos="1619"/>
        </w:tabs>
        <w:ind w:left="1619" w:hanging="720"/>
      </w:pPr>
      <w:rPr>
        <w:rFonts w:hint="eastAsia"/>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5">
    <w:nsid w:val="159D5C12"/>
    <w:multiLevelType w:val="multilevel"/>
    <w:tmpl w:val="159D5C12"/>
    <w:lvl w:ilvl="0" w:tentative="0">
      <w:start w:val="1"/>
      <w:numFmt w:val="decimal"/>
      <w:pStyle w:val="171"/>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2635B19"/>
    <w:multiLevelType w:val="singleLevel"/>
    <w:tmpl w:val="22635B19"/>
    <w:lvl w:ilvl="0" w:tentative="0">
      <w:start w:val="1"/>
      <w:numFmt w:val="decimal"/>
      <w:lvlText w:val="%1."/>
      <w:lvlJc w:val="left"/>
      <w:pPr>
        <w:tabs>
          <w:tab w:val="left" w:pos="907"/>
        </w:tabs>
        <w:ind w:left="907" w:hanging="425"/>
      </w:pPr>
      <w:rPr>
        <w:rFonts w:hint="eastAsia" w:ascii="仿宋_GB2312" w:hAnsi="Times New Roman" w:eastAsia="仿宋_GB2312"/>
      </w:rPr>
    </w:lvl>
  </w:abstractNum>
  <w:abstractNum w:abstractNumId="7">
    <w:nsid w:val="25E9131D"/>
    <w:multiLevelType w:val="multilevel"/>
    <w:tmpl w:val="25E9131D"/>
    <w:lvl w:ilvl="0" w:tentative="0">
      <w:start w:val="1"/>
      <w:numFmt w:val="decimal"/>
      <w:pStyle w:val="110"/>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ascii="仿宋" w:hAnsi="仿宋" w:eastAsia="仿宋"/>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2BF92EA9"/>
    <w:multiLevelType w:val="multilevel"/>
    <w:tmpl w:val="2BF92EA9"/>
    <w:lvl w:ilvl="0" w:tentative="0">
      <w:start w:val="1"/>
      <w:numFmt w:val="decimal"/>
      <w:lvlText w:val="%1)"/>
      <w:lvlJc w:val="left"/>
      <w:pPr>
        <w:ind w:left="420" w:hanging="420"/>
      </w:pPr>
      <w:rPr>
        <w:rFonts w:ascii="宋体" w:hAnsi="宋体" w:eastAsia="宋体"/>
        <w:b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D76BD5C"/>
    <w:multiLevelType w:val="singleLevel"/>
    <w:tmpl w:val="2D76BD5C"/>
    <w:lvl w:ilvl="0" w:tentative="0">
      <w:start w:val="1"/>
      <w:numFmt w:val="decimal"/>
      <w:suff w:val="nothing"/>
      <w:lvlText w:val="%1、"/>
      <w:lvlJc w:val="left"/>
    </w:lvl>
  </w:abstractNum>
  <w:abstractNum w:abstractNumId="10">
    <w:nsid w:val="30DA5E96"/>
    <w:multiLevelType w:val="multilevel"/>
    <w:tmpl w:val="30DA5E96"/>
    <w:lvl w:ilvl="0" w:tentative="0">
      <w:start w:val="1"/>
      <w:numFmt w:val="decimal"/>
      <w:lvlText w:val="%1)"/>
      <w:lvlJc w:val="left"/>
      <w:pPr>
        <w:ind w:left="420" w:hanging="420"/>
      </w:pPr>
      <w:rPr>
        <w:rFonts w:hint="eastAsia" w:ascii="宋体" w:hAnsi="宋体" w:eastAsia="宋体"/>
        <w:b w:val="0"/>
        <w:color w:val="000000" w:themeColor="text1"/>
        <w:sz w:val="21"/>
        <w:szCs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0C452AB"/>
    <w:multiLevelType w:val="multilevel"/>
    <w:tmpl w:val="40C452AB"/>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1144EEE"/>
    <w:multiLevelType w:val="singleLevel"/>
    <w:tmpl w:val="41144EEE"/>
    <w:lvl w:ilvl="0" w:tentative="0">
      <w:start w:val="1"/>
      <w:numFmt w:val="decimal"/>
      <w:lvlText w:val="%1)"/>
      <w:lvlJc w:val="left"/>
      <w:pPr>
        <w:tabs>
          <w:tab w:val="left" w:pos="1324"/>
        </w:tabs>
        <w:ind w:left="1304" w:hanging="340"/>
      </w:pPr>
      <w:rPr>
        <w:rFonts w:hint="eastAsia" w:ascii="仿宋_GB2312" w:hAnsi="Times New Roman" w:eastAsia="仿宋_GB2312"/>
        <w:b w:val="0"/>
        <w:i w:val="0"/>
        <w:sz w:val="24"/>
      </w:rPr>
    </w:lvl>
  </w:abstractNum>
  <w:abstractNum w:abstractNumId="13">
    <w:nsid w:val="46451229"/>
    <w:multiLevelType w:val="multilevel"/>
    <w:tmpl w:val="46451229"/>
    <w:lvl w:ilvl="0" w:tentative="0">
      <w:start w:val="1"/>
      <w:numFmt w:val="decimal"/>
      <w:lvlText w:val="（%1）"/>
      <w:lvlJc w:val="left"/>
      <w:pPr>
        <w:tabs>
          <w:tab w:val="left" w:pos="1620"/>
        </w:tabs>
        <w:ind w:left="1620" w:hanging="720"/>
      </w:pPr>
      <w:rPr>
        <w:rFonts w:hint="eastAsia"/>
      </w:rPr>
    </w:lvl>
    <w:lvl w:ilvl="1" w:tentative="0">
      <w:start w:val="1"/>
      <w:numFmt w:val="lowerLetter"/>
      <w:lvlText w:val="%2)"/>
      <w:lvlJc w:val="left"/>
      <w:pPr>
        <w:tabs>
          <w:tab w:val="left" w:pos="1740"/>
        </w:tabs>
        <w:ind w:left="1740" w:hanging="420"/>
      </w:p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14">
    <w:nsid w:val="66E4770E"/>
    <w:multiLevelType w:val="multilevel"/>
    <w:tmpl w:val="66E4770E"/>
    <w:lvl w:ilvl="0" w:tentative="0">
      <w:start w:val="1"/>
      <w:numFmt w:val="japaneseCounting"/>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pStyle w:val="10"/>
      <w:lvlText w:val="%8)"/>
      <w:lvlJc w:val="left"/>
      <w:pPr>
        <w:tabs>
          <w:tab w:val="left" w:pos="3900"/>
        </w:tabs>
        <w:ind w:left="3900" w:hanging="420"/>
      </w:pPr>
    </w:lvl>
    <w:lvl w:ilvl="8" w:tentative="0">
      <w:start w:val="1"/>
      <w:numFmt w:val="lowerRoman"/>
      <w:pStyle w:val="11"/>
      <w:lvlText w:val="%9."/>
      <w:lvlJc w:val="right"/>
      <w:pPr>
        <w:tabs>
          <w:tab w:val="left" w:pos="4320"/>
        </w:tabs>
        <w:ind w:left="4320" w:hanging="420"/>
      </w:pPr>
    </w:lvl>
  </w:abstractNum>
  <w:num w:numId="1">
    <w:abstractNumId w:val="14"/>
  </w:num>
  <w:num w:numId="2">
    <w:abstractNumId w:val="7"/>
  </w:num>
  <w:num w:numId="3">
    <w:abstractNumId w:val="1"/>
  </w:num>
  <w:num w:numId="4">
    <w:abstractNumId w:val="5"/>
  </w:num>
  <w:num w:numId="5">
    <w:abstractNumId w:val="2"/>
  </w:num>
  <w:num w:numId="6">
    <w:abstractNumId w:val="4"/>
  </w:num>
  <w:num w:numId="7">
    <w:abstractNumId w:val="13"/>
  </w:num>
  <w:num w:numId="8">
    <w:abstractNumId w:val="6"/>
  </w:num>
  <w:num w:numId="9">
    <w:abstractNumId w:val="12"/>
  </w:num>
  <w:num w:numId="10">
    <w:abstractNumId w:val="3"/>
  </w:num>
  <w:num w:numId="11">
    <w:abstractNumId w:val="0"/>
  </w:num>
  <w:num w:numId="12">
    <w:abstractNumId w:val="8"/>
  </w:num>
  <w:num w:numId="13">
    <w:abstractNumId w:val="1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0NDFlZjhjY2Q2NGY0YzVlMzliYjE1MDVmNmU5ZjcifQ=="/>
  </w:docVars>
  <w:rsids>
    <w:rsidRoot w:val="005F30B1"/>
    <w:rsid w:val="0000085A"/>
    <w:rsid w:val="000008D8"/>
    <w:rsid w:val="00000D24"/>
    <w:rsid w:val="00001069"/>
    <w:rsid w:val="000013C8"/>
    <w:rsid w:val="0000257A"/>
    <w:rsid w:val="0000268B"/>
    <w:rsid w:val="000026EA"/>
    <w:rsid w:val="00002856"/>
    <w:rsid w:val="00002964"/>
    <w:rsid w:val="00002ED2"/>
    <w:rsid w:val="00002FD4"/>
    <w:rsid w:val="00002FF3"/>
    <w:rsid w:val="000034FE"/>
    <w:rsid w:val="000055EF"/>
    <w:rsid w:val="0000658E"/>
    <w:rsid w:val="00006770"/>
    <w:rsid w:val="00007851"/>
    <w:rsid w:val="00010C07"/>
    <w:rsid w:val="00010ED5"/>
    <w:rsid w:val="00011554"/>
    <w:rsid w:val="00011C56"/>
    <w:rsid w:val="00011DE4"/>
    <w:rsid w:val="00011E0C"/>
    <w:rsid w:val="00012968"/>
    <w:rsid w:val="000136D6"/>
    <w:rsid w:val="000150C8"/>
    <w:rsid w:val="00015AB8"/>
    <w:rsid w:val="00015B29"/>
    <w:rsid w:val="00017DF6"/>
    <w:rsid w:val="000203CA"/>
    <w:rsid w:val="00020519"/>
    <w:rsid w:val="00021BF4"/>
    <w:rsid w:val="00021EC4"/>
    <w:rsid w:val="00023116"/>
    <w:rsid w:val="000234FE"/>
    <w:rsid w:val="00024228"/>
    <w:rsid w:val="0002516F"/>
    <w:rsid w:val="00026B21"/>
    <w:rsid w:val="00027257"/>
    <w:rsid w:val="00027774"/>
    <w:rsid w:val="00027FFB"/>
    <w:rsid w:val="00030922"/>
    <w:rsid w:val="0003107E"/>
    <w:rsid w:val="00031095"/>
    <w:rsid w:val="0003164F"/>
    <w:rsid w:val="00032B25"/>
    <w:rsid w:val="00032E19"/>
    <w:rsid w:val="00032E35"/>
    <w:rsid w:val="00033210"/>
    <w:rsid w:val="00033CBD"/>
    <w:rsid w:val="0003420C"/>
    <w:rsid w:val="00035136"/>
    <w:rsid w:val="00035712"/>
    <w:rsid w:val="00036BCD"/>
    <w:rsid w:val="00040A19"/>
    <w:rsid w:val="00040CB5"/>
    <w:rsid w:val="0004120E"/>
    <w:rsid w:val="00041632"/>
    <w:rsid w:val="00042417"/>
    <w:rsid w:val="00042E85"/>
    <w:rsid w:val="00043151"/>
    <w:rsid w:val="0004318F"/>
    <w:rsid w:val="00043838"/>
    <w:rsid w:val="000440BD"/>
    <w:rsid w:val="000447AA"/>
    <w:rsid w:val="00044E0D"/>
    <w:rsid w:val="00044F6A"/>
    <w:rsid w:val="00046567"/>
    <w:rsid w:val="00046BD5"/>
    <w:rsid w:val="00046D24"/>
    <w:rsid w:val="00046E7B"/>
    <w:rsid w:val="0004712E"/>
    <w:rsid w:val="00047D40"/>
    <w:rsid w:val="000506F6"/>
    <w:rsid w:val="00050C96"/>
    <w:rsid w:val="0005145E"/>
    <w:rsid w:val="00052056"/>
    <w:rsid w:val="0005253A"/>
    <w:rsid w:val="00052CE6"/>
    <w:rsid w:val="0005312C"/>
    <w:rsid w:val="0005352E"/>
    <w:rsid w:val="00053D91"/>
    <w:rsid w:val="000540D9"/>
    <w:rsid w:val="000547D4"/>
    <w:rsid w:val="000553E3"/>
    <w:rsid w:val="00055A61"/>
    <w:rsid w:val="00055B0A"/>
    <w:rsid w:val="00055D15"/>
    <w:rsid w:val="0005731C"/>
    <w:rsid w:val="00057C69"/>
    <w:rsid w:val="000602F7"/>
    <w:rsid w:val="000603AE"/>
    <w:rsid w:val="0006144F"/>
    <w:rsid w:val="00061F68"/>
    <w:rsid w:val="00061FBF"/>
    <w:rsid w:val="00062169"/>
    <w:rsid w:val="0006290D"/>
    <w:rsid w:val="0006304D"/>
    <w:rsid w:val="00064287"/>
    <w:rsid w:val="00064C8A"/>
    <w:rsid w:val="00064D92"/>
    <w:rsid w:val="00066121"/>
    <w:rsid w:val="000661B9"/>
    <w:rsid w:val="00067BAE"/>
    <w:rsid w:val="00070455"/>
    <w:rsid w:val="000705BD"/>
    <w:rsid w:val="000711E0"/>
    <w:rsid w:val="00072B68"/>
    <w:rsid w:val="000733C3"/>
    <w:rsid w:val="00073BF6"/>
    <w:rsid w:val="00074367"/>
    <w:rsid w:val="00074F5A"/>
    <w:rsid w:val="000750F1"/>
    <w:rsid w:val="00077B60"/>
    <w:rsid w:val="00077CF6"/>
    <w:rsid w:val="000808FC"/>
    <w:rsid w:val="00080BD4"/>
    <w:rsid w:val="00080FB5"/>
    <w:rsid w:val="00081959"/>
    <w:rsid w:val="00081BF1"/>
    <w:rsid w:val="000822BB"/>
    <w:rsid w:val="000830A1"/>
    <w:rsid w:val="0008390B"/>
    <w:rsid w:val="00083970"/>
    <w:rsid w:val="00084449"/>
    <w:rsid w:val="00084ABA"/>
    <w:rsid w:val="00085773"/>
    <w:rsid w:val="00085C8B"/>
    <w:rsid w:val="00085F99"/>
    <w:rsid w:val="00086345"/>
    <w:rsid w:val="00086361"/>
    <w:rsid w:val="00086BC2"/>
    <w:rsid w:val="00086D26"/>
    <w:rsid w:val="00087322"/>
    <w:rsid w:val="00087C0B"/>
    <w:rsid w:val="00087F24"/>
    <w:rsid w:val="0009096D"/>
    <w:rsid w:val="00090C0A"/>
    <w:rsid w:val="0009146B"/>
    <w:rsid w:val="00091CE4"/>
    <w:rsid w:val="00091CF1"/>
    <w:rsid w:val="000933F3"/>
    <w:rsid w:val="00094332"/>
    <w:rsid w:val="00094F61"/>
    <w:rsid w:val="0009677C"/>
    <w:rsid w:val="000969AE"/>
    <w:rsid w:val="00097B22"/>
    <w:rsid w:val="000A0BA6"/>
    <w:rsid w:val="000A113B"/>
    <w:rsid w:val="000A1A37"/>
    <w:rsid w:val="000A239E"/>
    <w:rsid w:val="000A2A04"/>
    <w:rsid w:val="000A3260"/>
    <w:rsid w:val="000A3F09"/>
    <w:rsid w:val="000A5FAD"/>
    <w:rsid w:val="000A6E9B"/>
    <w:rsid w:val="000A7057"/>
    <w:rsid w:val="000B08C6"/>
    <w:rsid w:val="000B0AAB"/>
    <w:rsid w:val="000B0C80"/>
    <w:rsid w:val="000B0E8D"/>
    <w:rsid w:val="000B1263"/>
    <w:rsid w:val="000B1322"/>
    <w:rsid w:val="000B1D63"/>
    <w:rsid w:val="000B2623"/>
    <w:rsid w:val="000B30C8"/>
    <w:rsid w:val="000B31BB"/>
    <w:rsid w:val="000B3564"/>
    <w:rsid w:val="000B3620"/>
    <w:rsid w:val="000B51A8"/>
    <w:rsid w:val="000B554E"/>
    <w:rsid w:val="000B642D"/>
    <w:rsid w:val="000B66B0"/>
    <w:rsid w:val="000B6A41"/>
    <w:rsid w:val="000B6A99"/>
    <w:rsid w:val="000B72D0"/>
    <w:rsid w:val="000B7DFB"/>
    <w:rsid w:val="000B7E49"/>
    <w:rsid w:val="000C2D38"/>
    <w:rsid w:val="000C37E0"/>
    <w:rsid w:val="000C4C57"/>
    <w:rsid w:val="000C4DE1"/>
    <w:rsid w:val="000C4E3C"/>
    <w:rsid w:val="000C53FD"/>
    <w:rsid w:val="000C7EA1"/>
    <w:rsid w:val="000D0B6D"/>
    <w:rsid w:val="000D0C5F"/>
    <w:rsid w:val="000D1655"/>
    <w:rsid w:val="000D1666"/>
    <w:rsid w:val="000D1897"/>
    <w:rsid w:val="000D21C3"/>
    <w:rsid w:val="000D285E"/>
    <w:rsid w:val="000D5217"/>
    <w:rsid w:val="000D5B60"/>
    <w:rsid w:val="000D6C0D"/>
    <w:rsid w:val="000D71E8"/>
    <w:rsid w:val="000E0378"/>
    <w:rsid w:val="000E0728"/>
    <w:rsid w:val="000E0888"/>
    <w:rsid w:val="000E0A96"/>
    <w:rsid w:val="000E0F8A"/>
    <w:rsid w:val="000E2807"/>
    <w:rsid w:val="000E36AD"/>
    <w:rsid w:val="000E3DF4"/>
    <w:rsid w:val="000E4DA1"/>
    <w:rsid w:val="000E4DA8"/>
    <w:rsid w:val="000E4F1B"/>
    <w:rsid w:val="000E562C"/>
    <w:rsid w:val="000E5E1C"/>
    <w:rsid w:val="000E6C1C"/>
    <w:rsid w:val="000E7D00"/>
    <w:rsid w:val="000E7E71"/>
    <w:rsid w:val="000E7FBE"/>
    <w:rsid w:val="000F0453"/>
    <w:rsid w:val="000F0BCC"/>
    <w:rsid w:val="000F18E9"/>
    <w:rsid w:val="000F2346"/>
    <w:rsid w:val="000F2AE1"/>
    <w:rsid w:val="000F357F"/>
    <w:rsid w:val="000F4712"/>
    <w:rsid w:val="000F4737"/>
    <w:rsid w:val="000F54C0"/>
    <w:rsid w:val="000F54F2"/>
    <w:rsid w:val="000F60BF"/>
    <w:rsid w:val="000F70C7"/>
    <w:rsid w:val="000F755D"/>
    <w:rsid w:val="000F7B90"/>
    <w:rsid w:val="00100B34"/>
    <w:rsid w:val="00100C0E"/>
    <w:rsid w:val="00101269"/>
    <w:rsid w:val="00101EA1"/>
    <w:rsid w:val="001028C0"/>
    <w:rsid w:val="00102A5E"/>
    <w:rsid w:val="00103B75"/>
    <w:rsid w:val="00103BB5"/>
    <w:rsid w:val="001044C4"/>
    <w:rsid w:val="00105629"/>
    <w:rsid w:val="001059BF"/>
    <w:rsid w:val="00106198"/>
    <w:rsid w:val="00106300"/>
    <w:rsid w:val="001072F7"/>
    <w:rsid w:val="001074AB"/>
    <w:rsid w:val="00107973"/>
    <w:rsid w:val="001109EC"/>
    <w:rsid w:val="00111132"/>
    <w:rsid w:val="00111E52"/>
    <w:rsid w:val="0011214E"/>
    <w:rsid w:val="001124F5"/>
    <w:rsid w:val="00112A70"/>
    <w:rsid w:val="00113243"/>
    <w:rsid w:val="00113631"/>
    <w:rsid w:val="00113D67"/>
    <w:rsid w:val="0011421D"/>
    <w:rsid w:val="00114275"/>
    <w:rsid w:val="001147BD"/>
    <w:rsid w:val="0011558D"/>
    <w:rsid w:val="0011589C"/>
    <w:rsid w:val="00115AC1"/>
    <w:rsid w:val="00115CF1"/>
    <w:rsid w:val="00116126"/>
    <w:rsid w:val="001173A5"/>
    <w:rsid w:val="0011754C"/>
    <w:rsid w:val="0011768B"/>
    <w:rsid w:val="00117945"/>
    <w:rsid w:val="0011799C"/>
    <w:rsid w:val="00117F99"/>
    <w:rsid w:val="00117FA9"/>
    <w:rsid w:val="00120587"/>
    <w:rsid w:val="001206F9"/>
    <w:rsid w:val="00120C82"/>
    <w:rsid w:val="00121B66"/>
    <w:rsid w:val="0012240E"/>
    <w:rsid w:val="001236A9"/>
    <w:rsid w:val="00123700"/>
    <w:rsid w:val="00123847"/>
    <w:rsid w:val="00123F0F"/>
    <w:rsid w:val="001268B7"/>
    <w:rsid w:val="0012710F"/>
    <w:rsid w:val="00127237"/>
    <w:rsid w:val="0012785C"/>
    <w:rsid w:val="00130476"/>
    <w:rsid w:val="0013093E"/>
    <w:rsid w:val="00131136"/>
    <w:rsid w:val="001314E9"/>
    <w:rsid w:val="001322ED"/>
    <w:rsid w:val="00132A99"/>
    <w:rsid w:val="00133489"/>
    <w:rsid w:val="001335A1"/>
    <w:rsid w:val="00133636"/>
    <w:rsid w:val="0013369B"/>
    <w:rsid w:val="00133A15"/>
    <w:rsid w:val="00133A77"/>
    <w:rsid w:val="00133D08"/>
    <w:rsid w:val="00134F51"/>
    <w:rsid w:val="00135C92"/>
    <w:rsid w:val="00136134"/>
    <w:rsid w:val="001361CD"/>
    <w:rsid w:val="001365E7"/>
    <w:rsid w:val="001367C8"/>
    <w:rsid w:val="001368CF"/>
    <w:rsid w:val="00137C32"/>
    <w:rsid w:val="00140494"/>
    <w:rsid w:val="0014106E"/>
    <w:rsid w:val="00141989"/>
    <w:rsid w:val="001425D0"/>
    <w:rsid w:val="00143B2E"/>
    <w:rsid w:val="00143E62"/>
    <w:rsid w:val="00144C00"/>
    <w:rsid w:val="00144C7A"/>
    <w:rsid w:val="00144ECE"/>
    <w:rsid w:val="0014513D"/>
    <w:rsid w:val="0014526B"/>
    <w:rsid w:val="00145779"/>
    <w:rsid w:val="00146095"/>
    <w:rsid w:val="00146743"/>
    <w:rsid w:val="00146C56"/>
    <w:rsid w:val="00150476"/>
    <w:rsid w:val="0015068B"/>
    <w:rsid w:val="00150A8D"/>
    <w:rsid w:val="001512BB"/>
    <w:rsid w:val="00151C3F"/>
    <w:rsid w:val="00151E25"/>
    <w:rsid w:val="001520FA"/>
    <w:rsid w:val="001521B8"/>
    <w:rsid w:val="001523B4"/>
    <w:rsid w:val="00152DE5"/>
    <w:rsid w:val="001536E5"/>
    <w:rsid w:val="001544D2"/>
    <w:rsid w:val="001545E3"/>
    <w:rsid w:val="00154AB7"/>
    <w:rsid w:val="00154C31"/>
    <w:rsid w:val="00155994"/>
    <w:rsid w:val="00156226"/>
    <w:rsid w:val="001562D3"/>
    <w:rsid w:val="00156DA2"/>
    <w:rsid w:val="0015726E"/>
    <w:rsid w:val="00157611"/>
    <w:rsid w:val="00160417"/>
    <w:rsid w:val="0016071A"/>
    <w:rsid w:val="0016239F"/>
    <w:rsid w:val="001626E7"/>
    <w:rsid w:val="00163ECC"/>
    <w:rsid w:val="001646F9"/>
    <w:rsid w:val="00164C67"/>
    <w:rsid w:val="00165E09"/>
    <w:rsid w:val="001669C7"/>
    <w:rsid w:val="00166F5A"/>
    <w:rsid w:val="00167244"/>
    <w:rsid w:val="001676A4"/>
    <w:rsid w:val="00167A7A"/>
    <w:rsid w:val="00167EFD"/>
    <w:rsid w:val="00167FB7"/>
    <w:rsid w:val="00170637"/>
    <w:rsid w:val="001711A5"/>
    <w:rsid w:val="00172030"/>
    <w:rsid w:val="0017267E"/>
    <w:rsid w:val="00172685"/>
    <w:rsid w:val="00173145"/>
    <w:rsid w:val="00173AB2"/>
    <w:rsid w:val="00173B01"/>
    <w:rsid w:val="00175936"/>
    <w:rsid w:val="0018097D"/>
    <w:rsid w:val="00180B8C"/>
    <w:rsid w:val="00180C0A"/>
    <w:rsid w:val="00181E35"/>
    <w:rsid w:val="00182106"/>
    <w:rsid w:val="00182B87"/>
    <w:rsid w:val="0018326B"/>
    <w:rsid w:val="00183506"/>
    <w:rsid w:val="001838B7"/>
    <w:rsid w:val="0018399E"/>
    <w:rsid w:val="0018566E"/>
    <w:rsid w:val="0018582D"/>
    <w:rsid w:val="0018716C"/>
    <w:rsid w:val="001871B3"/>
    <w:rsid w:val="00187ABD"/>
    <w:rsid w:val="00191733"/>
    <w:rsid w:val="00191D1C"/>
    <w:rsid w:val="00192521"/>
    <w:rsid w:val="001930F9"/>
    <w:rsid w:val="001934E0"/>
    <w:rsid w:val="001934E1"/>
    <w:rsid w:val="00193A5A"/>
    <w:rsid w:val="00193B5F"/>
    <w:rsid w:val="00193B69"/>
    <w:rsid w:val="0019410D"/>
    <w:rsid w:val="00194310"/>
    <w:rsid w:val="00194E40"/>
    <w:rsid w:val="00194E74"/>
    <w:rsid w:val="00195844"/>
    <w:rsid w:val="001962B6"/>
    <w:rsid w:val="00196DEB"/>
    <w:rsid w:val="00197326"/>
    <w:rsid w:val="00197633"/>
    <w:rsid w:val="00197C59"/>
    <w:rsid w:val="00197D85"/>
    <w:rsid w:val="001A0466"/>
    <w:rsid w:val="001A0626"/>
    <w:rsid w:val="001A1847"/>
    <w:rsid w:val="001A1C0F"/>
    <w:rsid w:val="001A1EA6"/>
    <w:rsid w:val="001A201A"/>
    <w:rsid w:val="001A2322"/>
    <w:rsid w:val="001A27FC"/>
    <w:rsid w:val="001A2D09"/>
    <w:rsid w:val="001A2D55"/>
    <w:rsid w:val="001A318D"/>
    <w:rsid w:val="001A3BFA"/>
    <w:rsid w:val="001A5183"/>
    <w:rsid w:val="001A5A4B"/>
    <w:rsid w:val="001A5B92"/>
    <w:rsid w:val="001A5D11"/>
    <w:rsid w:val="001B06C1"/>
    <w:rsid w:val="001B0E9C"/>
    <w:rsid w:val="001B13C0"/>
    <w:rsid w:val="001B145A"/>
    <w:rsid w:val="001B1745"/>
    <w:rsid w:val="001B1F2D"/>
    <w:rsid w:val="001B20AC"/>
    <w:rsid w:val="001B25AD"/>
    <w:rsid w:val="001B328E"/>
    <w:rsid w:val="001B3577"/>
    <w:rsid w:val="001B36E5"/>
    <w:rsid w:val="001B4DF7"/>
    <w:rsid w:val="001B61F7"/>
    <w:rsid w:val="001B625C"/>
    <w:rsid w:val="001B62A9"/>
    <w:rsid w:val="001B65BF"/>
    <w:rsid w:val="001B6D2F"/>
    <w:rsid w:val="001B6FB1"/>
    <w:rsid w:val="001C08F1"/>
    <w:rsid w:val="001C0B8A"/>
    <w:rsid w:val="001C1F2A"/>
    <w:rsid w:val="001C252D"/>
    <w:rsid w:val="001C2A0D"/>
    <w:rsid w:val="001C3C10"/>
    <w:rsid w:val="001C3F2E"/>
    <w:rsid w:val="001C4BE3"/>
    <w:rsid w:val="001C5F88"/>
    <w:rsid w:val="001C71AD"/>
    <w:rsid w:val="001C79C3"/>
    <w:rsid w:val="001C7EEE"/>
    <w:rsid w:val="001D0B4B"/>
    <w:rsid w:val="001D0F80"/>
    <w:rsid w:val="001D13A4"/>
    <w:rsid w:val="001D15B5"/>
    <w:rsid w:val="001D19C8"/>
    <w:rsid w:val="001D1D2F"/>
    <w:rsid w:val="001D2215"/>
    <w:rsid w:val="001D26BF"/>
    <w:rsid w:val="001D26CF"/>
    <w:rsid w:val="001D26F9"/>
    <w:rsid w:val="001D2AF4"/>
    <w:rsid w:val="001D3474"/>
    <w:rsid w:val="001D3600"/>
    <w:rsid w:val="001D379A"/>
    <w:rsid w:val="001D3CB5"/>
    <w:rsid w:val="001D4825"/>
    <w:rsid w:val="001D4889"/>
    <w:rsid w:val="001D4DB4"/>
    <w:rsid w:val="001D4F5E"/>
    <w:rsid w:val="001D5230"/>
    <w:rsid w:val="001D65D2"/>
    <w:rsid w:val="001E0A2D"/>
    <w:rsid w:val="001E0B5A"/>
    <w:rsid w:val="001E0E1F"/>
    <w:rsid w:val="001E1058"/>
    <w:rsid w:val="001E11D1"/>
    <w:rsid w:val="001E1696"/>
    <w:rsid w:val="001E1A42"/>
    <w:rsid w:val="001E1E0D"/>
    <w:rsid w:val="001E245B"/>
    <w:rsid w:val="001E265D"/>
    <w:rsid w:val="001E33EF"/>
    <w:rsid w:val="001E4321"/>
    <w:rsid w:val="001E5059"/>
    <w:rsid w:val="001E6CA0"/>
    <w:rsid w:val="001E71AF"/>
    <w:rsid w:val="001E7608"/>
    <w:rsid w:val="001E768A"/>
    <w:rsid w:val="001E77EF"/>
    <w:rsid w:val="001E79C3"/>
    <w:rsid w:val="001F027F"/>
    <w:rsid w:val="001F0392"/>
    <w:rsid w:val="001F0D01"/>
    <w:rsid w:val="001F136F"/>
    <w:rsid w:val="001F164A"/>
    <w:rsid w:val="001F2755"/>
    <w:rsid w:val="001F34CE"/>
    <w:rsid w:val="001F4446"/>
    <w:rsid w:val="001F4615"/>
    <w:rsid w:val="001F5C88"/>
    <w:rsid w:val="001F5D23"/>
    <w:rsid w:val="001F6E0B"/>
    <w:rsid w:val="00200074"/>
    <w:rsid w:val="00200460"/>
    <w:rsid w:val="0020189F"/>
    <w:rsid w:val="00201DF0"/>
    <w:rsid w:val="00203B90"/>
    <w:rsid w:val="002045A1"/>
    <w:rsid w:val="00204A78"/>
    <w:rsid w:val="00204D80"/>
    <w:rsid w:val="002067AE"/>
    <w:rsid w:val="002104F3"/>
    <w:rsid w:val="00210DE5"/>
    <w:rsid w:val="00211C89"/>
    <w:rsid w:val="00211CEB"/>
    <w:rsid w:val="00211D4D"/>
    <w:rsid w:val="00212576"/>
    <w:rsid w:val="002125A9"/>
    <w:rsid w:val="0021288C"/>
    <w:rsid w:val="00212985"/>
    <w:rsid w:val="00212F65"/>
    <w:rsid w:val="00213037"/>
    <w:rsid w:val="00213286"/>
    <w:rsid w:val="00213E35"/>
    <w:rsid w:val="002145C6"/>
    <w:rsid w:val="002146AF"/>
    <w:rsid w:val="002151B7"/>
    <w:rsid w:val="002154D9"/>
    <w:rsid w:val="00216E6E"/>
    <w:rsid w:val="0021708E"/>
    <w:rsid w:val="00217573"/>
    <w:rsid w:val="0021777E"/>
    <w:rsid w:val="00217BB8"/>
    <w:rsid w:val="00222827"/>
    <w:rsid w:val="00222C8A"/>
    <w:rsid w:val="00223340"/>
    <w:rsid w:val="00223811"/>
    <w:rsid w:val="00224349"/>
    <w:rsid w:val="002246BC"/>
    <w:rsid w:val="00224D9B"/>
    <w:rsid w:val="002259A5"/>
    <w:rsid w:val="00225A29"/>
    <w:rsid w:val="00225A61"/>
    <w:rsid w:val="0022618B"/>
    <w:rsid w:val="002263AB"/>
    <w:rsid w:val="00226F55"/>
    <w:rsid w:val="00227190"/>
    <w:rsid w:val="00230A4D"/>
    <w:rsid w:val="00231D1D"/>
    <w:rsid w:val="00232691"/>
    <w:rsid w:val="00234330"/>
    <w:rsid w:val="0023457C"/>
    <w:rsid w:val="002356FD"/>
    <w:rsid w:val="00236415"/>
    <w:rsid w:val="002365CE"/>
    <w:rsid w:val="002374B4"/>
    <w:rsid w:val="00240158"/>
    <w:rsid w:val="00241C59"/>
    <w:rsid w:val="002427A7"/>
    <w:rsid w:val="002437B3"/>
    <w:rsid w:val="00243FB0"/>
    <w:rsid w:val="0024662A"/>
    <w:rsid w:val="00246AE0"/>
    <w:rsid w:val="00246CD6"/>
    <w:rsid w:val="00247123"/>
    <w:rsid w:val="0024736F"/>
    <w:rsid w:val="00247B03"/>
    <w:rsid w:val="00247FAB"/>
    <w:rsid w:val="00252398"/>
    <w:rsid w:val="00252A51"/>
    <w:rsid w:val="00253D90"/>
    <w:rsid w:val="0025421F"/>
    <w:rsid w:val="002546C1"/>
    <w:rsid w:val="002547E2"/>
    <w:rsid w:val="00254CA9"/>
    <w:rsid w:val="00255E25"/>
    <w:rsid w:val="002565E2"/>
    <w:rsid w:val="002571A2"/>
    <w:rsid w:val="00257764"/>
    <w:rsid w:val="002577C3"/>
    <w:rsid w:val="00257D37"/>
    <w:rsid w:val="00257E8B"/>
    <w:rsid w:val="002601AF"/>
    <w:rsid w:val="0026039A"/>
    <w:rsid w:val="0026145F"/>
    <w:rsid w:val="002625E0"/>
    <w:rsid w:val="00262CE8"/>
    <w:rsid w:val="00264321"/>
    <w:rsid w:val="002646AF"/>
    <w:rsid w:val="002651D0"/>
    <w:rsid w:val="00265A05"/>
    <w:rsid w:val="00265B3E"/>
    <w:rsid w:val="00266C13"/>
    <w:rsid w:val="00267E69"/>
    <w:rsid w:val="0027061B"/>
    <w:rsid w:val="00271AF8"/>
    <w:rsid w:val="00271F06"/>
    <w:rsid w:val="002727ED"/>
    <w:rsid w:val="00272C8F"/>
    <w:rsid w:val="002733B8"/>
    <w:rsid w:val="002736F0"/>
    <w:rsid w:val="00273ABD"/>
    <w:rsid w:val="00273DC2"/>
    <w:rsid w:val="00274593"/>
    <w:rsid w:val="00274D10"/>
    <w:rsid w:val="00275171"/>
    <w:rsid w:val="00275376"/>
    <w:rsid w:val="002758AD"/>
    <w:rsid w:val="00276079"/>
    <w:rsid w:val="00276256"/>
    <w:rsid w:val="0027674A"/>
    <w:rsid w:val="00276D3A"/>
    <w:rsid w:val="00276F7B"/>
    <w:rsid w:val="00281688"/>
    <w:rsid w:val="002818EE"/>
    <w:rsid w:val="00281EB5"/>
    <w:rsid w:val="00282944"/>
    <w:rsid w:val="00283320"/>
    <w:rsid w:val="00283653"/>
    <w:rsid w:val="00283FEF"/>
    <w:rsid w:val="00285584"/>
    <w:rsid w:val="00286772"/>
    <w:rsid w:val="002869D0"/>
    <w:rsid w:val="00286C7A"/>
    <w:rsid w:val="00287471"/>
    <w:rsid w:val="00287787"/>
    <w:rsid w:val="002903AF"/>
    <w:rsid w:val="00290DEE"/>
    <w:rsid w:val="002920A4"/>
    <w:rsid w:val="00292944"/>
    <w:rsid w:val="00292C1D"/>
    <w:rsid w:val="00292CCB"/>
    <w:rsid w:val="00292F63"/>
    <w:rsid w:val="002933B7"/>
    <w:rsid w:val="0029377A"/>
    <w:rsid w:val="00293D97"/>
    <w:rsid w:val="002940A8"/>
    <w:rsid w:val="00294AE8"/>
    <w:rsid w:val="00294C75"/>
    <w:rsid w:val="00295275"/>
    <w:rsid w:val="00295AFF"/>
    <w:rsid w:val="00296B71"/>
    <w:rsid w:val="002972C6"/>
    <w:rsid w:val="00297B58"/>
    <w:rsid w:val="00297EA0"/>
    <w:rsid w:val="002A03FD"/>
    <w:rsid w:val="002A0425"/>
    <w:rsid w:val="002A06CF"/>
    <w:rsid w:val="002A2C7B"/>
    <w:rsid w:val="002A2CAD"/>
    <w:rsid w:val="002A379E"/>
    <w:rsid w:val="002A383F"/>
    <w:rsid w:val="002A4137"/>
    <w:rsid w:val="002A51A0"/>
    <w:rsid w:val="002A557B"/>
    <w:rsid w:val="002A65C9"/>
    <w:rsid w:val="002A6C82"/>
    <w:rsid w:val="002A6F7A"/>
    <w:rsid w:val="002A77B8"/>
    <w:rsid w:val="002B093E"/>
    <w:rsid w:val="002B12BE"/>
    <w:rsid w:val="002B13EA"/>
    <w:rsid w:val="002B1A57"/>
    <w:rsid w:val="002B304E"/>
    <w:rsid w:val="002B39F8"/>
    <w:rsid w:val="002B3DEF"/>
    <w:rsid w:val="002B3E22"/>
    <w:rsid w:val="002B445C"/>
    <w:rsid w:val="002B4D3B"/>
    <w:rsid w:val="002B51A0"/>
    <w:rsid w:val="002B6944"/>
    <w:rsid w:val="002B6B16"/>
    <w:rsid w:val="002B6C9D"/>
    <w:rsid w:val="002C02C0"/>
    <w:rsid w:val="002C087C"/>
    <w:rsid w:val="002C0BF1"/>
    <w:rsid w:val="002C0DA0"/>
    <w:rsid w:val="002C1E1C"/>
    <w:rsid w:val="002C2BBE"/>
    <w:rsid w:val="002C2FFC"/>
    <w:rsid w:val="002C3B82"/>
    <w:rsid w:val="002C4AFE"/>
    <w:rsid w:val="002C5078"/>
    <w:rsid w:val="002C52A5"/>
    <w:rsid w:val="002C5318"/>
    <w:rsid w:val="002C5D54"/>
    <w:rsid w:val="002C6273"/>
    <w:rsid w:val="002C7223"/>
    <w:rsid w:val="002C7B0B"/>
    <w:rsid w:val="002C7E17"/>
    <w:rsid w:val="002D24D4"/>
    <w:rsid w:val="002D2A4B"/>
    <w:rsid w:val="002D2AA8"/>
    <w:rsid w:val="002D2C05"/>
    <w:rsid w:val="002D2E65"/>
    <w:rsid w:val="002D30B2"/>
    <w:rsid w:val="002D32D3"/>
    <w:rsid w:val="002D3763"/>
    <w:rsid w:val="002D5643"/>
    <w:rsid w:val="002D61E3"/>
    <w:rsid w:val="002D6498"/>
    <w:rsid w:val="002D6A75"/>
    <w:rsid w:val="002D78D4"/>
    <w:rsid w:val="002D7A4B"/>
    <w:rsid w:val="002D7F7B"/>
    <w:rsid w:val="002E04CD"/>
    <w:rsid w:val="002E08ED"/>
    <w:rsid w:val="002E0F27"/>
    <w:rsid w:val="002E1418"/>
    <w:rsid w:val="002E18C7"/>
    <w:rsid w:val="002E3DD6"/>
    <w:rsid w:val="002E45AC"/>
    <w:rsid w:val="002E4FF4"/>
    <w:rsid w:val="002E516B"/>
    <w:rsid w:val="002E52BA"/>
    <w:rsid w:val="002E5554"/>
    <w:rsid w:val="002E55B2"/>
    <w:rsid w:val="002E62CC"/>
    <w:rsid w:val="002E6517"/>
    <w:rsid w:val="002E6B86"/>
    <w:rsid w:val="002E7AEB"/>
    <w:rsid w:val="002F0289"/>
    <w:rsid w:val="002F02EC"/>
    <w:rsid w:val="002F1415"/>
    <w:rsid w:val="002F1E00"/>
    <w:rsid w:val="002F20A9"/>
    <w:rsid w:val="002F2F5B"/>
    <w:rsid w:val="002F320F"/>
    <w:rsid w:val="002F32FE"/>
    <w:rsid w:val="002F392D"/>
    <w:rsid w:val="002F4C24"/>
    <w:rsid w:val="002F5EE2"/>
    <w:rsid w:val="002F64BE"/>
    <w:rsid w:val="002F6613"/>
    <w:rsid w:val="002F7EAE"/>
    <w:rsid w:val="003006BE"/>
    <w:rsid w:val="003008DA"/>
    <w:rsid w:val="00300D83"/>
    <w:rsid w:val="00300FA6"/>
    <w:rsid w:val="003016ED"/>
    <w:rsid w:val="003018CB"/>
    <w:rsid w:val="00301CA3"/>
    <w:rsid w:val="003021A1"/>
    <w:rsid w:val="00302662"/>
    <w:rsid w:val="00302954"/>
    <w:rsid w:val="00303626"/>
    <w:rsid w:val="0030362C"/>
    <w:rsid w:val="00303886"/>
    <w:rsid w:val="0030458B"/>
    <w:rsid w:val="0030479D"/>
    <w:rsid w:val="00304D14"/>
    <w:rsid w:val="00305B3D"/>
    <w:rsid w:val="00305D3F"/>
    <w:rsid w:val="003063DB"/>
    <w:rsid w:val="00306425"/>
    <w:rsid w:val="0030681E"/>
    <w:rsid w:val="00306BCB"/>
    <w:rsid w:val="003077F0"/>
    <w:rsid w:val="003104F7"/>
    <w:rsid w:val="003106B7"/>
    <w:rsid w:val="00310E08"/>
    <w:rsid w:val="0031173D"/>
    <w:rsid w:val="00312152"/>
    <w:rsid w:val="003123F7"/>
    <w:rsid w:val="003129AA"/>
    <w:rsid w:val="00313634"/>
    <w:rsid w:val="00313761"/>
    <w:rsid w:val="0031386C"/>
    <w:rsid w:val="00313985"/>
    <w:rsid w:val="00314274"/>
    <w:rsid w:val="0031637D"/>
    <w:rsid w:val="003168A2"/>
    <w:rsid w:val="00317A5A"/>
    <w:rsid w:val="00317B0F"/>
    <w:rsid w:val="00317E26"/>
    <w:rsid w:val="00320985"/>
    <w:rsid w:val="00321347"/>
    <w:rsid w:val="00323397"/>
    <w:rsid w:val="003233F4"/>
    <w:rsid w:val="00323605"/>
    <w:rsid w:val="00324009"/>
    <w:rsid w:val="00324EE0"/>
    <w:rsid w:val="00324F4C"/>
    <w:rsid w:val="00325228"/>
    <w:rsid w:val="0032569F"/>
    <w:rsid w:val="003256BD"/>
    <w:rsid w:val="003259E0"/>
    <w:rsid w:val="00325B6A"/>
    <w:rsid w:val="003272BC"/>
    <w:rsid w:val="003278EA"/>
    <w:rsid w:val="00330690"/>
    <w:rsid w:val="00333511"/>
    <w:rsid w:val="00333A7B"/>
    <w:rsid w:val="00334547"/>
    <w:rsid w:val="003348E8"/>
    <w:rsid w:val="00334D89"/>
    <w:rsid w:val="00335233"/>
    <w:rsid w:val="00336260"/>
    <w:rsid w:val="003375A0"/>
    <w:rsid w:val="00337CCC"/>
    <w:rsid w:val="0034018B"/>
    <w:rsid w:val="00341207"/>
    <w:rsid w:val="00341846"/>
    <w:rsid w:val="00342E5D"/>
    <w:rsid w:val="00343E0E"/>
    <w:rsid w:val="00345034"/>
    <w:rsid w:val="003474DE"/>
    <w:rsid w:val="00350731"/>
    <w:rsid w:val="0035253C"/>
    <w:rsid w:val="00352E42"/>
    <w:rsid w:val="00353066"/>
    <w:rsid w:val="00353BB6"/>
    <w:rsid w:val="0035429C"/>
    <w:rsid w:val="00355498"/>
    <w:rsid w:val="00355576"/>
    <w:rsid w:val="0035597B"/>
    <w:rsid w:val="00355D28"/>
    <w:rsid w:val="00356066"/>
    <w:rsid w:val="0035714A"/>
    <w:rsid w:val="003607E3"/>
    <w:rsid w:val="00360B02"/>
    <w:rsid w:val="00360B38"/>
    <w:rsid w:val="00360C95"/>
    <w:rsid w:val="003617F7"/>
    <w:rsid w:val="0036266E"/>
    <w:rsid w:val="003626DA"/>
    <w:rsid w:val="0036279D"/>
    <w:rsid w:val="00362BB1"/>
    <w:rsid w:val="003635BD"/>
    <w:rsid w:val="00363CB2"/>
    <w:rsid w:val="0036409F"/>
    <w:rsid w:val="003640FF"/>
    <w:rsid w:val="00364389"/>
    <w:rsid w:val="00364B87"/>
    <w:rsid w:val="00364E29"/>
    <w:rsid w:val="0036500E"/>
    <w:rsid w:val="00365459"/>
    <w:rsid w:val="003658C5"/>
    <w:rsid w:val="003660EE"/>
    <w:rsid w:val="00366483"/>
    <w:rsid w:val="00367584"/>
    <w:rsid w:val="00367827"/>
    <w:rsid w:val="00367CA8"/>
    <w:rsid w:val="003713B9"/>
    <w:rsid w:val="003715C8"/>
    <w:rsid w:val="00371A0E"/>
    <w:rsid w:val="00371FF7"/>
    <w:rsid w:val="00372203"/>
    <w:rsid w:val="0037284D"/>
    <w:rsid w:val="003753E6"/>
    <w:rsid w:val="00375702"/>
    <w:rsid w:val="00375A0C"/>
    <w:rsid w:val="00375E53"/>
    <w:rsid w:val="00375EB5"/>
    <w:rsid w:val="00376BEF"/>
    <w:rsid w:val="00376C20"/>
    <w:rsid w:val="0037732E"/>
    <w:rsid w:val="0038082F"/>
    <w:rsid w:val="00380BC6"/>
    <w:rsid w:val="00380CAC"/>
    <w:rsid w:val="003813FA"/>
    <w:rsid w:val="003815D3"/>
    <w:rsid w:val="0038234F"/>
    <w:rsid w:val="00383347"/>
    <w:rsid w:val="00383AB4"/>
    <w:rsid w:val="003840CB"/>
    <w:rsid w:val="0038441D"/>
    <w:rsid w:val="0038450A"/>
    <w:rsid w:val="003847DC"/>
    <w:rsid w:val="00384AA3"/>
    <w:rsid w:val="00385289"/>
    <w:rsid w:val="00386993"/>
    <w:rsid w:val="00387662"/>
    <w:rsid w:val="00387F59"/>
    <w:rsid w:val="00390224"/>
    <w:rsid w:val="0039040C"/>
    <w:rsid w:val="00390515"/>
    <w:rsid w:val="00390569"/>
    <w:rsid w:val="003908FF"/>
    <w:rsid w:val="003922A5"/>
    <w:rsid w:val="003922F6"/>
    <w:rsid w:val="0039242C"/>
    <w:rsid w:val="00393E0D"/>
    <w:rsid w:val="00394DA3"/>
    <w:rsid w:val="00396473"/>
    <w:rsid w:val="00396C96"/>
    <w:rsid w:val="003A00CA"/>
    <w:rsid w:val="003A0140"/>
    <w:rsid w:val="003A07DF"/>
    <w:rsid w:val="003A1B10"/>
    <w:rsid w:val="003A277A"/>
    <w:rsid w:val="003A2E3A"/>
    <w:rsid w:val="003A3AAF"/>
    <w:rsid w:val="003A3AF4"/>
    <w:rsid w:val="003A3BDF"/>
    <w:rsid w:val="003A3F7F"/>
    <w:rsid w:val="003A60F6"/>
    <w:rsid w:val="003A6971"/>
    <w:rsid w:val="003A6BCA"/>
    <w:rsid w:val="003A799E"/>
    <w:rsid w:val="003A7A7E"/>
    <w:rsid w:val="003A7B63"/>
    <w:rsid w:val="003B01B5"/>
    <w:rsid w:val="003B1E2C"/>
    <w:rsid w:val="003B1F1C"/>
    <w:rsid w:val="003B205F"/>
    <w:rsid w:val="003B2180"/>
    <w:rsid w:val="003B3A9B"/>
    <w:rsid w:val="003B40CF"/>
    <w:rsid w:val="003B44B7"/>
    <w:rsid w:val="003B4D1C"/>
    <w:rsid w:val="003B573D"/>
    <w:rsid w:val="003B5AA8"/>
    <w:rsid w:val="003B5C77"/>
    <w:rsid w:val="003B6312"/>
    <w:rsid w:val="003B660F"/>
    <w:rsid w:val="003B7EB7"/>
    <w:rsid w:val="003C0191"/>
    <w:rsid w:val="003C01C7"/>
    <w:rsid w:val="003C1AA9"/>
    <w:rsid w:val="003C1D67"/>
    <w:rsid w:val="003C2993"/>
    <w:rsid w:val="003C3914"/>
    <w:rsid w:val="003C401B"/>
    <w:rsid w:val="003C6487"/>
    <w:rsid w:val="003C6BB8"/>
    <w:rsid w:val="003C6DAE"/>
    <w:rsid w:val="003C76AA"/>
    <w:rsid w:val="003D04D9"/>
    <w:rsid w:val="003D0786"/>
    <w:rsid w:val="003D1463"/>
    <w:rsid w:val="003D198A"/>
    <w:rsid w:val="003D2864"/>
    <w:rsid w:val="003D38EF"/>
    <w:rsid w:val="003D40FB"/>
    <w:rsid w:val="003D4753"/>
    <w:rsid w:val="003D52CE"/>
    <w:rsid w:val="003D5B4C"/>
    <w:rsid w:val="003D728F"/>
    <w:rsid w:val="003D7822"/>
    <w:rsid w:val="003D7B39"/>
    <w:rsid w:val="003D7C9D"/>
    <w:rsid w:val="003D7FA6"/>
    <w:rsid w:val="003E0FDE"/>
    <w:rsid w:val="003E100F"/>
    <w:rsid w:val="003E17D1"/>
    <w:rsid w:val="003E2AF6"/>
    <w:rsid w:val="003E2D5E"/>
    <w:rsid w:val="003E47D1"/>
    <w:rsid w:val="003E4E4B"/>
    <w:rsid w:val="003E4F9F"/>
    <w:rsid w:val="003E54DB"/>
    <w:rsid w:val="003E5501"/>
    <w:rsid w:val="003E5FDA"/>
    <w:rsid w:val="003E6293"/>
    <w:rsid w:val="003E6A1C"/>
    <w:rsid w:val="003E702A"/>
    <w:rsid w:val="003E73D7"/>
    <w:rsid w:val="003E7650"/>
    <w:rsid w:val="003E7DFD"/>
    <w:rsid w:val="003F094E"/>
    <w:rsid w:val="003F278D"/>
    <w:rsid w:val="003F2AEC"/>
    <w:rsid w:val="003F33DA"/>
    <w:rsid w:val="003F3968"/>
    <w:rsid w:val="003F3CA6"/>
    <w:rsid w:val="003F56CC"/>
    <w:rsid w:val="003F59DB"/>
    <w:rsid w:val="003F5EA2"/>
    <w:rsid w:val="003F6891"/>
    <w:rsid w:val="003F6ADD"/>
    <w:rsid w:val="003F6E33"/>
    <w:rsid w:val="003F7A38"/>
    <w:rsid w:val="003F7BA7"/>
    <w:rsid w:val="0040055E"/>
    <w:rsid w:val="004012E4"/>
    <w:rsid w:val="00401C97"/>
    <w:rsid w:val="00401D2D"/>
    <w:rsid w:val="00401FD5"/>
    <w:rsid w:val="004021E5"/>
    <w:rsid w:val="004023FB"/>
    <w:rsid w:val="00402EA4"/>
    <w:rsid w:val="004030E5"/>
    <w:rsid w:val="00403543"/>
    <w:rsid w:val="00403BA1"/>
    <w:rsid w:val="0040426D"/>
    <w:rsid w:val="00405179"/>
    <w:rsid w:val="00406484"/>
    <w:rsid w:val="00406D53"/>
    <w:rsid w:val="0040713B"/>
    <w:rsid w:val="0040739B"/>
    <w:rsid w:val="00407C27"/>
    <w:rsid w:val="0041060D"/>
    <w:rsid w:val="004109D9"/>
    <w:rsid w:val="00411239"/>
    <w:rsid w:val="0041201D"/>
    <w:rsid w:val="00412106"/>
    <w:rsid w:val="004128D3"/>
    <w:rsid w:val="00412C5F"/>
    <w:rsid w:val="0041410E"/>
    <w:rsid w:val="00414B46"/>
    <w:rsid w:val="00414CD9"/>
    <w:rsid w:val="00415130"/>
    <w:rsid w:val="004151C8"/>
    <w:rsid w:val="004165CB"/>
    <w:rsid w:val="004169D1"/>
    <w:rsid w:val="00416B22"/>
    <w:rsid w:val="004178B8"/>
    <w:rsid w:val="00417F61"/>
    <w:rsid w:val="00420252"/>
    <w:rsid w:val="0042190F"/>
    <w:rsid w:val="00422733"/>
    <w:rsid w:val="00424325"/>
    <w:rsid w:val="00424B3A"/>
    <w:rsid w:val="00424CD4"/>
    <w:rsid w:val="00424D88"/>
    <w:rsid w:val="004250F3"/>
    <w:rsid w:val="0042521A"/>
    <w:rsid w:val="004255AC"/>
    <w:rsid w:val="00425F53"/>
    <w:rsid w:val="004260C7"/>
    <w:rsid w:val="00426254"/>
    <w:rsid w:val="004274AF"/>
    <w:rsid w:val="00427D6D"/>
    <w:rsid w:val="0043097A"/>
    <w:rsid w:val="00430F02"/>
    <w:rsid w:val="00431286"/>
    <w:rsid w:val="00431CD0"/>
    <w:rsid w:val="00432632"/>
    <w:rsid w:val="00432E01"/>
    <w:rsid w:val="00433646"/>
    <w:rsid w:val="0043427C"/>
    <w:rsid w:val="00435B6E"/>
    <w:rsid w:val="00436604"/>
    <w:rsid w:val="00436DAB"/>
    <w:rsid w:val="00437225"/>
    <w:rsid w:val="00437AEC"/>
    <w:rsid w:val="00440443"/>
    <w:rsid w:val="00440636"/>
    <w:rsid w:val="004406E6"/>
    <w:rsid w:val="004425DE"/>
    <w:rsid w:val="004430FA"/>
    <w:rsid w:val="00443926"/>
    <w:rsid w:val="004444F2"/>
    <w:rsid w:val="00444742"/>
    <w:rsid w:val="004447B7"/>
    <w:rsid w:val="00444E70"/>
    <w:rsid w:val="004459E2"/>
    <w:rsid w:val="00445A3C"/>
    <w:rsid w:val="00445FC0"/>
    <w:rsid w:val="004477D4"/>
    <w:rsid w:val="00450FC9"/>
    <w:rsid w:val="004517AB"/>
    <w:rsid w:val="004519E2"/>
    <w:rsid w:val="00452E06"/>
    <w:rsid w:val="0045387C"/>
    <w:rsid w:val="00453B98"/>
    <w:rsid w:val="00454DA6"/>
    <w:rsid w:val="00454E1C"/>
    <w:rsid w:val="00455AA1"/>
    <w:rsid w:val="00456D02"/>
    <w:rsid w:val="00457106"/>
    <w:rsid w:val="004571F6"/>
    <w:rsid w:val="00457BCE"/>
    <w:rsid w:val="004604E9"/>
    <w:rsid w:val="00460D3A"/>
    <w:rsid w:val="00460DC5"/>
    <w:rsid w:val="00461205"/>
    <w:rsid w:val="00461734"/>
    <w:rsid w:val="00461922"/>
    <w:rsid w:val="0046298B"/>
    <w:rsid w:val="00463971"/>
    <w:rsid w:val="00463972"/>
    <w:rsid w:val="004640FC"/>
    <w:rsid w:val="00464922"/>
    <w:rsid w:val="004649CF"/>
    <w:rsid w:val="00464CAD"/>
    <w:rsid w:val="00464E03"/>
    <w:rsid w:val="00465250"/>
    <w:rsid w:val="00466CB3"/>
    <w:rsid w:val="00467690"/>
    <w:rsid w:val="00467699"/>
    <w:rsid w:val="0046793D"/>
    <w:rsid w:val="00467ECA"/>
    <w:rsid w:val="00467F31"/>
    <w:rsid w:val="0047028C"/>
    <w:rsid w:val="0047081F"/>
    <w:rsid w:val="0047133C"/>
    <w:rsid w:val="0047183F"/>
    <w:rsid w:val="00472221"/>
    <w:rsid w:val="0047289B"/>
    <w:rsid w:val="00472E5B"/>
    <w:rsid w:val="00473105"/>
    <w:rsid w:val="0047366B"/>
    <w:rsid w:val="00473FE2"/>
    <w:rsid w:val="004740E3"/>
    <w:rsid w:val="004749A2"/>
    <w:rsid w:val="00474C03"/>
    <w:rsid w:val="00474DC1"/>
    <w:rsid w:val="00475A4F"/>
    <w:rsid w:val="004760C7"/>
    <w:rsid w:val="004763F9"/>
    <w:rsid w:val="004768CB"/>
    <w:rsid w:val="0047723A"/>
    <w:rsid w:val="00477A3E"/>
    <w:rsid w:val="004803C3"/>
    <w:rsid w:val="00480425"/>
    <w:rsid w:val="00480F5E"/>
    <w:rsid w:val="004813CB"/>
    <w:rsid w:val="00481E69"/>
    <w:rsid w:val="0048227F"/>
    <w:rsid w:val="004824DB"/>
    <w:rsid w:val="004824F4"/>
    <w:rsid w:val="00482A2C"/>
    <w:rsid w:val="00484362"/>
    <w:rsid w:val="00484B04"/>
    <w:rsid w:val="0048510F"/>
    <w:rsid w:val="0048552A"/>
    <w:rsid w:val="00485F28"/>
    <w:rsid w:val="00486EAC"/>
    <w:rsid w:val="00487303"/>
    <w:rsid w:val="0048758B"/>
    <w:rsid w:val="00487C84"/>
    <w:rsid w:val="0049015D"/>
    <w:rsid w:val="00490A87"/>
    <w:rsid w:val="00490C66"/>
    <w:rsid w:val="00490D45"/>
    <w:rsid w:val="0049149C"/>
    <w:rsid w:val="0049156A"/>
    <w:rsid w:val="004938EE"/>
    <w:rsid w:val="00493E8A"/>
    <w:rsid w:val="004946E0"/>
    <w:rsid w:val="00494938"/>
    <w:rsid w:val="00496882"/>
    <w:rsid w:val="004968B5"/>
    <w:rsid w:val="00496911"/>
    <w:rsid w:val="00497F0B"/>
    <w:rsid w:val="004A005B"/>
    <w:rsid w:val="004A028C"/>
    <w:rsid w:val="004A0EF1"/>
    <w:rsid w:val="004A16D7"/>
    <w:rsid w:val="004A18D9"/>
    <w:rsid w:val="004A2D90"/>
    <w:rsid w:val="004A2DA9"/>
    <w:rsid w:val="004A3551"/>
    <w:rsid w:val="004A3C90"/>
    <w:rsid w:val="004A4262"/>
    <w:rsid w:val="004A4466"/>
    <w:rsid w:val="004A597C"/>
    <w:rsid w:val="004A6794"/>
    <w:rsid w:val="004A6BCD"/>
    <w:rsid w:val="004A7594"/>
    <w:rsid w:val="004A78DA"/>
    <w:rsid w:val="004B007A"/>
    <w:rsid w:val="004B05FA"/>
    <w:rsid w:val="004B0C3B"/>
    <w:rsid w:val="004B0D57"/>
    <w:rsid w:val="004B1C7A"/>
    <w:rsid w:val="004B1E79"/>
    <w:rsid w:val="004B2577"/>
    <w:rsid w:val="004B3085"/>
    <w:rsid w:val="004B3229"/>
    <w:rsid w:val="004B3A09"/>
    <w:rsid w:val="004B3C0B"/>
    <w:rsid w:val="004B4387"/>
    <w:rsid w:val="004B45DE"/>
    <w:rsid w:val="004B49F3"/>
    <w:rsid w:val="004B5064"/>
    <w:rsid w:val="004B50F5"/>
    <w:rsid w:val="004B5A07"/>
    <w:rsid w:val="004B6826"/>
    <w:rsid w:val="004B6ACE"/>
    <w:rsid w:val="004C0308"/>
    <w:rsid w:val="004C175F"/>
    <w:rsid w:val="004C2FA3"/>
    <w:rsid w:val="004C3081"/>
    <w:rsid w:val="004C4114"/>
    <w:rsid w:val="004C4C84"/>
    <w:rsid w:val="004C5B81"/>
    <w:rsid w:val="004C6750"/>
    <w:rsid w:val="004C6886"/>
    <w:rsid w:val="004C6C4E"/>
    <w:rsid w:val="004C6CB7"/>
    <w:rsid w:val="004C732D"/>
    <w:rsid w:val="004C7882"/>
    <w:rsid w:val="004C7933"/>
    <w:rsid w:val="004C7EF1"/>
    <w:rsid w:val="004D0433"/>
    <w:rsid w:val="004D0597"/>
    <w:rsid w:val="004D078C"/>
    <w:rsid w:val="004D0BBE"/>
    <w:rsid w:val="004D1873"/>
    <w:rsid w:val="004D2999"/>
    <w:rsid w:val="004D2E1B"/>
    <w:rsid w:val="004D34D0"/>
    <w:rsid w:val="004D405A"/>
    <w:rsid w:val="004D54B3"/>
    <w:rsid w:val="004D60AF"/>
    <w:rsid w:val="004D6526"/>
    <w:rsid w:val="004D7372"/>
    <w:rsid w:val="004D7EEE"/>
    <w:rsid w:val="004E053D"/>
    <w:rsid w:val="004E05CC"/>
    <w:rsid w:val="004E0DE8"/>
    <w:rsid w:val="004E11FA"/>
    <w:rsid w:val="004E13F0"/>
    <w:rsid w:val="004E1D1B"/>
    <w:rsid w:val="004E25DD"/>
    <w:rsid w:val="004E39CF"/>
    <w:rsid w:val="004E3CA6"/>
    <w:rsid w:val="004E4787"/>
    <w:rsid w:val="004E5174"/>
    <w:rsid w:val="004E594B"/>
    <w:rsid w:val="004E6367"/>
    <w:rsid w:val="004E66CD"/>
    <w:rsid w:val="004E6D98"/>
    <w:rsid w:val="004F0800"/>
    <w:rsid w:val="004F0DDC"/>
    <w:rsid w:val="004F2031"/>
    <w:rsid w:val="004F248F"/>
    <w:rsid w:val="004F255F"/>
    <w:rsid w:val="004F3645"/>
    <w:rsid w:val="004F4600"/>
    <w:rsid w:val="004F4BC7"/>
    <w:rsid w:val="004F4D45"/>
    <w:rsid w:val="004F4EAA"/>
    <w:rsid w:val="004F697B"/>
    <w:rsid w:val="004F6D60"/>
    <w:rsid w:val="004F796B"/>
    <w:rsid w:val="00500441"/>
    <w:rsid w:val="00501DEF"/>
    <w:rsid w:val="00502F4E"/>
    <w:rsid w:val="005031C8"/>
    <w:rsid w:val="0050375E"/>
    <w:rsid w:val="00503991"/>
    <w:rsid w:val="00503BB8"/>
    <w:rsid w:val="0050479D"/>
    <w:rsid w:val="00505AC5"/>
    <w:rsid w:val="005065EA"/>
    <w:rsid w:val="00507667"/>
    <w:rsid w:val="00510F17"/>
    <w:rsid w:val="00511920"/>
    <w:rsid w:val="00512355"/>
    <w:rsid w:val="0051270A"/>
    <w:rsid w:val="005128F9"/>
    <w:rsid w:val="00513A5A"/>
    <w:rsid w:val="00514165"/>
    <w:rsid w:val="0051480F"/>
    <w:rsid w:val="00514B65"/>
    <w:rsid w:val="00515BA0"/>
    <w:rsid w:val="0051649A"/>
    <w:rsid w:val="0051683E"/>
    <w:rsid w:val="00516DB8"/>
    <w:rsid w:val="0051755F"/>
    <w:rsid w:val="00517949"/>
    <w:rsid w:val="00520446"/>
    <w:rsid w:val="005204F1"/>
    <w:rsid w:val="005216AC"/>
    <w:rsid w:val="005223E2"/>
    <w:rsid w:val="0052282D"/>
    <w:rsid w:val="0052331F"/>
    <w:rsid w:val="00524E58"/>
    <w:rsid w:val="0052500F"/>
    <w:rsid w:val="0052512C"/>
    <w:rsid w:val="005259AA"/>
    <w:rsid w:val="00526409"/>
    <w:rsid w:val="00526BAE"/>
    <w:rsid w:val="005270C3"/>
    <w:rsid w:val="00527B61"/>
    <w:rsid w:val="00527CEE"/>
    <w:rsid w:val="00530C73"/>
    <w:rsid w:val="005316F8"/>
    <w:rsid w:val="00531A52"/>
    <w:rsid w:val="0053308B"/>
    <w:rsid w:val="005330CE"/>
    <w:rsid w:val="00533A59"/>
    <w:rsid w:val="00533B35"/>
    <w:rsid w:val="00533E8E"/>
    <w:rsid w:val="00533FE9"/>
    <w:rsid w:val="005341D1"/>
    <w:rsid w:val="00534826"/>
    <w:rsid w:val="00534C69"/>
    <w:rsid w:val="00535B7C"/>
    <w:rsid w:val="00536A03"/>
    <w:rsid w:val="00537FA4"/>
    <w:rsid w:val="0054079D"/>
    <w:rsid w:val="0054143E"/>
    <w:rsid w:val="00542189"/>
    <w:rsid w:val="00544DE8"/>
    <w:rsid w:val="0054532F"/>
    <w:rsid w:val="00545362"/>
    <w:rsid w:val="00545B99"/>
    <w:rsid w:val="00545DC0"/>
    <w:rsid w:val="00546124"/>
    <w:rsid w:val="005464CA"/>
    <w:rsid w:val="00546EEC"/>
    <w:rsid w:val="005472F7"/>
    <w:rsid w:val="00547375"/>
    <w:rsid w:val="005501CB"/>
    <w:rsid w:val="005515A6"/>
    <w:rsid w:val="005518CF"/>
    <w:rsid w:val="00551C35"/>
    <w:rsid w:val="0055250D"/>
    <w:rsid w:val="00552593"/>
    <w:rsid w:val="005530AD"/>
    <w:rsid w:val="00553F0D"/>
    <w:rsid w:val="00553FBE"/>
    <w:rsid w:val="005552D6"/>
    <w:rsid w:val="00555330"/>
    <w:rsid w:val="005557B5"/>
    <w:rsid w:val="00555C68"/>
    <w:rsid w:val="00555E1C"/>
    <w:rsid w:val="005570EB"/>
    <w:rsid w:val="00560A01"/>
    <w:rsid w:val="00560E2D"/>
    <w:rsid w:val="00561A1D"/>
    <w:rsid w:val="00562B36"/>
    <w:rsid w:val="00562E1C"/>
    <w:rsid w:val="00562F3A"/>
    <w:rsid w:val="00563331"/>
    <w:rsid w:val="00563919"/>
    <w:rsid w:val="0056530F"/>
    <w:rsid w:val="005656BB"/>
    <w:rsid w:val="005659EA"/>
    <w:rsid w:val="00566A4D"/>
    <w:rsid w:val="00567E9C"/>
    <w:rsid w:val="00570012"/>
    <w:rsid w:val="005709C7"/>
    <w:rsid w:val="00572C7C"/>
    <w:rsid w:val="00573D4A"/>
    <w:rsid w:val="0057467D"/>
    <w:rsid w:val="005749D8"/>
    <w:rsid w:val="00574AA5"/>
    <w:rsid w:val="00575439"/>
    <w:rsid w:val="00575499"/>
    <w:rsid w:val="005758DA"/>
    <w:rsid w:val="005766AB"/>
    <w:rsid w:val="00576FDF"/>
    <w:rsid w:val="0057711F"/>
    <w:rsid w:val="00577C63"/>
    <w:rsid w:val="00580F78"/>
    <w:rsid w:val="005817F2"/>
    <w:rsid w:val="0058190C"/>
    <w:rsid w:val="00582348"/>
    <w:rsid w:val="00582619"/>
    <w:rsid w:val="00582692"/>
    <w:rsid w:val="00584207"/>
    <w:rsid w:val="00584857"/>
    <w:rsid w:val="00587F3F"/>
    <w:rsid w:val="00590E7F"/>
    <w:rsid w:val="00591901"/>
    <w:rsid w:val="00591D1E"/>
    <w:rsid w:val="00591D75"/>
    <w:rsid w:val="0059292C"/>
    <w:rsid w:val="00592BF9"/>
    <w:rsid w:val="005931D5"/>
    <w:rsid w:val="00593C56"/>
    <w:rsid w:val="0059428B"/>
    <w:rsid w:val="00594330"/>
    <w:rsid w:val="00594CF7"/>
    <w:rsid w:val="00595523"/>
    <w:rsid w:val="005955F6"/>
    <w:rsid w:val="00596EBC"/>
    <w:rsid w:val="005979F4"/>
    <w:rsid w:val="00597D3B"/>
    <w:rsid w:val="005A2619"/>
    <w:rsid w:val="005A43D2"/>
    <w:rsid w:val="005A516B"/>
    <w:rsid w:val="005A5695"/>
    <w:rsid w:val="005A582F"/>
    <w:rsid w:val="005A5D1C"/>
    <w:rsid w:val="005A5D64"/>
    <w:rsid w:val="005A71E2"/>
    <w:rsid w:val="005B0059"/>
    <w:rsid w:val="005B0768"/>
    <w:rsid w:val="005B140E"/>
    <w:rsid w:val="005B2529"/>
    <w:rsid w:val="005B282F"/>
    <w:rsid w:val="005B3725"/>
    <w:rsid w:val="005B4612"/>
    <w:rsid w:val="005B4A23"/>
    <w:rsid w:val="005B4BB7"/>
    <w:rsid w:val="005B4BF2"/>
    <w:rsid w:val="005B5D0F"/>
    <w:rsid w:val="005B5DBE"/>
    <w:rsid w:val="005B5EAB"/>
    <w:rsid w:val="005B649F"/>
    <w:rsid w:val="005B657F"/>
    <w:rsid w:val="005B6FAA"/>
    <w:rsid w:val="005B7E26"/>
    <w:rsid w:val="005C0594"/>
    <w:rsid w:val="005C16E5"/>
    <w:rsid w:val="005C1CBA"/>
    <w:rsid w:val="005C254B"/>
    <w:rsid w:val="005C2C56"/>
    <w:rsid w:val="005C30C1"/>
    <w:rsid w:val="005C341F"/>
    <w:rsid w:val="005C41CB"/>
    <w:rsid w:val="005C5755"/>
    <w:rsid w:val="005C5B66"/>
    <w:rsid w:val="005C5B6F"/>
    <w:rsid w:val="005C7128"/>
    <w:rsid w:val="005C7536"/>
    <w:rsid w:val="005D086F"/>
    <w:rsid w:val="005D0FE8"/>
    <w:rsid w:val="005D21EA"/>
    <w:rsid w:val="005D2CA7"/>
    <w:rsid w:val="005D2DDD"/>
    <w:rsid w:val="005D3720"/>
    <w:rsid w:val="005D39A2"/>
    <w:rsid w:val="005D3B0F"/>
    <w:rsid w:val="005D3B5A"/>
    <w:rsid w:val="005D439F"/>
    <w:rsid w:val="005D4A4D"/>
    <w:rsid w:val="005D4D3E"/>
    <w:rsid w:val="005D4F9B"/>
    <w:rsid w:val="005D524C"/>
    <w:rsid w:val="005D6695"/>
    <w:rsid w:val="005D731F"/>
    <w:rsid w:val="005E0B7A"/>
    <w:rsid w:val="005E0BD0"/>
    <w:rsid w:val="005E0DF8"/>
    <w:rsid w:val="005E223E"/>
    <w:rsid w:val="005E23DA"/>
    <w:rsid w:val="005E2534"/>
    <w:rsid w:val="005E25C6"/>
    <w:rsid w:val="005E31CE"/>
    <w:rsid w:val="005E6EF1"/>
    <w:rsid w:val="005E716D"/>
    <w:rsid w:val="005E7640"/>
    <w:rsid w:val="005E7A8C"/>
    <w:rsid w:val="005F0394"/>
    <w:rsid w:val="005F07F5"/>
    <w:rsid w:val="005F0B95"/>
    <w:rsid w:val="005F162E"/>
    <w:rsid w:val="005F1E9D"/>
    <w:rsid w:val="005F25CD"/>
    <w:rsid w:val="005F29C0"/>
    <w:rsid w:val="005F30B1"/>
    <w:rsid w:val="005F379A"/>
    <w:rsid w:val="005F39F9"/>
    <w:rsid w:val="005F4B08"/>
    <w:rsid w:val="005F4B8F"/>
    <w:rsid w:val="005F5A73"/>
    <w:rsid w:val="005F5C8F"/>
    <w:rsid w:val="005F5CED"/>
    <w:rsid w:val="005F656A"/>
    <w:rsid w:val="005F662D"/>
    <w:rsid w:val="005F6649"/>
    <w:rsid w:val="005F667E"/>
    <w:rsid w:val="005F695A"/>
    <w:rsid w:val="005F69B1"/>
    <w:rsid w:val="005F6C70"/>
    <w:rsid w:val="006001F5"/>
    <w:rsid w:val="006006BC"/>
    <w:rsid w:val="00600A74"/>
    <w:rsid w:val="006011A8"/>
    <w:rsid w:val="00601863"/>
    <w:rsid w:val="00601EC8"/>
    <w:rsid w:val="006028DB"/>
    <w:rsid w:val="00602B51"/>
    <w:rsid w:val="00602DB5"/>
    <w:rsid w:val="00604141"/>
    <w:rsid w:val="00604701"/>
    <w:rsid w:val="00604835"/>
    <w:rsid w:val="0060494F"/>
    <w:rsid w:val="00605507"/>
    <w:rsid w:val="00606B55"/>
    <w:rsid w:val="00606D16"/>
    <w:rsid w:val="00606E71"/>
    <w:rsid w:val="00607B86"/>
    <w:rsid w:val="00607D2E"/>
    <w:rsid w:val="0061010B"/>
    <w:rsid w:val="0061066F"/>
    <w:rsid w:val="0061082F"/>
    <w:rsid w:val="00610B51"/>
    <w:rsid w:val="006130C1"/>
    <w:rsid w:val="00613C12"/>
    <w:rsid w:val="006144AA"/>
    <w:rsid w:val="00614612"/>
    <w:rsid w:val="006148B5"/>
    <w:rsid w:val="006150B4"/>
    <w:rsid w:val="006156E2"/>
    <w:rsid w:val="006159A0"/>
    <w:rsid w:val="00615BBA"/>
    <w:rsid w:val="00615C5A"/>
    <w:rsid w:val="00615FF6"/>
    <w:rsid w:val="006163D3"/>
    <w:rsid w:val="00616BC8"/>
    <w:rsid w:val="006173CA"/>
    <w:rsid w:val="00617935"/>
    <w:rsid w:val="00617982"/>
    <w:rsid w:val="00621124"/>
    <w:rsid w:val="006221B6"/>
    <w:rsid w:val="00622829"/>
    <w:rsid w:val="00622BBE"/>
    <w:rsid w:val="006232AA"/>
    <w:rsid w:val="006239C0"/>
    <w:rsid w:val="00623A32"/>
    <w:rsid w:val="00626045"/>
    <w:rsid w:val="00627136"/>
    <w:rsid w:val="00630084"/>
    <w:rsid w:val="0063043C"/>
    <w:rsid w:val="0063099F"/>
    <w:rsid w:val="006310DF"/>
    <w:rsid w:val="006311C5"/>
    <w:rsid w:val="00631490"/>
    <w:rsid w:val="00631C83"/>
    <w:rsid w:val="006336C4"/>
    <w:rsid w:val="006336E6"/>
    <w:rsid w:val="00633F61"/>
    <w:rsid w:val="006340EC"/>
    <w:rsid w:val="006349EB"/>
    <w:rsid w:val="00635015"/>
    <w:rsid w:val="006359F2"/>
    <w:rsid w:val="00636292"/>
    <w:rsid w:val="006365BB"/>
    <w:rsid w:val="006368EC"/>
    <w:rsid w:val="00637EC9"/>
    <w:rsid w:val="0064014E"/>
    <w:rsid w:val="0064048E"/>
    <w:rsid w:val="006412BF"/>
    <w:rsid w:val="00641581"/>
    <w:rsid w:val="006424BA"/>
    <w:rsid w:val="0064347D"/>
    <w:rsid w:val="00644796"/>
    <w:rsid w:val="00644B9C"/>
    <w:rsid w:val="00644F03"/>
    <w:rsid w:val="006469A3"/>
    <w:rsid w:val="00646D18"/>
    <w:rsid w:val="0064700F"/>
    <w:rsid w:val="006476D4"/>
    <w:rsid w:val="00650794"/>
    <w:rsid w:val="00650F0F"/>
    <w:rsid w:val="00651C4D"/>
    <w:rsid w:val="006527E2"/>
    <w:rsid w:val="00653371"/>
    <w:rsid w:val="0065353A"/>
    <w:rsid w:val="006537FE"/>
    <w:rsid w:val="00653CCD"/>
    <w:rsid w:val="00654982"/>
    <w:rsid w:val="00655A76"/>
    <w:rsid w:val="00656626"/>
    <w:rsid w:val="006566FD"/>
    <w:rsid w:val="00657000"/>
    <w:rsid w:val="00657343"/>
    <w:rsid w:val="00657670"/>
    <w:rsid w:val="0065781F"/>
    <w:rsid w:val="006611D0"/>
    <w:rsid w:val="00661856"/>
    <w:rsid w:val="00661A39"/>
    <w:rsid w:val="00662204"/>
    <w:rsid w:val="00664497"/>
    <w:rsid w:val="00664E3A"/>
    <w:rsid w:val="0066597D"/>
    <w:rsid w:val="00666907"/>
    <w:rsid w:val="00666A53"/>
    <w:rsid w:val="00667BFB"/>
    <w:rsid w:val="00667F66"/>
    <w:rsid w:val="00670AA0"/>
    <w:rsid w:val="00670C55"/>
    <w:rsid w:val="00671076"/>
    <w:rsid w:val="006713B4"/>
    <w:rsid w:val="006713B9"/>
    <w:rsid w:val="00671498"/>
    <w:rsid w:val="0067214E"/>
    <w:rsid w:val="00672BF7"/>
    <w:rsid w:val="00672F00"/>
    <w:rsid w:val="00673F48"/>
    <w:rsid w:val="0067467B"/>
    <w:rsid w:val="00674A14"/>
    <w:rsid w:val="00674B2F"/>
    <w:rsid w:val="00674F2E"/>
    <w:rsid w:val="00675688"/>
    <w:rsid w:val="00675AC5"/>
    <w:rsid w:val="00675C75"/>
    <w:rsid w:val="00675FBC"/>
    <w:rsid w:val="006761B1"/>
    <w:rsid w:val="00677257"/>
    <w:rsid w:val="00677B4D"/>
    <w:rsid w:val="00677C9F"/>
    <w:rsid w:val="006800C6"/>
    <w:rsid w:val="00680426"/>
    <w:rsid w:val="00682AAD"/>
    <w:rsid w:val="00682E16"/>
    <w:rsid w:val="00682F7E"/>
    <w:rsid w:val="006834FA"/>
    <w:rsid w:val="00683A60"/>
    <w:rsid w:val="006840F3"/>
    <w:rsid w:val="00684496"/>
    <w:rsid w:val="00684E5F"/>
    <w:rsid w:val="006850A8"/>
    <w:rsid w:val="0068535F"/>
    <w:rsid w:val="006860D3"/>
    <w:rsid w:val="00687115"/>
    <w:rsid w:val="00687EB6"/>
    <w:rsid w:val="00690389"/>
    <w:rsid w:val="00692F0A"/>
    <w:rsid w:val="00693634"/>
    <w:rsid w:val="0069440F"/>
    <w:rsid w:val="00694625"/>
    <w:rsid w:val="00694673"/>
    <w:rsid w:val="00694D24"/>
    <w:rsid w:val="00694F60"/>
    <w:rsid w:val="006955C8"/>
    <w:rsid w:val="00695C89"/>
    <w:rsid w:val="006965EE"/>
    <w:rsid w:val="00696655"/>
    <w:rsid w:val="006A0072"/>
    <w:rsid w:val="006A014B"/>
    <w:rsid w:val="006A1E2D"/>
    <w:rsid w:val="006A353D"/>
    <w:rsid w:val="006A47DB"/>
    <w:rsid w:val="006A48F2"/>
    <w:rsid w:val="006A4CDE"/>
    <w:rsid w:val="006A575E"/>
    <w:rsid w:val="006A5AAC"/>
    <w:rsid w:val="006A5D85"/>
    <w:rsid w:val="006A6545"/>
    <w:rsid w:val="006A6B09"/>
    <w:rsid w:val="006A6EFE"/>
    <w:rsid w:val="006A6F31"/>
    <w:rsid w:val="006A71D0"/>
    <w:rsid w:val="006A7205"/>
    <w:rsid w:val="006A75A8"/>
    <w:rsid w:val="006B0AC8"/>
    <w:rsid w:val="006B0FCF"/>
    <w:rsid w:val="006B2F96"/>
    <w:rsid w:val="006B37A5"/>
    <w:rsid w:val="006B3F27"/>
    <w:rsid w:val="006B42C0"/>
    <w:rsid w:val="006B4A0F"/>
    <w:rsid w:val="006B4B5D"/>
    <w:rsid w:val="006B52E1"/>
    <w:rsid w:val="006B681E"/>
    <w:rsid w:val="006B6D86"/>
    <w:rsid w:val="006B7597"/>
    <w:rsid w:val="006B75A0"/>
    <w:rsid w:val="006B77F7"/>
    <w:rsid w:val="006B7D5F"/>
    <w:rsid w:val="006B7D78"/>
    <w:rsid w:val="006B7E24"/>
    <w:rsid w:val="006C0205"/>
    <w:rsid w:val="006C02F5"/>
    <w:rsid w:val="006C1452"/>
    <w:rsid w:val="006C14DD"/>
    <w:rsid w:val="006C18A4"/>
    <w:rsid w:val="006C1E2C"/>
    <w:rsid w:val="006C22FF"/>
    <w:rsid w:val="006C392A"/>
    <w:rsid w:val="006C3954"/>
    <w:rsid w:val="006C3B40"/>
    <w:rsid w:val="006C4F2D"/>
    <w:rsid w:val="006C5412"/>
    <w:rsid w:val="006C549C"/>
    <w:rsid w:val="006C577A"/>
    <w:rsid w:val="006C595A"/>
    <w:rsid w:val="006C5CF2"/>
    <w:rsid w:val="006C6C3A"/>
    <w:rsid w:val="006C6DCE"/>
    <w:rsid w:val="006D07A2"/>
    <w:rsid w:val="006D0947"/>
    <w:rsid w:val="006D1353"/>
    <w:rsid w:val="006D2ACE"/>
    <w:rsid w:val="006D4845"/>
    <w:rsid w:val="006D4C04"/>
    <w:rsid w:val="006D5513"/>
    <w:rsid w:val="006D58BD"/>
    <w:rsid w:val="006D58D8"/>
    <w:rsid w:val="006D7625"/>
    <w:rsid w:val="006D7D7B"/>
    <w:rsid w:val="006E1D12"/>
    <w:rsid w:val="006E2057"/>
    <w:rsid w:val="006E207C"/>
    <w:rsid w:val="006E20EE"/>
    <w:rsid w:val="006E21EC"/>
    <w:rsid w:val="006E3316"/>
    <w:rsid w:val="006E371E"/>
    <w:rsid w:val="006E3853"/>
    <w:rsid w:val="006E3D3F"/>
    <w:rsid w:val="006E461B"/>
    <w:rsid w:val="006E5DBA"/>
    <w:rsid w:val="006E5F7D"/>
    <w:rsid w:val="006E6170"/>
    <w:rsid w:val="006E6222"/>
    <w:rsid w:val="006E6F79"/>
    <w:rsid w:val="006E7B17"/>
    <w:rsid w:val="006F08F8"/>
    <w:rsid w:val="006F0B1C"/>
    <w:rsid w:val="006F1290"/>
    <w:rsid w:val="006F1D6B"/>
    <w:rsid w:val="006F326D"/>
    <w:rsid w:val="006F35B4"/>
    <w:rsid w:val="006F3D21"/>
    <w:rsid w:val="006F4245"/>
    <w:rsid w:val="006F4760"/>
    <w:rsid w:val="006F49FF"/>
    <w:rsid w:val="006F4BFB"/>
    <w:rsid w:val="006F4FE1"/>
    <w:rsid w:val="006F5273"/>
    <w:rsid w:val="006F54DD"/>
    <w:rsid w:val="006F553D"/>
    <w:rsid w:val="006F59D3"/>
    <w:rsid w:val="006F61C2"/>
    <w:rsid w:val="006F6547"/>
    <w:rsid w:val="006F69EB"/>
    <w:rsid w:val="006F7516"/>
    <w:rsid w:val="006F7791"/>
    <w:rsid w:val="006F7820"/>
    <w:rsid w:val="006F7887"/>
    <w:rsid w:val="006F7E83"/>
    <w:rsid w:val="00700AA5"/>
    <w:rsid w:val="00700ECE"/>
    <w:rsid w:val="007018F8"/>
    <w:rsid w:val="00701CBA"/>
    <w:rsid w:val="00701D88"/>
    <w:rsid w:val="007029E3"/>
    <w:rsid w:val="0070319A"/>
    <w:rsid w:val="0070429F"/>
    <w:rsid w:val="007055BE"/>
    <w:rsid w:val="00706F85"/>
    <w:rsid w:val="007071A0"/>
    <w:rsid w:val="00711022"/>
    <w:rsid w:val="007116A9"/>
    <w:rsid w:val="00711CD5"/>
    <w:rsid w:val="007120FD"/>
    <w:rsid w:val="00712209"/>
    <w:rsid w:val="00713835"/>
    <w:rsid w:val="00713F55"/>
    <w:rsid w:val="00714FA3"/>
    <w:rsid w:val="00715199"/>
    <w:rsid w:val="00715528"/>
    <w:rsid w:val="0071636A"/>
    <w:rsid w:val="007171BD"/>
    <w:rsid w:val="007174B7"/>
    <w:rsid w:val="00717696"/>
    <w:rsid w:val="0071778B"/>
    <w:rsid w:val="00717F72"/>
    <w:rsid w:val="007202C1"/>
    <w:rsid w:val="00720863"/>
    <w:rsid w:val="007210E0"/>
    <w:rsid w:val="0072148E"/>
    <w:rsid w:val="0072161F"/>
    <w:rsid w:val="00722C90"/>
    <w:rsid w:val="00722E13"/>
    <w:rsid w:val="007231F2"/>
    <w:rsid w:val="007254C7"/>
    <w:rsid w:val="0072706F"/>
    <w:rsid w:val="0073029B"/>
    <w:rsid w:val="00730632"/>
    <w:rsid w:val="007309AB"/>
    <w:rsid w:val="0073232B"/>
    <w:rsid w:val="00732967"/>
    <w:rsid w:val="00733015"/>
    <w:rsid w:val="00733488"/>
    <w:rsid w:val="00733E41"/>
    <w:rsid w:val="0073441E"/>
    <w:rsid w:val="007348E6"/>
    <w:rsid w:val="0073601C"/>
    <w:rsid w:val="0073753D"/>
    <w:rsid w:val="00737CFF"/>
    <w:rsid w:val="00740462"/>
    <w:rsid w:val="0074079C"/>
    <w:rsid w:val="00740FFF"/>
    <w:rsid w:val="007413C7"/>
    <w:rsid w:val="00741FDF"/>
    <w:rsid w:val="00742518"/>
    <w:rsid w:val="00742D32"/>
    <w:rsid w:val="0074329D"/>
    <w:rsid w:val="007437A3"/>
    <w:rsid w:val="007439A7"/>
    <w:rsid w:val="00746B6E"/>
    <w:rsid w:val="00746C20"/>
    <w:rsid w:val="00746CE0"/>
    <w:rsid w:val="00750885"/>
    <w:rsid w:val="00750996"/>
    <w:rsid w:val="007516E1"/>
    <w:rsid w:val="00751E08"/>
    <w:rsid w:val="007522DC"/>
    <w:rsid w:val="00752826"/>
    <w:rsid w:val="00753191"/>
    <w:rsid w:val="0075321F"/>
    <w:rsid w:val="00753532"/>
    <w:rsid w:val="00753C2D"/>
    <w:rsid w:val="00753D8C"/>
    <w:rsid w:val="007546B4"/>
    <w:rsid w:val="007552E7"/>
    <w:rsid w:val="007556DF"/>
    <w:rsid w:val="00756099"/>
    <w:rsid w:val="00756326"/>
    <w:rsid w:val="00756449"/>
    <w:rsid w:val="0075685D"/>
    <w:rsid w:val="007572EC"/>
    <w:rsid w:val="00757895"/>
    <w:rsid w:val="0076115F"/>
    <w:rsid w:val="00761DE1"/>
    <w:rsid w:val="00761E2F"/>
    <w:rsid w:val="0076205E"/>
    <w:rsid w:val="00762C20"/>
    <w:rsid w:val="00762DD6"/>
    <w:rsid w:val="007631F2"/>
    <w:rsid w:val="0076452D"/>
    <w:rsid w:val="00764868"/>
    <w:rsid w:val="00764D92"/>
    <w:rsid w:val="007652D0"/>
    <w:rsid w:val="00765680"/>
    <w:rsid w:val="00767E76"/>
    <w:rsid w:val="0077010C"/>
    <w:rsid w:val="00771499"/>
    <w:rsid w:val="00772110"/>
    <w:rsid w:val="0077269F"/>
    <w:rsid w:val="00772F58"/>
    <w:rsid w:val="00773B00"/>
    <w:rsid w:val="00773EA9"/>
    <w:rsid w:val="0077424F"/>
    <w:rsid w:val="007742ED"/>
    <w:rsid w:val="0077467A"/>
    <w:rsid w:val="00775F08"/>
    <w:rsid w:val="0077606E"/>
    <w:rsid w:val="007763A4"/>
    <w:rsid w:val="007766DD"/>
    <w:rsid w:val="00777CA1"/>
    <w:rsid w:val="007807D6"/>
    <w:rsid w:val="00780BA8"/>
    <w:rsid w:val="00780CED"/>
    <w:rsid w:val="0078193A"/>
    <w:rsid w:val="00782EE7"/>
    <w:rsid w:val="00785AA9"/>
    <w:rsid w:val="00785C0B"/>
    <w:rsid w:val="007877CF"/>
    <w:rsid w:val="00787D44"/>
    <w:rsid w:val="007901AC"/>
    <w:rsid w:val="007904FF"/>
    <w:rsid w:val="00790539"/>
    <w:rsid w:val="0079226F"/>
    <w:rsid w:val="007929A1"/>
    <w:rsid w:val="007944BD"/>
    <w:rsid w:val="00794A1E"/>
    <w:rsid w:val="00794B15"/>
    <w:rsid w:val="00794D2B"/>
    <w:rsid w:val="00795E9D"/>
    <w:rsid w:val="0079690F"/>
    <w:rsid w:val="00796F81"/>
    <w:rsid w:val="007977AE"/>
    <w:rsid w:val="00797971"/>
    <w:rsid w:val="00797A04"/>
    <w:rsid w:val="00797AFF"/>
    <w:rsid w:val="007A0021"/>
    <w:rsid w:val="007A0600"/>
    <w:rsid w:val="007A11C2"/>
    <w:rsid w:val="007A130A"/>
    <w:rsid w:val="007A1CF0"/>
    <w:rsid w:val="007A2314"/>
    <w:rsid w:val="007A3E6F"/>
    <w:rsid w:val="007A48A3"/>
    <w:rsid w:val="007A4AEA"/>
    <w:rsid w:val="007A5356"/>
    <w:rsid w:val="007A5663"/>
    <w:rsid w:val="007A5DDD"/>
    <w:rsid w:val="007A65D3"/>
    <w:rsid w:val="007A7510"/>
    <w:rsid w:val="007A7C33"/>
    <w:rsid w:val="007B077D"/>
    <w:rsid w:val="007B0F02"/>
    <w:rsid w:val="007B0F29"/>
    <w:rsid w:val="007B10A6"/>
    <w:rsid w:val="007B10F8"/>
    <w:rsid w:val="007B12BD"/>
    <w:rsid w:val="007B1CA5"/>
    <w:rsid w:val="007B21AD"/>
    <w:rsid w:val="007B2AC2"/>
    <w:rsid w:val="007B2DD6"/>
    <w:rsid w:val="007B3815"/>
    <w:rsid w:val="007B3E54"/>
    <w:rsid w:val="007B4796"/>
    <w:rsid w:val="007B5215"/>
    <w:rsid w:val="007B7996"/>
    <w:rsid w:val="007B7A51"/>
    <w:rsid w:val="007B7E12"/>
    <w:rsid w:val="007C03B1"/>
    <w:rsid w:val="007C0742"/>
    <w:rsid w:val="007C15BE"/>
    <w:rsid w:val="007C1ADB"/>
    <w:rsid w:val="007C1C66"/>
    <w:rsid w:val="007C30A3"/>
    <w:rsid w:val="007C3663"/>
    <w:rsid w:val="007C422A"/>
    <w:rsid w:val="007C4264"/>
    <w:rsid w:val="007C443B"/>
    <w:rsid w:val="007C5327"/>
    <w:rsid w:val="007C61F3"/>
    <w:rsid w:val="007C6E0B"/>
    <w:rsid w:val="007C7849"/>
    <w:rsid w:val="007D00A5"/>
    <w:rsid w:val="007D043A"/>
    <w:rsid w:val="007D1232"/>
    <w:rsid w:val="007D145F"/>
    <w:rsid w:val="007D1FB1"/>
    <w:rsid w:val="007D20E3"/>
    <w:rsid w:val="007D234A"/>
    <w:rsid w:val="007D3576"/>
    <w:rsid w:val="007D36F0"/>
    <w:rsid w:val="007D3A1E"/>
    <w:rsid w:val="007D4308"/>
    <w:rsid w:val="007D44BD"/>
    <w:rsid w:val="007D4DA2"/>
    <w:rsid w:val="007D553B"/>
    <w:rsid w:val="007D5F46"/>
    <w:rsid w:val="007D7CED"/>
    <w:rsid w:val="007D7FAD"/>
    <w:rsid w:val="007E01BF"/>
    <w:rsid w:val="007E1320"/>
    <w:rsid w:val="007E3F4B"/>
    <w:rsid w:val="007E5A1B"/>
    <w:rsid w:val="007E7086"/>
    <w:rsid w:val="007E71D7"/>
    <w:rsid w:val="007E7245"/>
    <w:rsid w:val="007E7CE4"/>
    <w:rsid w:val="007F0634"/>
    <w:rsid w:val="007F0A41"/>
    <w:rsid w:val="007F1075"/>
    <w:rsid w:val="007F12A3"/>
    <w:rsid w:val="007F1466"/>
    <w:rsid w:val="007F1FD8"/>
    <w:rsid w:val="007F21A4"/>
    <w:rsid w:val="007F2472"/>
    <w:rsid w:val="007F34D1"/>
    <w:rsid w:val="007F48F5"/>
    <w:rsid w:val="007F504E"/>
    <w:rsid w:val="007F6505"/>
    <w:rsid w:val="007F6A6B"/>
    <w:rsid w:val="007F784D"/>
    <w:rsid w:val="00800C32"/>
    <w:rsid w:val="00800DAE"/>
    <w:rsid w:val="008015A7"/>
    <w:rsid w:val="00801827"/>
    <w:rsid w:val="00801B98"/>
    <w:rsid w:val="00802247"/>
    <w:rsid w:val="0080360C"/>
    <w:rsid w:val="00803835"/>
    <w:rsid w:val="00805924"/>
    <w:rsid w:val="00805AAF"/>
    <w:rsid w:val="00806800"/>
    <w:rsid w:val="00807849"/>
    <w:rsid w:val="008105A3"/>
    <w:rsid w:val="00810629"/>
    <w:rsid w:val="008108BA"/>
    <w:rsid w:val="00810D6C"/>
    <w:rsid w:val="0081185C"/>
    <w:rsid w:val="008127C5"/>
    <w:rsid w:val="00812A28"/>
    <w:rsid w:val="00812E9E"/>
    <w:rsid w:val="00812F07"/>
    <w:rsid w:val="008133D8"/>
    <w:rsid w:val="00813DC2"/>
    <w:rsid w:val="008142D9"/>
    <w:rsid w:val="008145E8"/>
    <w:rsid w:val="00815871"/>
    <w:rsid w:val="008164D7"/>
    <w:rsid w:val="00816E13"/>
    <w:rsid w:val="0081766C"/>
    <w:rsid w:val="00817C51"/>
    <w:rsid w:val="00817FA8"/>
    <w:rsid w:val="00820D63"/>
    <w:rsid w:val="00820F7B"/>
    <w:rsid w:val="008222BC"/>
    <w:rsid w:val="00825518"/>
    <w:rsid w:val="00825C9D"/>
    <w:rsid w:val="00825CDF"/>
    <w:rsid w:val="008271DF"/>
    <w:rsid w:val="008309E4"/>
    <w:rsid w:val="00830ACF"/>
    <w:rsid w:val="00830F35"/>
    <w:rsid w:val="008312C5"/>
    <w:rsid w:val="00831331"/>
    <w:rsid w:val="00831AFD"/>
    <w:rsid w:val="00831D1B"/>
    <w:rsid w:val="00832A96"/>
    <w:rsid w:val="00832B7B"/>
    <w:rsid w:val="00833041"/>
    <w:rsid w:val="008332D6"/>
    <w:rsid w:val="0083386C"/>
    <w:rsid w:val="00833D22"/>
    <w:rsid w:val="0083511C"/>
    <w:rsid w:val="0083588C"/>
    <w:rsid w:val="00836DD6"/>
    <w:rsid w:val="00836E85"/>
    <w:rsid w:val="0083784A"/>
    <w:rsid w:val="0083788E"/>
    <w:rsid w:val="00837DF5"/>
    <w:rsid w:val="008405F8"/>
    <w:rsid w:val="00840DB1"/>
    <w:rsid w:val="00841235"/>
    <w:rsid w:val="00841F19"/>
    <w:rsid w:val="00842217"/>
    <w:rsid w:val="00843BE3"/>
    <w:rsid w:val="0084428B"/>
    <w:rsid w:val="0084428F"/>
    <w:rsid w:val="008445F4"/>
    <w:rsid w:val="00844FFB"/>
    <w:rsid w:val="00845041"/>
    <w:rsid w:val="00845BF9"/>
    <w:rsid w:val="008465AF"/>
    <w:rsid w:val="00846A48"/>
    <w:rsid w:val="0084730B"/>
    <w:rsid w:val="008474D3"/>
    <w:rsid w:val="00847865"/>
    <w:rsid w:val="00847BC9"/>
    <w:rsid w:val="0085019C"/>
    <w:rsid w:val="008501B6"/>
    <w:rsid w:val="0085027B"/>
    <w:rsid w:val="00850591"/>
    <w:rsid w:val="0085085F"/>
    <w:rsid w:val="008508DA"/>
    <w:rsid w:val="008518C2"/>
    <w:rsid w:val="008519D3"/>
    <w:rsid w:val="00851AC8"/>
    <w:rsid w:val="0085222E"/>
    <w:rsid w:val="00852334"/>
    <w:rsid w:val="00852F33"/>
    <w:rsid w:val="00852FE9"/>
    <w:rsid w:val="008544D8"/>
    <w:rsid w:val="00854752"/>
    <w:rsid w:val="008552C3"/>
    <w:rsid w:val="00855686"/>
    <w:rsid w:val="00856C49"/>
    <w:rsid w:val="00856CE2"/>
    <w:rsid w:val="00856DDA"/>
    <w:rsid w:val="00857036"/>
    <w:rsid w:val="00857314"/>
    <w:rsid w:val="00857C79"/>
    <w:rsid w:val="00860D6E"/>
    <w:rsid w:val="00861B7C"/>
    <w:rsid w:val="00861CB0"/>
    <w:rsid w:val="008622F5"/>
    <w:rsid w:val="00862B88"/>
    <w:rsid w:val="00863E5E"/>
    <w:rsid w:val="0086479F"/>
    <w:rsid w:val="008655AF"/>
    <w:rsid w:val="00865949"/>
    <w:rsid w:val="00865D86"/>
    <w:rsid w:val="00865DE8"/>
    <w:rsid w:val="00865F8C"/>
    <w:rsid w:val="008666B8"/>
    <w:rsid w:val="00866B98"/>
    <w:rsid w:val="008677B0"/>
    <w:rsid w:val="00870728"/>
    <w:rsid w:val="008709E7"/>
    <w:rsid w:val="00870BB1"/>
    <w:rsid w:val="00870EEA"/>
    <w:rsid w:val="00872711"/>
    <w:rsid w:val="008730BD"/>
    <w:rsid w:val="008737DA"/>
    <w:rsid w:val="00873AB7"/>
    <w:rsid w:val="00873E56"/>
    <w:rsid w:val="008751CC"/>
    <w:rsid w:val="0087546E"/>
    <w:rsid w:val="00875612"/>
    <w:rsid w:val="00877FAF"/>
    <w:rsid w:val="0088016D"/>
    <w:rsid w:val="008805D2"/>
    <w:rsid w:val="008819DB"/>
    <w:rsid w:val="00881FAB"/>
    <w:rsid w:val="00882CCE"/>
    <w:rsid w:val="00883225"/>
    <w:rsid w:val="008843C8"/>
    <w:rsid w:val="0088552D"/>
    <w:rsid w:val="008855ED"/>
    <w:rsid w:val="0088761E"/>
    <w:rsid w:val="0089019A"/>
    <w:rsid w:val="008904FC"/>
    <w:rsid w:val="00890771"/>
    <w:rsid w:val="00890F0A"/>
    <w:rsid w:val="00891473"/>
    <w:rsid w:val="00891789"/>
    <w:rsid w:val="00891A06"/>
    <w:rsid w:val="008922CB"/>
    <w:rsid w:val="00892926"/>
    <w:rsid w:val="008929F1"/>
    <w:rsid w:val="00893087"/>
    <w:rsid w:val="008942D9"/>
    <w:rsid w:val="00894B07"/>
    <w:rsid w:val="00895663"/>
    <w:rsid w:val="00897C13"/>
    <w:rsid w:val="008A2173"/>
    <w:rsid w:val="008A22DF"/>
    <w:rsid w:val="008A25F6"/>
    <w:rsid w:val="008A2D8C"/>
    <w:rsid w:val="008A3BC2"/>
    <w:rsid w:val="008A3C9E"/>
    <w:rsid w:val="008A3F92"/>
    <w:rsid w:val="008A49BB"/>
    <w:rsid w:val="008A571D"/>
    <w:rsid w:val="008A6E51"/>
    <w:rsid w:val="008A716C"/>
    <w:rsid w:val="008A7453"/>
    <w:rsid w:val="008A791B"/>
    <w:rsid w:val="008A7AEA"/>
    <w:rsid w:val="008A7C0B"/>
    <w:rsid w:val="008A7F8F"/>
    <w:rsid w:val="008B018C"/>
    <w:rsid w:val="008B070E"/>
    <w:rsid w:val="008B1CF4"/>
    <w:rsid w:val="008B2882"/>
    <w:rsid w:val="008B30A7"/>
    <w:rsid w:val="008B32DC"/>
    <w:rsid w:val="008B3518"/>
    <w:rsid w:val="008B386B"/>
    <w:rsid w:val="008B3C34"/>
    <w:rsid w:val="008B3C51"/>
    <w:rsid w:val="008B4156"/>
    <w:rsid w:val="008B475E"/>
    <w:rsid w:val="008B47F5"/>
    <w:rsid w:val="008B4F87"/>
    <w:rsid w:val="008B500A"/>
    <w:rsid w:val="008B5A36"/>
    <w:rsid w:val="008B5A62"/>
    <w:rsid w:val="008B5BD3"/>
    <w:rsid w:val="008B69CD"/>
    <w:rsid w:val="008B71C3"/>
    <w:rsid w:val="008B7734"/>
    <w:rsid w:val="008C0437"/>
    <w:rsid w:val="008C05C5"/>
    <w:rsid w:val="008C0815"/>
    <w:rsid w:val="008C0BED"/>
    <w:rsid w:val="008C2875"/>
    <w:rsid w:val="008C2CD6"/>
    <w:rsid w:val="008C3A3B"/>
    <w:rsid w:val="008C4029"/>
    <w:rsid w:val="008C4AE9"/>
    <w:rsid w:val="008C5ABC"/>
    <w:rsid w:val="008C5CB3"/>
    <w:rsid w:val="008C5FB8"/>
    <w:rsid w:val="008C615E"/>
    <w:rsid w:val="008C62E4"/>
    <w:rsid w:val="008C65A9"/>
    <w:rsid w:val="008C7487"/>
    <w:rsid w:val="008C7CC5"/>
    <w:rsid w:val="008D012B"/>
    <w:rsid w:val="008D0CE4"/>
    <w:rsid w:val="008D2A80"/>
    <w:rsid w:val="008D34D5"/>
    <w:rsid w:val="008D350E"/>
    <w:rsid w:val="008D376E"/>
    <w:rsid w:val="008D3D90"/>
    <w:rsid w:val="008D45A9"/>
    <w:rsid w:val="008D60A5"/>
    <w:rsid w:val="008D621D"/>
    <w:rsid w:val="008D7074"/>
    <w:rsid w:val="008E083C"/>
    <w:rsid w:val="008E0D01"/>
    <w:rsid w:val="008E2CB0"/>
    <w:rsid w:val="008E2F8D"/>
    <w:rsid w:val="008E349C"/>
    <w:rsid w:val="008E369C"/>
    <w:rsid w:val="008E37EA"/>
    <w:rsid w:val="008E41DD"/>
    <w:rsid w:val="008E433A"/>
    <w:rsid w:val="008E49D8"/>
    <w:rsid w:val="008E4C51"/>
    <w:rsid w:val="008E4DDB"/>
    <w:rsid w:val="008E685B"/>
    <w:rsid w:val="008E68AE"/>
    <w:rsid w:val="008E6A5D"/>
    <w:rsid w:val="008E6FD5"/>
    <w:rsid w:val="008E7507"/>
    <w:rsid w:val="008E78E9"/>
    <w:rsid w:val="008F051D"/>
    <w:rsid w:val="008F0CC9"/>
    <w:rsid w:val="008F0E11"/>
    <w:rsid w:val="008F23E0"/>
    <w:rsid w:val="008F2FD3"/>
    <w:rsid w:val="008F35FA"/>
    <w:rsid w:val="008F4B07"/>
    <w:rsid w:val="008F4C60"/>
    <w:rsid w:val="008F4EB1"/>
    <w:rsid w:val="008F568E"/>
    <w:rsid w:val="008F602F"/>
    <w:rsid w:val="008F60DE"/>
    <w:rsid w:val="008F645C"/>
    <w:rsid w:val="008F6555"/>
    <w:rsid w:val="008F6D0C"/>
    <w:rsid w:val="008F6DF2"/>
    <w:rsid w:val="00900E05"/>
    <w:rsid w:val="00901096"/>
    <w:rsid w:val="009013A4"/>
    <w:rsid w:val="00901623"/>
    <w:rsid w:val="00901EB7"/>
    <w:rsid w:val="009027DA"/>
    <w:rsid w:val="00902BC6"/>
    <w:rsid w:val="00903F2B"/>
    <w:rsid w:val="00904060"/>
    <w:rsid w:val="009042B3"/>
    <w:rsid w:val="00904961"/>
    <w:rsid w:val="00904A7F"/>
    <w:rsid w:val="009062AB"/>
    <w:rsid w:val="00906778"/>
    <w:rsid w:val="00906D47"/>
    <w:rsid w:val="0090764E"/>
    <w:rsid w:val="009077B2"/>
    <w:rsid w:val="00907EC5"/>
    <w:rsid w:val="009109F6"/>
    <w:rsid w:val="00911048"/>
    <w:rsid w:val="009112FA"/>
    <w:rsid w:val="00911691"/>
    <w:rsid w:val="00911B81"/>
    <w:rsid w:val="00911BE6"/>
    <w:rsid w:val="0091260B"/>
    <w:rsid w:val="009136FC"/>
    <w:rsid w:val="00913A2E"/>
    <w:rsid w:val="00914BDE"/>
    <w:rsid w:val="00915659"/>
    <w:rsid w:val="00915815"/>
    <w:rsid w:val="00915A72"/>
    <w:rsid w:val="00915E26"/>
    <w:rsid w:val="009168A2"/>
    <w:rsid w:val="0091704D"/>
    <w:rsid w:val="0091744E"/>
    <w:rsid w:val="00920173"/>
    <w:rsid w:val="009205A1"/>
    <w:rsid w:val="00920623"/>
    <w:rsid w:val="009210D7"/>
    <w:rsid w:val="0092358C"/>
    <w:rsid w:val="00923863"/>
    <w:rsid w:val="009239AF"/>
    <w:rsid w:val="00925422"/>
    <w:rsid w:val="00925CB9"/>
    <w:rsid w:val="0092627A"/>
    <w:rsid w:val="009265AB"/>
    <w:rsid w:val="0092792F"/>
    <w:rsid w:val="009303D6"/>
    <w:rsid w:val="00930C5F"/>
    <w:rsid w:val="00932DA9"/>
    <w:rsid w:val="0093334A"/>
    <w:rsid w:val="00933C68"/>
    <w:rsid w:val="00934683"/>
    <w:rsid w:val="00935566"/>
    <w:rsid w:val="0093595D"/>
    <w:rsid w:val="00935A36"/>
    <w:rsid w:val="00935CE8"/>
    <w:rsid w:val="00937D3B"/>
    <w:rsid w:val="009401C5"/>
    <w:rsid w:val="00941CB7"/>
    <w:rsid w:val="00941F64"/>
    <w:rsid w:val="0094270C"/>
    <w:rsid w:val="00943B68"/>
    <w:rsid w:val="0094403D"/>
    <w:rsid w:val="00944BB6"/>
    <w:rsid w:val="009459D4"/>
    <w:rsid w:val="00946C88"/>
    <w:rsid w:val="009473FF"/>
    <w:rsid w:val="0095015F"/>
    <w:rsid w:val="009508C1"/>
    <w:rsid w:val="00950B55"/>
    <w:rsid w:val="009519A1"/>
    <w:rsid w:val="00951B89"/>
    <w:rsid w:val="00951C1D"/>
    <w:rsid w:val="00952F4F"/>
    <w:rsid w:val="0095342E"/>
    <w:rsid w:val="00953B12"/>
    <w:rsid w:val="00953D0A"/>
    <w:rsid w:val="009544BE"/>
    <w:rsid w:val="009546E6"/>
    <w:rsid w:val="009555D9"/>
    <w:rsid w:val="00955771"/>
    <w:rsid w:val="00955829"/>
    <w:rsid w:val="00955D28"/>
    <w:rsid w:val="00955D72"/>
    <w:rsid w:val="0095637A"/>
    <w:rsid w:val="00956464"/>
    <w:rsid w:val="00957403"/>
    <w:rsid w:val="009576EC"/>
    <w:rsid w:val="009604AE"/>
    <w:rsid w:val="0096167E"/>
    <w:rsid w:val="009619ED"/>
    <w:rsid w:val="00961B34"/>
    <w:rsid w:val="009623DF"/>
    <w:rsid w:val="00962A32"/>
    <w:rsid w:val="00963699"/>
    <w:rsid w:val="00963AE0"/>
    <w:rsid w:val="00963C47"/>
    <w:rsid w:val="00963FE9"/>
    <w:rsid w:val="00964BAA"/>
    <w:rsid w:val="009658F0"/>
    <w:rsid w:val="00965AC4"/>
    <w:rsid w:val="00965EDD"/>
    <w:rsid w:val="00965F68"/>
    <w:rsid w:val="00966349"/>
    <w:rsid w:val="00966839"/>
    <w:rsid w:val="00966911"/>
    <w:rsid w:val="009673D6"/>
    <w:rsid w:val="0096768B"/>
    <w:rsid w:val="00967C92"/>
    <w:rsid w:val="00967C95"/>
    <w:rsid w:val="00970339"/>
    <w:rsid w:val="00970C38"/>
    <w:rsid w:val="00971540"/>
    <w:rsid w:val="00971982"/>
    <w:rsid w:val="00971D81"/>
    <w:rsid w:val="00972217"/>
    <w:rsid w:val="00972F6B"/>
    <w:rsid w:val="009730F1"/>
    <w:rsid w:val="00973863"/>
    <w:rsid w:val="009745AA"/>
    <w:rsid w:val="00974B3B"/>
    <w:rsid w:val="0097506A"/>
    <w:rsid w:val="009750DC"/>
    <w:rsid w:val="0097534B"/>
    <w:rsid w:val="00975F97"/>
    <w:rsid w:val="00976896"/>
    <w:rsid w:val="00976B5E"/>
    <w:rsid w:val="00976D76"/>
    <w:rsid w:val="0097707D"/>
    <w:rsid w:val="0097792B"/>
    <w:rsid w:val="00980029"/>
    <w:rsid w:val="009805C0"/>
    <w:rsid w:val="00980860"/>
    <w:rsid w:val="00980A23"/>
    <w:rsid w:val="00980C15"/>
    <w:rsid w:val="00981881"/>
    <w:rsid w:val="00981C16"/>
    <w:rsid w:val="00982778"/>
    <w:rsid w:val="00983411"/>
    <w:rsid w:val="00983CA2"/>
    <w:rsid w:val="00985288"/>
    <w:rsid w:val="009856B4"/>
    <w:rsid w:val="00985DEB"/>
    <w:rsid w:val="009866B7"/>
    <w:rsid w:val="00987FCC"/>
    <w:rsid w:val="009904AE"/>
    <w:rsid w:val="00990504"/>
    <w:rsid w:val="00991BEC"/>
    <w:rsid w:val="009928E5"/>
    <w:rsid w:val="00992D8F"/>
    <w:rsid w:val="00992D97"/>
    <w:rsid w:val="00992E11"/>
    <w:rsid w:val="00993359"/>
    <w:rsid w:val="00994F31"/>
    <w:rsid w:val="00995AFC"/>
    <w:rsid w:val="009966B6"/>
    <w:rsid w:val="009969EE"/>
    <w:rsid w:val="00996D99"/>
    <w:rsid w:val="00997205"/>
    <w:rsid w:val="009A12D7"/>
    <w:rsid w:val="009A25EB"/>
    <w:rsid w:val="009A2DC9"/>
    <w:rsid w:val="009A3742"/>
    <w:rsid w:val="009A390B"/>
    <w:rsid w:val="009A3F6B"/>
    <w:rsid w:val="009A3FC6"/>
    <w:rsid w:val="009A492A"/>
    <w:rsid w:val="009A5128"/>
    <w:rsid w:val="009A51E4"/>
    <w:rsid w:val="009A5A50"/>
    <w:rsid w:val="009A6066"/>
    <w:rsid w:val="009A62A6"/>
    <w:rsid w:val="009A6509"/>
    <w:rsid w:val="009A67E2"/>
    <w:rsid w:val="009A6CB2"/>
    <w:rsid w:val="009A7511"/>
    <w:rsid w:val="009A783C"/>
    <w:rsid w:val="009B116E"/>
    <w:rsid w:val="009B1298"/>
    <w:rsid w:val="009B17AD"/>
    <w:rsid w:val="009B18B1"/>
    <w:rsid w:val="009B2300"/>
    <w:rsid w:val="009B2F3B"/>
    <w:rsid w:val="009B32B9"/>
    <w:rsid w:val="009B366B"/>
    <w:rsid w:val="009B36A5"/>
    <w:rsid w:val="009B5E50"/>
    <w:rsid w:val="009B6388"/>
    <w:rsid w:val="009B6983"/>
    <w:rsid w:val="009B6B9C"/>
    <w:rsid w:val="009B6BBA"/>
    <w:rsid w:val="009B7544"/>
    <w:rsid w:val="009C04AA"/>
    <w:rsid w:val="009C0F4B"/>
    <w:rsid w:val="009C1C1F"/>
    <w:rsid w:val="009C2206"/>
    <w:rsid w:val="009C2859"/>
    <w:rsid w:val="009C2BA5"/>
    <w:rsid w:val="009C4107"/>
    <w:rsid w:val="009C423E"/>
    <w:rsid w:val="009C5CB7"/>
    <w:rsid w:val="009C611D"/>
    <w:rsid w:val="009C724C"/>
    <w:rsid w:val="009C7A4D"/>
    <w:rsid w:val="009D02D4"/>
    <w:rsid w:val="009D0432"/>
    <w:rsid w:val="009D04BC"/>
    <w:rsid w:val="009D14B1"/>
    <w:rsid w:val="009D173C"/>
    <w:rsid w:val="009D1DBA"/>
    <w:rsid w:val="009D2254"/>
    <w:rsid w:val="009D248C"/>
    <w:rsid w:val="009D2BF8"/>
    <w:rsid w:val="009D3189"/>
    <w:rsid w:val="009D31EF"/>
    <w:rsid w:val="009D3385"/>
    <w:rsid w:val="009D3807"/>
    <w:rsid w:val="009D38A7"/>
    <w:rsid w:val="009D3961"/>
    <w:rsid w:val="009D3AFA"/>
    <w:rsid w:val="009D4140"/>
    <w:rsid w:val="009D4893"/>
    <w:rsid w:val="009D61E4"/>
    <w:rsid w:val="009D661A"/>
    <w:rsid w:val="009D760F"/>
    <w:rsid w:val="009D76EA"/>
    <w:rsid w:val="009D7843"/>
    <w:rsid w:val="009E0001"/>
    <w:rsid w:val="009E1978"/>
    <w:rsid w:val="009E19F2"/>
    <w:rsid w:val="009E1B4B"/>
    <w:rsid w:val="009E1EE5"/>
    <w:rsid w:val="009E2424"/>
    <w:rsid w:val="009E3494"/>
    <w:rsid w:val="009E3D08"/>
    <w:rsid w:val="009E46BD"/>
    <w:rsid w:val="009E5988"/>
    <w:rsid w:val="009E5A9F"/>
    <w:rsid w:val="009E6216"/>
    <w:rsid w:val="009E632C"/>
    <w:rsid w:val="009E6B78"/>
    <w:rsid w:val="009E79BF"/>
    <w:rsid w:val="009F0523"/>
    <w:rsid w:val="009F0E6C"/>
    <w:rsid w:val="009F128B"/>
    <w:rsid w:val="009F1885"/>
    <w:rsid w:val="009F2300"/>
    <w:rsid w:val="009F2749"/>
    <w:rsid w:val="009F3639"/>
    <w:rsid w:val="009F36BF"/>
    <w:rsid w:val="009F3B1C"/>
    <w:rsid w:val="009F3BA2"/>
    <w:rsid w:val="009F49F6"/>
    <w:rsid w:val="009F5E02"/>
    <w:rsid w:val="009F71C8"/>
    <w:rsid w:val="00A0046B"/>
    <w:rsid w:val="00A0099D"/>
    <w:rsid w:val="00A016C3"/>
    <w:rsid w:val="00A01DB6"/>
    <w:rsid w:val="00A02030"/>
    <w:rsid w:val="00A020DA"/>
    <w:rsid w:val="00A030D3"/>
    <w:rsid w:val="00A0332A"/>
    <w:rsid w:val="00A0378D"/>
    <w:rsid w:val="00A0476D"/>
    <w:rsid w:val="00A052CC"/>
    <w:rsid w:val="00A05D67"/>
    <w:rsid w:val="00A0616C"/>
    <w:rsid w:val="00A06422"/>
    <w:rsid w:val="00A06949"/>
    <w:rsid w:val="00A070FF"/>
    <w:rsid w:val="00A076DE"/>
    <w:rsid w:val="00A0779A"/>
    <w:rsid w:val="00A1026C"/>
    <w:rsid w:val="00A10275"/>
    <w:rsid w:val="00A10A04"/>
    <w:rsid w:val="00A1113D"/>
    <w:rsid w:val="00A12F67"/>
    <w:rsid w:val="00A130AC"/>
    <w:rsid w:val="00A14A6B"/>
    <w:rsid w:val="00A14B01"/>
    <w:rsid w:val="00A14C95"/>
    <w:rsid w:val="00A15FFA"/>
    <w:rsid w:val="00A16A28"/>
    <w:rsid w:val="00A17706"/>
    <w:rsid w:val="00A17E81"/>
    <w:rsid w:val="00A22A05"/>
    <w:rsid w:val="00A22B53"/>
    <w:rsid w:val="00A22D7C"/>
    <w:rsid w:val="00A22E1F"/>
    <w:rsid w:val="00A22F74"/>
    <w:rsid w:val="00A23A29"/>
    <w:rsid w:val="00A247EA"/>
    <w:rsid w:val="00A249C5"/>
    <w:rsid w:val="00A25BC4"/>
    <w:rsid w:val="00A25CBE"/>
    <w:rsid w:val="00A25CC3"/>
    <w:rsid w:val="00A25D63"/>
    <w:rsid w:val="00A260AA"/>
    <w:rsid w:val="00A26365"/>
    <w:rsid w:val="00A2783C"/>
    <w:rsid w:val="00A3016F"/>
    <w:rsid w:val="00A30DD7"/>
    <w:rsid w:val="00A30EF8"/>
    <w:rsid w:val="00A3158A"/>
    <w:rsid w:val="00A32E47"/>
    <w:rsid w:val="00A33E72"/>
    <w:rsid w:val="00A34232"/>
    <w:rsid w:val="00A34982"/>
    <w:rsid w:val="00A34C65"/>
    <w:rsid w:val="00A34EC0"/>
    <w:rsid w:val="00A36338"/>
    <w:rsid w:val="00A36A09"/>
    <w:rsid w:val="00A36F72"/>
    <w:rsid w:val="00A3792A"/>
    <w:rsid w:val="00A379EB"/>
    <w:rsid w:val="00A37F54"/>
    <w:rsid w:val="00A40332"/>
    <w:rsid w:val="00A4064E"/>
    <w:rsid w:val="00A408A2"/>
    <w:rsid w:val="00A410D6"/>
    <w:rsid w:val="00A416CD"/>
    <w:rsid w:val="00A419BA"/>
    <w:rsid w:val="00A41D88"/>
    <w:rsid w:val="00A4265E"/>
    <w:rsid w:val="00A42687"/>
    <w:rsid w:val="00A42741"/>
    <w:rsid w:val="00A42C58"/>
    <w:rsid w:val="00A42DE3"/>
    <w:rsid w:val="00A438E8"/>
    <w:rsid w:val="00A43901"/>
    <w:rsid w:val="00A43E7B"/>
    <w:rsid w:val="00A44393"/>
    <w:rsid w:val="00A4584B"/>
    <w:rsid w:val="00A45C88"/>
    <w:rsid w:val="00A45D35"/>
    <w:rsid w:val="00A45DD6"/>
    <w:rsid w:val="00A45E09"/>
    <w:rsid w:val="00A46277"/>
    <w:rsid w:val="00A46F4D"/>
    <w:rsid w:val="00A46FAF"/>
    <w:rsid w:val="00A4722F"/>
    <w:rsid w:val="00A4750A"/>
    <w:rsid w:val="00A507A5"/>
    <w:rsid w:val="00A50E95"/>
    <w:rsid w:val="00A52568"/>
    <w:rsid w:val="00A5296C"/>
    <w:rsid w:val="00A52AF4"/>
    <w:rsid w:val="00A52B86"/>
    <w:rsid w:val="00A533CE"/>
    <w:rsid w:val="00A536A8"/>
    <w:rsid w:val="00A53D3F"/>
    <w:rsid w:val="00A556B4"/>
    <w:rsid w:val="00A56B23"/>
    <w:rsid w:val="00A56C95"/>
    <w:rsid w:val="00A610F4"/>
    <w:rsid w:val="00A6130C"/>
    <w:rsid w:val="00A618A3"/>
    <w:rsid w:val="00A6245E"/>
    <w:rsid w:val="00A62848"/>
    <w:rsid w:val="00A62F18"/>
    <w:rsid w:val="00A63B73"/>
    <w:rsid w:val="00A66146"/>
    <w:rsid w:val="00A67700"/>
    <w:rsid w:val="00A70480"/>
    <w:rsid w:val="00A709A2"/>
    <w:rsid w:val="00A712AC"/>
    <w:rsid w:val="00A7140D"/>
    <w:rsid w:val="00A7160D"/>
    <w:rsid w:val="00A722BC"/>
    <w:rsid w:val="00A72C23"/>
    <w:rsid w:val="00A72DC1"/>
    <w:rsid w:val="00A738BE"/>
    <w:rsid w:val="00A745DE"/>
    <w:rsid w:val="00A74B37"/>
    <w:rsid w:val="00A75106"/>
    <w:rsid w:val="00A75C25"/>
    <w:rsid w:val="00A766AA"/>
    <w:rsid w:val="00A778A6"/>
    <w:rsid w:val="00A77C09"/>
    <w:rsid w:val="00A77EBE"/>
    <w:rsid w:val="00A813B5"/>
    <w:rsid w:val="00A817D0"/>
    <w:rsid w:val="00A819AC"/>
    <w:rsid w:val="00A81ADB"/>
    <w:rsid w:val="00A81F71"/>
    <w:rsid w:val="00A82FC6"/>
    <w:rsid w:val="00A835DB"/>
    <w:rsid w:val="00A83640"/>
    <w:rsid w:val="00A837A5"/>
    <w:rsid w:val="00A837E2"/>
    <w:rsid w:val="00A83A92"/>
    <w:rsid w:val="00A8473A"/>
    <w:rsid w:val="00A84E3B"/>
    <w:rsid w:val="00A85057"/>
    <w:rsid w:val="00A85169"/>
    <w:rsid w:val="00A85D40"/>
    <w:rsid w:val="00A90DA9"/>
    <w:rsid w:val="00A91DB1"/>
    <w:rsid w:val="00A9235C"/>
    <w:rsid w:val="00A924F8"/>
    <w:rsid w:val="00A9345D"/>
    <w:rsid w:val="00A938B0"/>
    <w:rsid w:val="00A94626"/>
    <w:rsid w:val="00A9469C"/>
    <w:rsid w:val="00A95421"/>
    <w:rsid w:val="00A9563C"/>
    <w:rsid w:val="00A96286"/>
    <w:rsid w:val="00A970AC"/>
    <w:rsid w:val="00A970C0"/>
    <w:rsid w:val="00A975C0"/>
    <w:rsid w:val="00AA059D"/>
    <w:rsid w:val="00AA0F41"/>
    <w:rsid w:val="00AA16EB"/>
    <w:rsid w:val="00AA1F0F"/>
    <w:rsid w:val="00AA20D7"/>
    <w:rsid w:val="00AA36C1"/>
    <w:rsid w:val="00AA387D"/>
    <w:rsid w:val="00AA3BFE"/>
    <w:rsid w:val="00AA4716"/>
    <w:rsid w:val="00AA4C92"/>
    <w:rsid w:val="00AA533D"/>
    <w:rsid w:val="00AA5979"/>
    <w:rsid w:val="00AA6550"/>
    <w:rsid w:val="00AA7BD7"/>
    <w:rsid w:val="00AB0261"/>
    <w:rsid w:val="00AB0557"/>
    <w:rsid w:val="00AB0629"/>
    <w:rsid w:val="00AB20BB"/>
    <w:rsid w:val="00AB2407"/>
    <w:rsid w:val="00AB388F"/>
    <w:rsid w:val="00AB3AA2"/>
    <w:rsid w:val="00AB3B44"/>
    <w:rsid w:val="00AB439A"/>
    <w:rsid w:val="00AB5183"/>
    <w:rsid w:val="00AB62D0"/>
    <w:rsid w:val="00AB72AE"/>
    <w:rsid w:val="00AB7A9E"/>
    <w:rsid w:val="00AB7CC2"/>
    <w:rsid w:val="00AB7F12"/>
    <w:rsid w:val="00AB7FD1"/>
    <w:rsid w:val="00AC07DA"/>
    <w:rsid w:val="00AC1747"/>
    <w:rsid w:val="00AC1D09"/>
    <w:rsid w:val="00AC1D61"/>
    <w:rsid w:val="00AC23BE"/>
    <w:rsid w:val="00AC2439"/>
    <w:rsid w:val="00AC27BC"/>
    <w:rsid w:val="00AC2E04"/>
    <w:rsid w:val="00AC3150"/>
    <w:rsid w:val="00AC3225"/>
    <w:rsid w:val="00AC3C12"/>
    <w:rsid w:val="00AC412D"/>
    <w:rsid w:val="00AC4DF6"/>
    <w:rsid w:val="00AC53CE"/>
    <w:rsid w:val="00AC53F2"/>
    <w:rsid w:val="00AC57C3"/>
    <w:rsid w:val="00AC5F55"/>
    <w:rsid w:val="00AC6415"/>
    <w:rsid w:val="00AC6DAE"/>
    <w:rsid w:val="00AC7B8F"/>
    <w:rsid w:val="00AD099F"/>
    <w:rsid w:val="00AD0ACE"/>
    <w:rsid w:val="00AD17BC"/>
    <w:rsid w:val="00AD1A51"/>
    <w:rsid w:val="00AD1E03"/>
    <w:rsid w:val="00AD2614"/>
    <w:rsid w:val="00AD2688"/>
    <w:rsid w:val="00AD26C8"/>
    <w:rsid w:val="00AD2D06"/>
    <w:rsid w:val="00AD3420"/>
    <w:rsid w:val="00AD3EFA"/>
    <w:rsid w:val="00AD4148"/>
    <w:rsid w:val="00AD46F5"/>
    <w:rsid w:val="00AD4948"/>
    <w:rsid w:val="00AD4972"/>
    <w:rsid w:val="00AD4B32"/>
    <w:rsid w:val="00AD56E2"/>
    <w:rsid w:val="00AD73A1"/>
    <w:rsid w:val="00AE027D"/>
    <w:rsid w:val="00AE0782"/>
    <w:rsid w:val="00AE2842"/>
    <w:rsid w:val="00AE328B"/>
    <w:rsid w:val="00AE32E0"/>
    <w:rsid w:val="00AE462A"/>
    <w:rsid w:val="00AE472B"/>
    <w:rsid w:val="00AE4CF5"/>
    <w:rsid w:val="00AE50B9"/>
    <w:rsid w:val="00AE5602"/>
    <w:rsid w:val="00AE5992"/>
    <w:rsid w:val="00AE5D01"/>
    <w:rsid w:val="00AE5FF9"/>
    <w:rsid w:val="00AE61FA"/>
    <w:rsid w:val="00AE66C1"/>
    <w:rsid w:val="00AE703D"/>
    <w:rsid w:val="00AE7129"/>
    <w:rsid w:val="00AF0941"/>
    <w:rsid w:val="00AF0EA1"/>
    <w:rsid w:val="00AF27A7"/>
    <w:rsid w:val="00AF2841"/>
    <w:rsid w:val="00AF2D56"/>
    <w:rsid w:val="00AF362B"/>
    <w:rsid w:val="00AF39E8"/>
    <w:rsid w:val="00AF3EE0"/>
    <w:rsid w:val="00AF41CA"/>
    <w:rsid w:val="00AF4646"/>
    <w:rsid w:val="00AF502B"/>
    <w:rsid w:val="00AF6730"/>
    <w:rsid w:val="00AF7E87"/>
    <w:rsid w:val="00B00120"/>
    <w:rsid w:val="00B01308"/>
    <w:rsid w:val="00B03823"/>
    <w:rsid w:val="00B03A32"/>
    <w:rsid w:val="00B03B4B"/>
    <w:rsid w:val="00B03E5A"/>
    <w:rsid w:val="00B047B0"/>
    <w:rsid w:val="00B047FC"/>
    <w:rsid w:val="00B04FAC"/>
    <w:rsid w:val="00B05EF4"/>
    <w:rsid w:val="00B06E5C"/>
    <w:rsid w:val="00B07473"/>
    <w:rsid w:val="00B07EAA"/>
    <w:rsid w:val="00B10268"/>
    <w:rsid w:val="00B10A51"/>
    <w:rsid w:val="00B110D5"/>
    <w:rsid w:val="00B11976"/>
    <w:rsid w:val="00B11B43"/>
    <w:rsid w:val="00B11C18"/>
    <w:rsid w:val="00B1226F"/>
    <w:rsid w:val="00B12B8B"/>
    <w:rsid w:val="00B12DB6"/>
    <w:rsid w:val="00B1349B"/>
    <w:rsid w:val="00B13FEC"/>
    <w:rsid w:val="00B14320"/>
    <w:rsid w:val="00B14ECB"/>
    <w:rsid w:val="00B15DA5"/>
    <w:rsid w:val="00B15F25"/>
    <w:rsid w:val="00B161D5"/>
    <w:rsid w:val="00B1659F"/>
    <w:rsid w:val="00B166FC"/>
    <w:rsid w:val="00B171E9"/>
    <w:rsid w:val="00B202F0"/>
    <w:rsid w:val="00B20D6E"/>
    <w:rsid w:val="00B219A9"/>
    <w:rsid w:val="00B219AF"/>
    <w:rsid w:val="00B21E1A"/>
    <w:rsid w:val="00B21EF3"/>
    <w:rsid w:val="00B23886"/>
    <w:rsid w:val="00B24306"/>
    <w:rsid w:val="00B24321"/>
    <w:rsid w:val="00B24968"/>
    <w:rsid w:val="00B250EA"/>
    <w:rsid w:val="00B258F9"/>
    <w:rsid w:val="00B25C27"/>
    <w:rsid w:val="00B279A1"/>
    <w:rsid w:val="00B27B9F"/>
    <w:rsid w:val="00B3057B"/>
    <w:rsid w:val="00B30675"/>
    <w:rsid w:val="00B32041"/>
    <w:rsid w:val="00B33935"/>
    <w:rsid w:val="00B33C30"/>
    <w:rsid w:val="00B345C0"/>
    <w:rsid w:val="00B34D36"/>
    <w:rsid w:val="00B3521B"/>
    <w:rsid w:val="00B358C8"/>
    <w:rsid w:val="00B35F5E"/>
    <w:rsid w:val="00B3610D"/>
    <w:rsid w:val="00B36582"/>
    <w:rsid w:val="00B36C3F"/>
    <w:rsid w:val="00B37AB0"/>
    <w:rsid w:val="00B37B45"/>
    <w:rsid w:val="00B40517"/>
    <w:rsid w:val="00B424B8"/>
    <w:rsid w:val="00B4334B"/>
    <w:rsid w:val="00B435CE"/>
    <w:rsid w:val="00B454E8"/>
    <w:rsid w:val="00B45A06"/>
    <w:rsid w:val="00B475F2"/>
    <w:rsid w:val="00B47A9D"/>
    <w:rsid w:val="00B47DA6"/>
    <w:rsid w:val="00B502C6"/>
    <w:rsid w:val="00B5050E"/>
    <w:rsid w:val="00B50817"/>
    <w:rsid w:val="00B50A52"/>
    <w:rsid w:val="00B50EF5"/>
    <w:rsid w:val="00B51061"/>
    <w:rsid w:val="00B51A2A"/>
    <w:rsid w:val="00B5257F"/>
    <w:rsid w:val="00B5427A"/>
    <w:rsid w:val="00B54ACA"/>
    <w:rsid w:val="00B54EA1"/>
    <w:rsid w:val="00B5524C"/>
    <w:rsid w:val="00B557D6"/>
    <w:rsid w:val="00B55F24"/>
    <w:rsid w:val="00B566AC"/>
    <w:rsid w:val="00B575D5"/>
    <w:rsid w:val="00B57797"/>
    <w:rsid w:val="00B577E7"/>
    <w:rsid w:val="00B60101"/>
    <w:rsid w:val="00B622A5"/>
    <w:rsid w:val="00B6335A"/>
    <w:rsid w:val="00B63B30"/>
    <w:rsid w:val="00B640FE"/>
    <w:rsid w:val="00B648E2"/>
    <w:rsid w:val="00B64C29"/>
    <w:rsid w:val="00B65605"/>
    <w:rsid w:val="00B66788"/>
    <w:rsid w:val="00B668E6"/>
    <w:rsid w:val="00B66C2B"/>
    <w:rsid w:val="00B71206"/>
    <w:rsid w:val="00B712D9"/>
    <w:rsid w:val="00B7132E"/>
    <w:rsid w:val="00B71733"/>
    <w:rsid w:val="00B7213C"/>
    <w:rsid w:val="00B72D71"/>
    <w:rsid w:val="00B73C53"/>
    <w:rsid w:val="00B73CDD"/>
    <w:rsid w:val="00B7476A"/>
    <w:rsid w:val="00B7559B"/>
    <w:rsid w:val="00B760BA"/>
    <w:rsid w:val="00B766E8"/>
    <w:rsid w:val="00B7700E"/>
    <w:rsid w:val="00B775E9"/>
    <w:rsid w:val="00B77EC6"/>
    <w:rsid w:val="00B80681"/>
    <w:rsid w:val="00B8139B"/>
    <w:rsid w:val="00B818D2"/>
    <w:rsid w:val="00B81F8D"/>
    <w:rsid w:val="00B83784"/>
    <w:rsid w:val="00B839FC"/>
    <w:rsid w:val="00B83A59"/>
    <w:rsid w:val="00B83F88"/>
    <w:rsid w:val="00B84229"/>
    <w:rsid w:val="00B847C9"/>
    <w:rsid w:val="00B854D5"/>
    <w:rsid w:val="00B86900"/>
    <w:rsid w:val="00B86983"/>
    <w:rsid w:val="00B86E7C"/>
    <w:rsid w:val="00B87538"/>
    <w:rsid w:val="00B876F0"/>
    <w:rsid w:val="00B90230"/>
    <w:rsid w:val="00B90F77"/>
    <w:rsid w:val="00B91912"/>
    <w:rsid w:val="00B91E43"/>
    <w:rsid w:val="00B91F42"/>
    <w:rsid w:val="00B92332"/>
    <w:rsid w:val="00B92718"/>
    <w:rsid w:val="00B928D2"/>
    <w:rsid w:val="00B929C3"/>
    <w:rsid w:val="00B9359B"/>
    <w:rsid w:val="00B938C3"/>
    <w:rsid w:val="00B93D31"/>
    <w:rsid w:val="00B93F5C"/>
    <w:rsid w:val="00B941A4"/>
    <w:rsid w:val="00B947B4"/>
    <w:rsid w:val="00B94845"/>
    <w:rsid w:val="00B95388"/>
    <w:rsid w:val="00B9561C"/>
    <w:rsid w:val="00B95F6D"/>
    <w:rsid w:val="00B96359"/>
    <w:rsid w:val="00BA142E"/>
    <w:rsid w:val="00BA266C"/>
    <w:rsid w:val="00BA268C"/>
    <w:rsid w:val="00BA367E"/>
    <w:rsid w:val="00BA3741"/>
    <w:rsid w:val="00BA3961"/>
    <w:rsid w:val="00BA4328"/>
    <w:rsid w:val="00BA698F"/>
    <w:rsid w:val="00BA6BC8"/>
    <w:rsid w:val="00BA720D"/>
    <w:rsid w:val="00BA7AB9"/>
    <w:rsid w:val="00BA7D8C"/>
    <w:rsid w:val="00BB2581"/>
    <w:rsid w:val="00BB34D0"/>
    <w:rsid w:val="00BB466A"/>
    <w:rsid w:val="00BB56DF"/>
    <w:rsid w:val="00BB5799"/>
    <w:rsid w:val="00BB5B5D"/>
    <w:rsid w:val="00BB6525"/>
    <w:rsid w:val="00BB672A"/>
    <w:rsid w:val="00BB7531"/>
    <w:rsid w:val="00BB7591"/>
    <w:rsid w:val="00BB7736"/>
    <w:rsid w:val="00BB7A26"/>
    <w:rsid w:val="00BC1ED2"/>
    <w:rsid w:val="00BC22B0"/>
    <w:rsid w:val="00BC2DE4"/>
    <w:rsid w:val="00BC3139"/>
    <w:rsid w:val="00BC33AF"/>
    <w:rsid w:val="00BC406F"/>
    <w:rsid w:val="00BC482E"/>
    <w:rsid w:val="00BC486A"/>
    <w:rsid w:val="00BC4A0A"/>
    <w:rsid w:val="00BC4A6C"/>
    <w:rsid w:val="00BC55D8"/>
    <w:rsid w:val="00BC5745"/>
    <w:rsid w:val="00BC621E"/>
    <w:rsid w:val="00BC7393"/>
    <w:rsid w:val="00BC740C"/>
    <w:rsid w:val="00BC7E26"/>
    <w:rsid w:val="00BD00A5"/>
    <w:rsid w:val="00BD0FF7"/>
    <w:rsid w:val="00BD1798"/>
    <w:rsid w:val="00BD1AD3"/>
    <w:rsid w:val="00BD1BAD"/>
    <w:rsid w:val="00BD2B13"/>
    <w:rsid w:val="00BD2F82"/>
    <w:rsid w:val="00BD3D78"/>
    <w:rsid w:val="00BD3DD0"/>
    <w:rsid w:val="00BD4006"/>
    <w:rsid w:val="00BD56C5"/>
    <w:rsid w:val="00BD7D5B"/>
    <w:rsid w:val="00BE01D8"/>
    <w:rsid w:val="00BE04A4"/>
    <w:rsid w:val="00BE05B5"/>
    <w:rsid w:val="00BE05E8"/>
    <w:rsid w:val="00BE184E"/>
    <w:rsid w:val="00BE1921"/>
    <w:rsid w:val="00BE1976"/>
    <w:rsid w:val="00BE320C"/>
    <w:rsid w:val="00BE3970"/>
    <w:rsid w:val="00BE3FAD"/>
    <w:rsid w:val="00BE406E"/>
    <w:rsid w:val="00BE43D5"/>
    <w:rsid w:val="00BE44D9"/>
    <w:rsid w:val="00BE47D4"/>
    <w:rsid w:val="00BE4804"/>
    <w:rsid w:val="00BE49E8"/>
    <w:rsid w:val="00BE5D83"/>
    <w:rsid w:val="00BE625F"/>
    <w:rsid w:val="00BE6EA8"/>
    <w:rsid w:val="00BF0F7F"/>
    <w:rsid w:val="00BF1966"/>
    <w:rsid w:val="00BF1D61"/>
    <w:rsid w:val="00BF2880"/>
    <w:rsid w:val="00BF3BB1"/>
    <w:rsid w:val="00BF3EED"/>
    <w:rsid w:val="00BF42F4"/>
    <w:rsid w:val="00BF438D"/>
    <w:rsid w:val="00BF4CBB"/>
    <w:rsid w:val="00BF4CD6"/>
    <w:rsid w:val="00BF50E0"/>
    <w:rsid w:val="00BF56E9"/>
    <w:rsid w:val="00BF5993"/>
    <w:rsid w:val="00BF5B93"/>
    <w:rsid w:val="00BF6899"/>
    <w:rsid w:val="00BF7C32"/>
    <w:rsid w:val="00C00B34"/>
    <w:rsid w:val="00C00B36"/>
    <w:rsid w:val="00C0104E"/>
    <w:rsid w:val="00C01168"/>
    <w:rsid w:val="00C0181C"/>
    <w:rsid w:val="00C021E5"/>
    <w:rsid w:val="00C025F1"/>
    <w:rsid w:val="00C030C0"/>
    <w:rsid w:val="00C0370C"/>
    <w:rsid w:val="00C0394F"/>
    <w:rsid w:val="00C042E2"/>
    <w:rsid w:val="00C04EA6"/>
    <w:rsid w:val="00C061D2"/>
    <w:rsid w:val="00C072DB"/>
    <w:rsid w:val="00C10B3E"/>
    <w:rsid w:val="00C11B62"/>
    <w:rsid w:val="00C141E8"/>
    <w:rsid w:val="00C14548"/>
    <w:rsid w:val="00C14D5F"/>
    <w:rsid w:val="00C162DA"/>
    <w:rsid w:val="00C16CAD"/>
    <w:rsid w:val="00C16FB5"/>
    <w:rsid w:val="00C20097"/>
    <w:rsid w:val="00C2073B"/>
    <w:rsid w:val="00C21168"/>
    <w:rsid w:val="00C211DE"/>
    <w:rsid w:val="00C21C6F"/>
    <w:rsid w:val="00C23F54"/>
    <w:rsid w:val="00C240BB"/>
    <w:rsid w:val="00C242C3"/>
    <w:rsid w:val="00C24316"/>
    <w:rsid w:val="00C24979"/>
    <w:rsid w:val="00C249B2"/>
    <w:rsid w:val="00C26194"/>
    <w:rsid w:val="00C261D8"/>
    <w:rsid w:val="00C26BF0"/>
    <w:rsid w:val="00C27050"/>
    <w:rsid w:val="00C27459"/>
    <w:rsid w:val="00C313E2"/>
    <w:rsid w:val="00C31C68"/>
    <w:rsid w:val="00C32E22"/>
    <w:rsid w:val="00C334AC"/>
    <w:rsid w:val="00C34025"/>
    <w:rsid w:val="00C34286"/>
    <w:rsid w:val="00C34C07"/>
    <w:rsid w:val="00C3549C"/>
    <w:rsid w:val="00C36B3F"/>
    <w:rsid w:val="00C37381"/>
    <w:rsid w:val="00C3778D"/>
    <w:rsid w:val="00C40E2F"/>
    <w:rsid w:val="00C40F91"/>
    <w:rsid w:val="00C41C26"/>
    <w:rsid w:val="00C429F2"/>
    <w:rsid w:val="00C42B48"/>
    <w:rsid w:val="00C42F8C"/>
    <w:rsid w:val="00C4357B"/>
    <w:rsid w:val="00C4451B"/>
    <w:rsid w:val="00C45235"/>
    <w:rsid w:val="00C45A0A"/>
    <w:rsid w:val="00C46B52"/>
    <w:rsid w:val="00C50A58"/>
    <w:rsid w:val="00C50F34"/>
    <w:rsid w:val="00C510D7"/>
    <w:rsid w:val="00C525FA"/>
    <w:rsid w:val="00C52629"/>
    <w:rsid w:val="00C536D6"/>
    <w:rsid w:val="00C53C23"/>
    <w:rsid w:val="00C53C5D"/>
    <w:rsid w:val="00C5406D"/>
    <w:rsid w:val="00C545CF"/>
    <w:rsid w:val="00C549C6"/>
    <w:rsid w:val="00C55272"/>
    <w:rsid w:val="00C56D85"/>
    <w:rsid w:val="00C57DC8"/>
    <w:rsid w:val="00C60302"/>
    <w:rsid w:val="00C603D8"/>
    <w:rsid w:val="00C604A5"/>
    <w:rsid w:val="00C60565"/>
    <w:rsid w:val="00C60584"/>
    <w:rsid w:val="00C607A1"/>
    <w:rsid w:val="00C60FCD"/>
    <w:rsid w:val="00C62680"/>
    <w:rsid w:val="00C627C1"/>
    <w:rsid w:val="00C62918"/>
    <w:rsid w:val="00C62B29"/>
    <w:rsid w:val="00C62FF9"/>
    <w:rsid w:val="00C6379C"/>
    <w:rsid w:val="00C6392F"/>
    <w:rsid w:val="00C64736"/>
    <w:rsid w:val="00C64FA9"/>
    <w:rsid w:val="00C6507B"/>
    <w:rsid w:val="00C651E4"/>
    <w:rsid w:val="00C6551A"/>
    <w:rsid w:val="00C65823"/>
    <w:rsid w:val="00C66083"/>
    <w:rsid w:val="00C66DD5"/>
    <w:rsid w:val="00C673CD"/>
    <w:rsid w:val="00C67701"/>
    <w:rsid w:val="00C67AF2"/>
    <w:rsid w:val="00C67E52"/>
    <w:rsid w:val="00C702E6"/>
    <w:rsid w:val="00C71A0C"/>
    <w:rsid w:val="00C73987"/>
    <w:rsid w:val="00C73CB4"/>
    <w:rsid w:val="00C73E5D"/>
    <w:rsid w:val="00C740F7"/>
    <w:rsid w:val="00C742EC"/>
    <w:rsid w:val="00C743D7"/>
    <w:rsid w:val="00C74449"/>
    <w:rsid w:val="00C7465A"/>
    <w:rsid w:val="00C759EF"/>
    <w:rsid w:val="00C764AF"/>
    <w:rsid w:val="00C76A5A"/>
    <w:rsid w:val="00C76B32"/>
    <w:rsid w:val="00C774B9"/>
    <w:rsid w:val="00C77736"/>
    <w:rsid w:val="00C8038A"/>
    <w:rsid w:val="00C80725"/>
    <w:rsid w:val="00C80DE3"/>
    <w:rsid w:val="00C80E4E"/>
    <w:rsid w:val="00C81267"/>
    <w:rsid w:val="00C829ED"/>
    <w:rsid w:val="00C82BBB"/>
    <w:rsid w:val="00C83492"/>
    <w:rsid w:val="00C83AB6"/>
    <w:rsid w:val="00C84203"/>
    <w:rsid w:val="00C8672D"/>
    <w:rsid w:val="00C8685B"/>
    <w:rsid w:val="00C87360"/>
    <w:rsid w:val="00C87587"/>
    <w:rsid w:val="00C87CB0"/>
    <w:rsid w:val="00C91271"/>
    <w:rsid w:val="00C9173E"/>
    <w:rsid w:val="00C917E7"/>
    <w:rsid w:val="00C926CA"/>
    <w:rsid w:val="00C92B97"/>
    <w:rsid w:val="00C9367D"/>
    <w:rsid w:val="00C95185"/>
    <w:rsid w:val="00C9561D"/>
    <w:rsid w:val="00C95BBF"/>
    <w:rsid w:val="00C9632A"/>
    <w:rsid w:val="00C9703F"/>
    <w:rsid w:val="00C976A9"/>
    <w:rsid w:val="00C97DCB"/>
    <w:rsid w:val="00C97E46"/>
    <w:rsid w:val="00CA0402"/>
    <w:rsid w:val="00CA0854"/>
    <w:rsid w:val="00CA0F52"/>
    <w:rsid w:val="00CA12B6"/>
    <w:rsid w:val="00CA16D9"/>
    <w:rsid w:val="00CA2B35"/>
    <w:rsid w:val="00CA3281"/>
    <w:rsid w:val="00CA3534"/>
    <w:rsid w:val="00CA3B89"/>
    <w:rsid w:val="00CA4161"/>
    <w:rsid w:val="00CA519A"/>
    <w:rsid w:val="00CA5355"/>
    <w:rsid w:val="00CA5CFF"/>
    <w:rsid w:val="00CA6AD3"/>
    <w:rsid w:val="00CA6C2D"/>
    <w:rsid w:val="00CA7692"/>
    <w:rsid w:val="00CB000C"/>
    <w:rsid w:val="00CB064F"/>
    <w:rsid w:val="00CB1089"/>
    <w:rsid w:val="00CB1FF3"/>
    <w:rsid w:val="00CB2040"/>
    <w:rsid w:val="00CB2EE3"/>
    <w:rsid w:val="00CB3AD5"/>
    <w:rsid w:val="00CB3E27"/>
    <w:rsid w:val="00CB4229"/>
    <w:rsid w:val="00CB43F2"/>
    <w:rsid w:val="00CB4606"/>
    <w:rsid w:val="00CB4B2D"/>
    <w:rsid w:val="00CB5557"/>
    <w:rsid w:val="00CB5794"/>
    <w:rsid w:val="00CB5CB9"/>
    <w:rsid w:val="00CB7171"/>
    <w:rsid w:val="00CB7870"/>
    <w:rsid w:val="00CB78B0"/>
    <w:rsid w:val="00CC01C0"/>
    <w:rsid w:val="00CC02FC"/>
    <w:rsid w:val="00CC0809"/>
    <w:rsid w:val="00CC09B3"/>
    <w:rsid w:val="00CC0C64"/>
    <w:rsid w:val="00CC0E99"/>
    <w:rsid w:val="00CC1A9F"/>
    <w:rsid w:val="00CC29EB"/>
    <w:rsid w:val="00CC3BC8"/>
    <w:rsid w:val="00CC3C7D"/>
    <w:rsid w:val="00CC5194"/>
    <w:rsid w:val="00CC5818"/>
    <w:rsid w:val="00CC5853"/>
    <w:rsid w:val="00CC616C"/>
    <w:rsid w:val="00CC70AB"/>
    <w:rsid w:val="00CC77E9"/>
    <w:rsid w:val="00CD0366"/>
    <w:rsid w:val="00CD1431"/>
    <w:rsid w:val="00CD1632"/>
    <w:rsid w:val="00CD3A84"/>
    <w:rsid w:val="00CD3DDB"/>
    <w:rsid w:val="00CD44C9"/>
    <w:rsid w:val="00CD4AED"/>
    <w:rsid w:val="00CD5AB3"/>
    <w:rsid w:val="00CD5C3E"/>
    <w:rsid w:val="00CD5C79"/>
    <w:rsid w:val="00CD6182"/>
    <w:rsid w:val="00CD642D"/>
    <w:rsid w:val="00CD6875"/>
    <w:rsid w:val="00CD6D09"/>
    <w:rsid w:val="00CD7281"/>
    <w:rsid w:val="00CD760C"/>
    <w:rsid w:val="00CD7F81"/>
    <w:rsid w:val="00CE05B4"/>
    <w:rsid w:val="00CE0A78"/>
    <w:rsid w:val="00CE159D"/>
    <w:rsid w:val="00CE1C12"/>
    <w:rsid w:val="00CE2E4B"/>
    <w:rsid w:val="00CE2EDB"/>
    <w:rsid w:val="00CE3D55"/>
    <w:rsid w:val="00CE3EEC"/>
    <w:rsid w:val="00CE40CA"/>
    <w:rsid w:val="00CE458B"/>
    <w:rsid w:val="00CE4919"/>
    <w:rsid w:val="00CE4993"/>
    <w:rsid w:val="00CE4DC3"/>
    <w:rsid w:val="00CE4FB2"/>
    <w:rsid w:val="00CE548E"/>
    <w:rsid w:val="00CE5517"/>
    <w:rsid w:val="00CE6974"/>
    <w:rsid w:val="00CE7752"/>
    <w:rsid w:val="00CE7B67"/>
    <w:rsid w:val="00CF09FA"/>
    <w:rsid w:val="00CF1523"/>
    <w:rsid w:val="00CF1C02"/>
    <w:rsid w:val="00CF24AB"/>
    <w:rsid w:val="00CF2852"/>
    <w:rsid w:val="00CF2930"/>
    <w:rsid w:val="00CF32E1"/>
    <w:rsid w:val="00CF3733"/>
    <w:rsid w:val="00CF41E7"/>
    <w:rsid w:val="00CF488E"/>
    <w:rsid w:val="00CF4C80"/>
    <w:rsid w:val="00CF4F46"/>
    <w:rsid w:val="00CF515F"/>
    <w:rsid w:val="00CF5524"/>
    <w:rsid w:val="00CF6872"/>
    <w:rsid w:val="00CF6EEA"/>
    <w:rsid w:val="00CF7336"/>
    <w:rsid w:val="00CF7D42"/>
    <w:rsid w:val="00D00677"/>
    <w:rsid w:val="00D00BFC"/>
    <w:rsid w:val="00D017BF"/>
    <w:rsid w:val="00D01842"/>
    <w:rsid w:val="00D01B15"/>
    <w:rsid w:val="00D023AE"/>
    <w:rsid w:val="00D023F5"/>
    <w:rsid w:val="00D031D0"/>
    <w:rsid w:val="00D03FC5"/>
    <w:rsid w:val="00D04D08"/>
    <w:rsid w:val="00D0512C"/>
    <w:rsid w:val="00D051D8"/>
    <w:rsid w:val="00D057A0"/>
    <w:rsid w:val="00D061A2"/>
    <w:rsid w:val="00D0690A"/>
    <w:rsid w:val="00D06A84"/>
    <w:rsid w:val="00D0793B"/>
    <w:rsid w:val="00D0796E"/>
    <w:rsid w:val="00D079AA"/>
    <w:rsid w:val="00D10BF0"/>
    <w:rsid w:val="00D10E89"/>
    <w:rsid w:val="00D119F6"/>
    <w:rsid w:val="00D12120"/>
    <w:rsid w:val="00D132E1"/>
    <w:rsid w:val="00D1386F"/>
    <w:rsid w:val="00D13B73"/>
    <w:rsid w:val="00D13C15"/>
    <w:rsid w:val="00D141CD"/>
    <w:rsid w:val="00D14E86"/>
    <w:rsid w:val="00D1527B"/>
    <w:rsid w:val="00D1684C"/>
    <w:rsid w:val="00D168B5"/>
    <w:rsid w:val="00D173B8"/>
    <w:rsid w:val="00D17466"/>
    <w:rsid w:val="00D2004F"/>
    <w:rsid w:val="00D2101E"/>
    <w:rsid w:val="00D21B15"/>
    <w:rsid w:val="00D222AB"/>
    <w:rsid w:val="00D22C1B"/>
    <w:rsid w:val="00D22F6A"/>
    <w:rsid w:val="00D239FB"/>
    <w:rsid w:val="00D241E8"/>
    <w:rsid w:val="00D266C5"/>
    <w:rsid w:val="00D26EB4"/>
    <w:rsid w:val="00D272C5"/>
    <w:rsid w:val="00D2780C"/>
    <w:rsid w:val="00D307AB"/>
    <w:rsid w:val="00D308AC"/>
    <w:rsid w:val="00D30FDB"/>
    <w:rsid w:val="00D310EB"/>
    <w:rsid w:val="00D31B3E"/>
    <w:rsid w:val="00D31C90"/>
    <w:rsid w:val="00D326D4"/>
    <w:rsid w:val="00D32B10"/>
    <w:rsid w:val="00D33C05"/>
    <w:rsid w:val="00D33C49"/>
    <w:rsid w:val="00D34150"/>
    <w:rsid w:val="00D34D68"/>
    <w:rsid w:val="00D352C8"/>
    <w:rsid w:val="00D354A8"/>
    <w:rsid w:val="00D361BF"/>
    <w:rsid w:val="00D36483"/>
    <w:rsid w:val="00D365BE"/>
    <w:rsid w:val="00D37015"/>
    <w:rsid w:val="00D37A3C"/>
    <w:rsid w:val="00D400F8"/>
    <w:rsid w:val="00D4057B"/>
    <w:rsid w:val="00D40B9E"/>
    <w:rsid w:val="00D4275C"/>
    <w:rsid w:val="00D42BC9"/>
    <w:rsid w:val="00D42CAA"/>
    <w:rsid w:val="00D43DF7"/>
    <w:rsid w:val="00D43E35"/>
    <w:rsid w:val="00D4472B"/>
    <w:rsid w:val="00D44C6A"/>
    <w:rsid w:val="00D458C7"/>
    <w:rsid w:val="00D45EAD"/>
    <w:rsid w:val="00D460E7"/>
    <w:rsid w:val="00D46366"/>
    <w:rsid w:val="00D46E4B"/>
    <w:rsid w:val="00D46F72"/>
    <w:rsid w:val="00D47354"/>
    <w:rsid w:val="00D5175A"/>
    <w:rsid w:val="00D51AA9"/>
    <w:rsid w:val="00D52191"/>
    <w:rsid w:val="00D52665"/>
    <w:rsid w:val="00D536D9"/>
    <w:rsid w:val="00D54AD9"/>
    <w:rsid w:val="00D55DFC"/>
    <w:rsid w:val="00D55DFF"/>
    <w:rsid w:val="00D563C5"/>
    <w:rsid w:val="00D563D4"/>
    <w:rsid w:val="00D56448"/>
    <w:rsid w:val="00D56805"/>
    <w:rsid w:val="00D56B11"/>
    <w:rsid w:val="00D56D7D"/>
    <w:rsid w:val="00D5731B"/>
    <w:rsid w:val="00D60470"/>
    <w:rsid w:val="00D60785"/>
    <w:rsid w:val="00D60FD9"/>
    <w:rsid w:val="00D616F3"/>
    <w:rsid w:val="00D63A50"/>
    <w:rsid w:val="00D644C9"/>
    <w:rsid w:val="00D6453A"/>
    <w:rsid w:val="00D65E87"/>
    <w:rsid w:val="00D65F11"/>
    <w:rsid w:val="00D6624D"/>
    <w:rsid w:val="00D66AA7"/>
    <w:rsid w:val="00D66AFB"/>
    <w:rsid w:val="00D66F1C"/>
    <w:rsid w:val="00D66FD2"/>
    <w:rsid w:val="00D67082"/>
    <w:rsid w:val="00D67A58"/>
    <w:rsid w:val="00D67B4C"/>
    <w:rsid w:val="00D70C1B"/>
    <w:rsid w:val="00D716B4"/>
    <w:rsid w:val="00D71C31"/>
    <w:rsid w:val="00D72079"/>
    <w:rsid w:val="00D73253"/>
    <w:rsid w:val="00D73BB7"/>
    <w:rsid w:val="00D744DF"/>
    <w:rsid w:val="00D74FE8"/>
    <w:rsid w:val="00D75B34"/>
    <w:rsid w:val="00D75BEC"/>
    <w:rsid w:val="00D76455"/>
    <w:rsid w:val="00D76665"/>
    <w:rsid w:val="00D76676"/>
    <w:rsid w:val="00D76CAD"/>
    <w:rsid w:val="00D77073"/>
    <w:rsid w:val="00D80B1D"/>
    <w:rsid w:val="00D80BFB"/>
    <w:rsid w:val="00D8132D"/>
    <w:rsid w:val="00D819F7"/>
    <w:rsid w:val="00D83874"/>
    <w:rsid w:val="00D847D2"/>
    <w:rsid w:val="00D84B1C"/>
    <w:rsid w:val="00D85FEB"/>
    <w:rsid w:val="00D86829"/>
    <w:rsid w:val="00D86DED"/>
    <w:rsid w:val="00D90A51"/>
    <w:rsid w:val="00D9123E"/>
    <w:rsid w:val="00D91F5A"/>
    <w:rsid w:val="00D92AAC"/>
    <w:rsid w:val="00D92D4D"/>
    <w:rsid w:val="00D92E12"/>
    <w:rsid w:val="00D9327E"/>
    <w:rsid w:val="00D94F66"/>
    <w:rsid w:val="00D950C5"/>
    <w:rsid w:val="00D95636"/>
    <w:rsid w:val="00D9585E"/>
    <w:rsid w:val="00D95C32"/>
    <w:rsid w:val="00D96250"/>
    <w:rsid w:val="00D964F3"/>
    <w:rsid w:val="00DA0C2C"/>
    <w:rsid w:val="00DA209B"/>
    <w:rsid w:val="00DA256C"/>
    <w:rsid w:val="00DA2EE4"/>
    <w:rsid w:val="00DA3791"/>
    <w:rsid w:val="00DA3935"/>
    <w:rsid w:val="00DA3BD4"/>
    <w:rsid w:val="00DA43BC"/>
    <w:rsid w:val="00DA484D"/>
    <w:rsid w:val="00DA4AFF"/>
    <w:rsid w:val="00DA5292"/>
    <w:rsid w:val="00DA59AC"/>
    <w:rsid w:val="00DA5C62"/>
    <w:rsid w:val="00DA7516"/>
    <w:rsid w:val="00DA783D"/>
    <w:rsid w:val="00DB0F86"/>
    <w:rsid w:val="00DB19CE"/>
    <w:rsid w:val="00DB204C"/>
    <w:rsid w:val="00DB2CA6"/>
    <w:rsid w:val="00DB36D3"/>
    <w:rsid w:val="00DB4175"/>
    <w:rsid w:val="00DB4267"/>
    <w:rsid w:val="00DB49B3"/>
    <w:rsid w:val="00DB4F2C"/>
    <w:rsid w:val="00DB64E6"/>
    <w:rsid w:val="00DB6DE9"/>
    <w:rsid w:val="00DB6EB0"/>
    <w:rsid w:val="00DB6F79"/>
    <w:rsid w:val="00DB74F8"/>
    <w:rsid w:val="00DB7B24"/>
    <w:rsid w:val="00DC024C"/>
    <w:rsid w:val="00DC1AA9"/>
    <w:rsid w:val="00DC2386"/>
    <w:rsid w:val="00DC2D62"/>
    <w:rsid w:val="00DC3BDB"/>
    <w:rsid w:val="00DC4394"/>
    <w:rsid w:val="00DC4AAE"/>
    <w:rsid w:val="00DC4D8C"/>
    <w:rsid w:val="00DC70B0"/>
    <w:rsid w:val="00DC7210"/>
    <w:rsid w:val="00DC7818"/>
    <w:rsid w:val="00DD1B9C"/>
    <w:rsid w:val="00DD26F3"/>
    <w:rsid w:val="00DD2E80"/>
    <w:rsid w:val="00DD3050"/>
    <w:rsid w:val="00DD3603"/>
    <w:rsid w:val="00DD375A"/>
    <w:rsid w:val="00DD3F77"/>
    <w:rsid w:val="00DD40B1"/>
    <w:rsid w:val="00DD42D7"/>
    <w:rsid w:val="00DD515A"/>
    <w:rsid w:val="00DD5618"/>
    <w:rsid w:val="00DD66C1"/>
    <w:rsid w:val="00DD7288"/>
    <w:rsid w:val="00DD75A5"/>
    <w:rsid w:val="00DE0C9E"/>
    <w:rsid w:val="00DE12A2"/>
    <w:rsid w:val="00DE1715"/>
    <w:rsid w:val="00DE2191"/>
    <w:rsid w:val="00DE2923"/>
    <w:rsid w:val="00DE3691"/>
    <w:rsid w:val="00DE3D8E"/>
    <w:rsid w:val="00DE3F77"/>
    <w:rsid w:val="00DE47F3"/>
    <w:rsid w:val="00DE5531"/>
    <w:rsid w:val="00DE5808"/>
    <w:rsid w:val="00DE5EF7"/>
    <w:rsid w:val="00DE7A67"/>
    <w:rsid w:val="00DE7CAA"/>
    <w:rsid w:val="00DF021D"/>
    <w:rsid w:val="00DF068A"/>
    <w:rsid w:val="00DF06D0"/>
    <w:rsid w:val="00DF0BE3"/>
    <w:rsid w:val="00DF0D71"/>
    <w:rsid w:val="00DF220D"/>
    <w:rsid w:val="00DF2D8A"/>
    <w:rsid w:val="00DF3644"/>
    <w:rsid w:val="00DF3FFA"/>
    <w:rsid w:val="00DF4B71"/>
    <w:rsid w:val="00DF522C"/>
    <w:rsid w:val="00DF6770"/>
    <w:rsid w:val="00DF6894"/>
    <w:rsid w:val="00DF69EC"/>
    <w:rsid w:val="00DF7091"/>
    <w:rsid w:val="00DF7366"/>
    <w:rsid w:val="00DF752B"/>
    <w:rsid w:val="00E0070E"/>
    <w:rsid w:val="00E026F0"/>
    <w:rsid w:val="00E0289B"/>
    <w:rsid w:val="00E038AA"/>
    <w:rsid w:val="00E03D66"/>
    <w:rsid w:val="00E05023"/>
    <w:rsid w:val="00E056DA"/>
    <w:rsid w:val="00E05A9E"/>
    <w:rsid w:val="00E063E6"/>
    <w:rsid w:val="00E068FC"/>
    <w:rsid w:val="00E10264"/>
    <w:rsid w:val="00E104ED"/>
    <w:rsid w:val="00E11406"/>
    <w:rsid w:val="00E11B6A"/>
    <w:rsid w:val="00E12AC4"/>
    <w:rsid w:val="00E12D91"/>
    <w:rsid w:val="00E1339B"/>
    <w:rsid w:val="00E13BC5"/>
    <w:rsid w:val="00E146C7"/>
    <w:rsid w:val="00E160C5"/>
    <w:rsid w:val="00E17312"/>
    <w:rsid w:val="00E17769"/>
    <w:rsid w:val="00E17E89"/>
    <w:rsid w:val="00E17FDD"/>
    <w:rsid w:val="00E20432"/>
    <w:rsid w:val="00E20D2F"/>
    <w:rsid w:val="00E20F70"/>
    <w:rsid w:val="00E22106"/>
    <w:rsid w:val="00E2258A"/>
    <w:rsid w:val="00E22841"/>
    <w:rsid w:val="00E22A71"/>
    <w:rsid w:val="00E22BC5"/>
    <w:rsid w:val="00E234AE"/>
    <w:rsid w:val="00E23C7F"/>
    <w:rsid w:val="00E2440D"/>
    <w:rsid w:val="00E2464D"/>
    <w:rsid w:val="00E24922"/>
    <w:rsid w:val="00E25C93"/>
    <w:rsid w:val="00E26380"/>
    <w:rsid w:val="00E2645D"/>
    <w:rsid w:val="00E264B2"/>
    <w:rsid w:val="00E266A1"/>
    <w:rsid w:val="00E277A6"/>
    <w:rsid w:val="00E27A31"/>
    <w:rsid w:val="00E30C39"/>
    <w:rsid w:val="00E30C6C"/>
    <w:rsid w:val="00E30D48"/>
    <w:rsid w:val="00E30D99"/>
    <w:rsid w:val="00E30EB8"/>
    <w:rsid w:val="00E312E1"/>
    <w:rsid w:val="00E31804"/>
    <w:rsid w:val="00E31952"/>
    <w:rsid w:val="00E31A88"/>
    <w:rsid w:val="00E31DD6"/>
    <w:rsid w:val="00E3239E"/>
    <w:rsid w:val="00E3366C"/>
    <w:rsid w:val="00E336D4"/>
    <w:rsid w:val="00E33887"/>
    <w:rsid w:val="00E33A49"/>
    <w:rsid w:val="00E33E93"/>
    <w:rsid w:val="00E3458B"/>
    <w:rsid w:val="00E3617E"/>
    <w:rsid w:val="00E36784"/>
    <w:rsid w:val="00E36B1B"/>
    <w:rsid w:val="00E3752C"/>
    <w:rsid w:val="00E375DE"/>
    <w:rsid w:val="00E37E22"/>
    <w:rsid w:val="00E40112"/>
    <w:rsid w:val="00E405CC"/>
    <w:rsid w:val="00E40875"/>
    <w:rsid w:val="00E418B2"/>
    <w:rsid w:val="00E41EA2"/>
    <w:rsid w:val="00E431EE"/>
    <w:rsid w:val="00E44F6A"/>
    <w:rsid w:val="00E4577F"/>
    <w:rsid w:val="00E45782"/>
    <w:rsid w:val="00E46342"/>
    <w:rsid w:val="00E5010B"/>
    <w:rsid w:val="00E51D52"/>
    <w:rsid w:val="00E526C8"/>
    <w:rsid w:val="00E52D1E"/>
    <w:rsid w:val="00E52D63"/>
    <w:rsid w:val="00E546FC"/>
    <w:rsid w:val="00E54DF5"/>
    <w:rsid w:val="00E56187"/>
    <w:rsid w:val="00E5674E"/>
    <w:rsid w:val="00E57014"/>
    <w:rsid w:val="00E575C7"/>
    <w:rsid w:val="00E60329"/>
    <w:rsid w:val="00E6225F"/>
    <w:rsid w:val="00E62260"/>
    <w:rsid w:val="00E62F9C"/>
    <w:rsid w:val="00E634A5"/>
    <w:rsid w:val="00E635B6"/>
    <w:rsid w:val="00E65089"/>
    <w:rsid w:val="00E65549"/>
    <w:rsid w:val="00E656C8"/>
    <w:rsid w:val="00E65E02"/>
    <w:rsid w:val="00E6610C"/>
    <w:rsid w:val="00E665AC"/>
    <w:rsid w:val="00E66CEE"/>
    <w:rsid w:val="00E675A7"/>
    <w:rsid w:val="00E67819"/>
    <w:rsid w:val="00E704F0"/>
    <w:rsid w:val="00E70AA0"/>
    <w:rsid w:val="00E70AD1"/>
    <w:rsid w:val="00E71E87"/>
    <w:rsid w:val="00E72403"/>
    <w:rsid w:val="00E7254B"/>
    <w:rsid w:val="00E7270B"/>
    <w:rsid w:val="00E728EE"/>
    <w:rsid w:val="00E74165"/>
    <w:rsid w:val="00E743BC"/>
    <w:rsid w:val="00E74B84"/>
    <w:rsid w:val="00E74BF6"/>
    <w:rsid w:val="00E75204"/>
    <w:rsid w:val="00E76169"/>
    <w:rsid w:val="00E7622C"/>
    <w:rsid w:val="00E766FC"/>
    <w:rsid w:val="00E76E59"/>
    <w:rsid w:val="00E76F27"/>
    <w:rsid w:val="00E77802"/>
    <w:rsid w:val="00E77F4D"/>
    <w:rsid w:val="00E8007D"/>
    <w:rsid w:val="00E81094"/>
    <w:rsid w:val="00E81982"/>
    <w:rsid w:val="00E81D28"/>
    <w:rsid w:val="00E82023"/>
    <w:rsid w:val="00E824C9"/>
    <w:rsid w:val="00E824EA"/>
    <w:rsid w:val="00E825F3"/>
    <w:rsid w:val="00E82792"/>
    <w:rsid w:val="00E8294B"/>
    <w:rsid w:val="00E82AA6"/>
    <w:rsid w:val="00E83616"/>
    <w:rsid w:val="00E83BB4"/>
    <w:rsid w:val="00E841E0"/>
    <w:rsid w:val="00E841FF"/>
    <w:rsid w:val="00E846C2"/>
    <w:rsid w:val="00E84BEF"/>
    <w:rsid w:val="00E8636D"/>
    <w:rsid w:val="00E866FC"/>
    <w:rsid w:val="00E8685E"/>
    <w:rsid w:val="00E87A10"/>
    <w:rsid w:val="00E87AFE"/>
    <w:rsid w:val="00E9096C"/>
    <w:rsid w:val="00E91108"/>
    <w:rsid w:val="00E91B4C"/>
    <w:rsid w:val="00E92373"/>
    <w:rsid w:val="00E924A5"/>
    <w:rsid w:val="00E9253B"/>
    <w:rsid w:val="00E93491"/>
    <w:rsid w:val="00E93544"/>
    <w:rsid w:val="00E93A7C"/>
    <w:rsid w:val="00E9454B"/>
    <w:rsid w:val="00E94F02"/>
    <w:rsid w:val="00E95FF1"/>
    <w:rsid w:val="00E967BC"/>
    <w:rsid w:val="00E9771D"/>
    <w:rsid w:val="00EA0288"/>
    <w:rsid w:val="00EA155B"/>
    <w:rsid w:val="00EA279E"/>
    <w:rsid w:val="00EA3026"/>
    <w:rsid w:val="00EA33BE"/>
    <w:rsid w:val="00EA3EA7"/>
    <w:rsid w:val="00EA46BA"/>
    <w:rsid w:val="00EA61FF"/>
    <w:rsid w:val="00EA635C"/>
    <w:rsid w:val="00EA7A23"/>
    <w:rsid w:val="00EA7D4E"/>
    <w:rsid w:val="00EA7F7A"/>
    <w:rsid w:val="00EB07E5"/>
    <w:rsid w:val="00EB0C93"/>
    <w:rsid w:val="00EB0ED9"/>
    <w:rsid w:val="00EB0EDD"/>
    <w:rsid w:val="00EB1B78"/>
    <w:rsid w:val="00EB1DE2"/>
    <w:rsid w:val="00EB2EA5"/>
    <w:rsid w:val="00EB3B1B"/>
    <w:rsid w:val="00EB3CFD"/>
    <w:rsid w:val="00EB422B"/>
    <w:rsid w:val="00EB46E6"/>
    <w:rsid w:val="00EB57CE"/>
    <w:rsid w:val="00EB6278"/>
    <w:rsid w:val="00EB6687"/>
    <w:rsid w:val="00EC062E"/>
    <w:rsid w:val="00EC1046"/>
    <w:rsid w:val="00EC150C"/>
    <w:rsid w:val="00EC2717"/>
    <w:rsid w:val="00EC2762"/>
    <w:rsid w:val="00EC30AA"/>
    <w:rsid w:val="00EC3ED8"/>
    <w:rsid w:val="00EC42D1"/>
    <w:rsid w:val="00EC436A"/>
    <w:rsid w:val="00EC46AD"/>
    <w:rsid w:val="00EC4823"/>
    <w:rsid w:val="00EC5508"/>
    <w:rsid w:val="00EC5662"/>
    <w:rsid w:val="00EC58B5"/>
    <w:rsid w:val="00EC6E16"/>
    <w:rsid w:val="00EC6FEB"/>
    <w:rsid w:val="00EC72FD"/>
    <w:rsid w:val="00ED03C0"/>
    <w:rsid w:val="00ED10A0"/>
    <w:rsid w:val="00ED1A47"/>
    <w:rsid w:val="00ED2794"/>
    <w:rsid w:val="00ED27A2"/>
    <w:rsid w:val="00ED2961"/>
    <w:rsid w:val="00ED2EE3"/>
    <w:rsid w:val="00ED4861"/>
    <w:rsid w:val="00ED5624"/>
    <w:rsid w:val="00ED5E6C"/>
    <w:rsid w:val="00ED62F4"/>
    <w:rsid w:val="00ED7269"/>
    <w:rsid w:val="00ED7936"/>
    <w:rsid w:val="00ED7996"/>
    <w:rsid w:val="00ED7D58"/>
    <w:rsid w:val="00EE0720"/>
    <w:rsid w:val="00EE2036"/>
    <w:rsid w:val="00EE2B93"/>
    <w:rsid w:val="00EE2BAF"/>
    <w:rsid w:val="00EE30E9"/>
    <w:rsid w:val="00EE3DED"/>
    <w:rsid w:val="00EE3F47"/>
    <w:rsid w:val="00EE43A9"/>
    <w:rsid w:val="00EE4A97"/>
    <w:rsid w:val="00EE4C4C"/>
    <w:rsid w:val="00EE5684"/>
    <w:rsid w:val="00EE56E1"/>
    <w:rsid w:val="00EE5892"/>
    <w:rsid w:val="00EE5A80"/>
    <w:rsid w:val="00EE673E"/>
    <w:rsid w:val="00EF16A6"/>
    <w:rsid w:val="00EF19ED"/>
    <w:rsid w:val="00EF2CC4"/>
    <w:rsid w:val="00EF2DE7"/>
    <w:rsid w:val="00EF3683"/>
    <w:rsid w:val="00EF4332"/>
    <w:rsid w:val="00EF4A9B"/>
    <w:rsid w:val="00EF51A0"/>
    <w:rsid w:val="00EF54EA"/>
    <w:rsid w:val="00EF6B01"/>
    <w:rsid w:val="00EF6B07"/>
    <w:rsid w:val="00EF6C0B"/>
    <w:rsid w:val="00EF740A"/>
    <w:rsid w:val="00EF77BE"/>
    <w:rsid w:val="00F00073"/>
    <w:rsid w:val="00F00C0C"/>
    <w:rsid w:val="00F01356"/>
    <w:rsid w:val="00F019DD"/>
    <w:rsid w:val="00F02044"/>
    <w:rsid w:val="00F0229B"/>
    <w:rsid w:val="00F02FE9"/>
    <w:rsid w:val="00F03077"/>
    <w:rsid w:val="00F03127"/>
    <w:rsid w:val="00F031A7"/>
    <w:rsid w:val="00F03272"/>
    <w:rsid w:val="00F03C97"/>
    <w:rsid w:val="00F04460"/>
    <w:rsid w:val="00F0589C"/>
    <w:rsid w:val="00F05DB0"/>
    <w:rsid w:val="00F06618"/>
    <w:rsid w:val="00F06C5C"/>
    <w:rsid w:val="00F0721A"/>
    <w:rsid w:val="00F074BA"/>
    <w:rsid w:val="00F07865"/>
    <w:rsid w:val="00F079F8"/>
    <w:rsid w:val="00F10A25"/>
    <w:rsid w:val="00F13E35"/>
    <w:rsid w:val="00F1443A"/>
    <w:rsid w:val="00F1448D"/>
    <w:rsid w:val="00F151A8"/>
    <w:rsid w:val="00F15216"/>
    <w:rsid w:val="00F15693"/>
    <w:rsid w:val="00F16F0F"/>
    <w:rsid w:val="00F17896"/>
    <w:rsid w:val="00F178E8"/>
    <w:rsid w:val="00F17E0F"/>
    <w:rsid w:val="00F20C69"/>
    <w:rsid w:val="00F21A3A"/>
    <w:rsid w:val="00F21D61"/>
    <w:rsid w:val="00F2206A"/>
    <w:rsid w:val="00F22F72"/>
    <w:rsid w:val="00F2357F"/>
    <w:rsid w:val="00F23806"/>
    <w:rsid w:val="00F23E46"/>
    <w:rsid w:val="00F24630"/>
    <w:rsid w:val="00F249EA"/>
    <w:rsid w:val="00F24DC3"/>
    <w:rsid w:val="00F251BD"/>
    <w:rsid w:val="00F25DA6"/>
    <w:rsid w:val="00F25EE8"/>
    <w:rsid w:val="00F2616C"/>
    <w:rsid w:val="00F2641B"/>
    <w:rsid w:val="00F267BF"/>
    <w:rsid w:val="00F267F1"/>
    <w:rsid w:val="00F2759C"/>
    <w:rsid w:val="00F27B37"/>
    <w:rsid w:val="00F27B44"/>
    <w:rsid w:val="00F30ACE"/>
    <w:rsid w:val="00F314E6"/>
    <w:rsid w:val="00F317BD"/>
    <w:rsid w:val="00F33D59"/>
    <w:rsid w:val="00F3501F"/>
    <w:rsid w:val="00F35706"/>
    <w:rsid w:val="00F3678A"/>
    <w:rsid w:val="00F36BCE"/>
    <w:rsid w:val="00F36D01"/>
    <w:rsid w:val="00F36FF5"/>
    <w:rsid w:val="00F379D2"/>
    <w:rsid w:val="00F37A46"/>
    <w:rsid w:val="00F402D4"/>
    <w:rsid w:val="00F412C5"/>
    <w:rsid w:val="00F41582"/>
    <w:rsid w:val="00F428DF"/>
    <w:rsid w:val="00F4442B"/>
    <w:rsid w:val="00F44549"/>
    <w:rsid w:val="00F4472A"/>
    <w:rsid w:val="00F47756"/>
    <w:rsid w:val="00F47975"/>
    <w:rsid w:val="00F511CC"/>
    <w:rsid w:val="00F516EE"/>
    <w:rsid w:val="00F51792"/>
    <w:rsid w:val="00F51EB2"/>
    <w:rsid w:val="00F52589"/>
    <w:rsid w:val="00F52B4D"/>
    <w:rsid w:val="00F52CB5"/>
    <w:rsid w:val="00F53478"/>
    <w:rsid w:val="00F53FFD"/>
    <w:rsid w:val="00F5462D"/>
    <w:rsid w:val="00F54C71"/>
    <w:rsid w:val="00F55175"/>
    <w:rsid w:val="00F55183"/>
    <w:rsid w:val="00F55594"/>
    <w:rsid w:val="00F5561B"/>
    <w:rsid w:val="00F60320"/>
    <w:rsid w:val="00F60494"/>
    <w:rsid w:val="00F6231B"/>
    <w:rsid w:val="00F62364"/>
    <w:rsid w:val="00F62B33"/>
    <w:rsid w:val="00F63EA4"/>
    <w:rsid w:val="00F64750"/>
    <w:rsid w:val="00F658D6"/>
    <w:rsid w:val="00F65C01"/>
    <w:rsid w:val="00F65E12"/>
    <w:rsid w:val="00F6770C"/>
    <w:rsid w:val="00F6774E"/>
    <w:rsid w:val="00F7056F"/>
    <w:rsid w:val="00F707E8"/>
    <w:rsid w:val="00F70B0D"/>
    <w:rsid w:val="00F7216A"/>
    <w:rsid w:val="00F72FD2"/>
    <w:rsid w:val="00F7342C"/>
    <w:rsid w:val="00F75533"/>
    <w:rsid w:val="00F75D8E"/>
    <w:rsid w:val="00F76B8F"/>
    <w:rsid w:val="00F76D29"/>
    <w:rsid w:val="00F76D7B"/>
    <w:rsid w:val="00F776A4"/>
    <w:rsid w:val="00F77F4C"/>
    <w:rsid w:val="00F8005D"/>
    <w:rsid w:val="00F802A7"/>
    <w:rsid w:val="00F8059F"/>
    <w:rsid w:val="00F81863"/>
    <w:rsid w:val="00F82605"/>
    <w:rsid w:val="00F82668"/>
    <w:rsid w:val="00F827BD"/>
    <w:rsid w:val="00F8337A"/>
    <w:rsid w:val="00F83778"/>
    <w:rsid w:val="00F83B6A"/>
    <w:rsid w:val="00F83C2E"/>
    <w:rsid w:val="00F8412D"/>
    <w:rsid w:val="00F84241"/>
    <w:rsid w:val="00F84311"/>
    <w:rsid w:val="00F843D3"/>
    <w:rsid w:val="00F855F3"/>
    <w:rsid w:val="00F857F3"/>
    <w:rsid w:val="00F874AA"/>
    <w:rsid w:val="00F87903"/>
    <w:rsid w:val="00F90265"/>
    <w:rsid w:val="00F90847"/>
    <w:rsid w:val="00F90A0E"/>
    <w:rsid w:val="00F91674"/>
    <w:rsid w:val="00F91C75"/>
    <w:rsid w:val="00F9269B"/>
    <w:rsid w:val="00F92B1A"/>
    <w:rsid w:val="00F93437"/>
    <w:rsid w:val="00F941F6"/>
    <w:rsid w:val="00F94A03"/>
    <w:rsid w:val="00F94C77"/>
    <w:rsid w:val="00F9566D"/>
    <w:rsid w:val="00F961E4"/>
    <w:rsid w:val="00F9738F"/>
    <w:rsid w:val="00F97ABF"/>
    <w:rsid w:val="00F97F6E"/>
    <w:rsid w:val="00FA1AC9"/>
    <w:rsid w:val="00FA1C9B"/>
    <w:rsid w:val="00FA268D"/>
    <w:rsid w:val="00FA29EF"/>
    <w:rsid w:val="00FA2A00"/>
    <w:rsid w:val="00FA32ED"/>
    <w:rsid w:val="00FA6D04"/>
    <w:rsid w:val="00FA7B20"/>
    <w:rsid w:val="00FB240A"/>
    <w:rsid w:val="00FB2AE8"/>
    <w:rsid w:val="00FB32F9"/>
    <w:rsid w:val="00FB365D"/>
    <w:rsid w:val="00FB3A8D"/>
    <w:rsid w:val="00FB3C46"/>
    <w:rsid w:val="00FB4819"/>
    <w:rsid w:val="00FB4C4E"/>
    <w:rsid w:val="00FB5246"/>
    <w:rsid w:val="00FB562F"/>
    <w:rsid w:val="00FB6297"/>
    <w:rsid w:val="00FB6883"/>
    <w:rsid w:val="00FB6E5C"/>
    <w:rsid w:val="00FB763E"/>
    <w:rsid w:val="00FB783A"/>
    <w:rsid w:val="00FC002A"/>
    <w:rsid w:val="00FC0797"/>
    <w:rsid w:val="00FC1418"/>
    <w:rsid w:val="00FC1A40"/>
    <w:rsid w:val="00FC1B8A"/>
    <w:rsid w:val="00FC23F8"/>
    <w:rsid w:val="00FC246C"/>
    <w:rsid w:val="00FC2A09"/>
    <w:rsid w:val="00FC2C13"/>
    <w:rsid w:val="00FC3203"/>
    <w:rsid w:val="00FC361D"/>
    <w:rsid w:val="00FC39DA"/>
    <w:rsid w:val="00FC632F"/>
    <w:rsid w:val="00FC64CA"/>
    <w:rsid w:val="00FC660D"/>
    <w:rsid w:val="00FC735E"/>
    <w:rsid w:val="00FD13D3"/>
    <w:rsid w:val="00FD14C5"/>
    <w:rsid w:val="00FD25FA"/>
    <w:rsid w:val="00FD26C6"/>
    <w:rsid w:val="00FD282D"/>
    <w:rsid w:val="00FD30A0"/>
    <w:rsid w:val="00FD3C1C"/>
    <w:rsid w:val="00FD4048"/>
    <w:rsid w:val="00FD4692"/>
    <w:rsid w:val="00FD5121"/>
    <w:rsid w:val="00FD5365"/>
    <w:rsid w:val="00FD57EF"/>
    <w:rsid w:val="00FD5CCF"/>
    <w:rsid w:val="00FD72AA"/>
    <w:rsid w:val="00FE047A"/>
    <w:rsid w:val="00FE052A"/>
    <w:rsid w:val="00FE196C"/>
    <w:rsid w:val="00FE2282"/>
    <w:rsid w:val="00FE29C5"/>
    <w:rsid w:val="00FE3395"/>
    <w:rsid w:val="00FE3994"/>
    <w:rsid w:val="00FE4AD4"/>
    <w:rsid w:val="00FE62CC"/>
    <w:rsid w:val="00FE66DF"/>
    <w:rsid w:val="00FE6E05"/>
    <w:rsid w:val="00FE6EAA"/>
    <w:rsid w:val="00FE71D5"/>
    <w:rsid w:val="00FE744A"/>
    <w:rsid w:val="00FF0608"/>
    <w:rsid w:val="00FF0678"/>
    <w:rsid w:val="00FF0E65"/>
    <w:rsid w:val="00FF2712"/>
    <w:rsid w:val="00FF2B70"/>
    <w:rsid w:val="00FF3A9B"/>
    <w:rsid w:val="00FF4188"/>
    <w:rsid w:val="00FF4234"/>
    <w:rsid w:val="00FF4CFB"/>
    <w:rsid w:val="00FF50ED"/>
    <w:rsid w:val="00FF516B"/>
    <w:rsid w:val="00FF5716"/>
    <w:rsid w:val="00FF6ADC"/>
    <w:rsid w:val="00FF7840"/>
    <w:rsid w:val="01961A61"/>
    <w:rsid w:val="03B46605"/>
    <w:rsid w:val="04731071"/>
    <w:rsid w:val="06ED3ABB"/>
    <w:rsid w:val="08243A4E"/>
    <w:rsid w:val="0DE80585"/>
    <w:rsid w:val="109542C4"/>
    <w:rsid w:val="10957AB0"/>
    <w:rsid w:val="11392198"/>
    <w:rsid w:val="16A10C3A"/>
    <w:rsid w:val="17761009"/>
    <w:rsid w:val="186B3030"/>
    <w:rsid w:val="1883026B"/>
    <w:rsid w:val="19446C94"/>
    <w:rsid w:val="19F34C20"/>
    <w:rsid w:val="1DA03128"/>
    <w:rsid w:val="211C305E"/>
    <w:rsid w:val="21590CC5"/>
    <w:rsid w:val="26F62246"/>
    <w:rsid w:val="2CEC7043"/>
    <w:rsid w:val="2F19447D"/>
    <w:rsid w:val="31143957"/>
    <w:rsid w:val="3AF1690A"/>
    <w:rsid w:val="3AFC5754"/>
    <w:rsid w:val="3C60089E"/>
    <w:rsid w:val="3EEC07DE"/>
    <w:rsid w:val="3FD16F41"/>
    <w:rsid w:val="41AC2F9D"/>
    <w:rsid w:val="42143C78"/>
    <w:rsid w:val="45965AB8"/>
    <w:rsid w:val="49BF2031"/>
    <w:rsid w:val="49CC259E"/>
    <w:rsid w:val="4A1764A1"/>
    <w:rsid w:val="4B5A49AF"/>
    <w:rsid w:val="4C174300"/>
    <w:rsid w:val="4C205ED8"/>
    <w:rsid w:val="4D11473D"/>
    <w:rsid w:val="4D9E7A0B"/>
    <w:rsid w:val="53F72332"/>
    <w:rsid w:val="53FE2659"/>
    <w:rsid w:val="574C0B47"/>
    <w:rsid w:val="57972BD5"/>
    <w:rsid w:val="5AD06D87"/>
    <w:rsid w:val="5B946078"/>
    <w:rsid w:val="5BA3280A"/>
    <w:rsid w:val="5E5879D5"/>
    <w:rsid w:val="61A35508"/>
    <w:rsid w:val="664E7F2D"/>
    <w:rsid w:val="6705632C"/>
    <w:rsid w:val="6A726875"/>
    <w:rsid w:val="6B8F6404"/>
    <w:rsid w:val="6D851FC7"/>
    <w:rsid w:val="6EB23976"/>
    <w:rsid w:val="6FAA4F3F"/>
    <w:rsid w:val="6FD16484"/>
    <w:rsid w:val="7200619D"/>
    <w:rsid w:val="736835E2"/>
    <w:rsid w:val="79410B44"/>
    <w:rsid w:val="795E28F6"/>
    <w:rsid w:val="7C2322FC"/>
    <w:rsid w:val="7EA61CC2"/>
    <w:rsid w:val="7EA80F9E"/>
    <w:rsid w:val="7F812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qFormat="1" w:unhideWhenUsed="0" w:uiPriority="99"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7"/>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60"/>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4"/>
    <w:qFormat/>
    <w:uiPriority w:val="0"/>
    <w:pPr>
      <w:keepNext/>
      <w:keepLines/>
      <w:tabs>
        <w:tab w:val="left" w:pos="600"/>
      </w:tabs>
      <w:suppressAutoHyphens/>
      <w:spacing w:before="280" w:after="290" w:line="372" w:lineRule="auto"/>
      <w:ind w:left="600" w:hanging="600"/>
      <w:outlineLvl w:val="3"/>
    </w:pPr>
    <w:rPr>
      <w:rFonts w:ascii="宋体" w:hAnsi="宋体"/>
      <w:sz w:val="24"/>
      <w:szCs w:val="28"/>
      <w:lang w:eastAsia="ar-SA"/>
    </w:rPr>
  </w:style>
  <w:style w:type="paragraph" w:styleId="7">
    <w:name w:val="heading 5"/>
    <w:basedOn w:val="1"/>
    <w:next w:val="1"/>
    <w:link w:val="63"/>
    <w:qFormat/>
    <w:uiPriority w:val="0"/>
    <w:pPr>
      <w:keepNext/>
      <w:keepLines/>
      <w:tabs>
        <w:tab w:val="left" w:pos="600"/>
      </w:tabs>
      <w:suppressAutoHyphens/>
      <w:spacing w:before="280" w:after="290" w:line="372" w:lineRule="auto"/>
      <w:ind w:left="600" w:hanging="600"/>
      <w:outlineLvl w:val="4"/>
    </w:pPr>
    <w:rPr>
      <w:b/>
      <w:bCs/>
      <w:sz w:val="28"/>
      <w:szCs w:val="28"/>
      <w:lang w:eastAsia="ar-SA"/>
    </w:rPr>
  </w:style>
  <w:style w:type="paragraph" w:styleId="8">
    <w:name w:val="heading 6"/>
    <w:basedOn w:val="1"/>
    <w:next w:val="1"/>
    <w:link w:val="55"/>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88"/>
    <w:qFormat/>
    <w:uiPriority w:val="0"/>
    <w:pPr>
      <w:keepNext/>
      <w:keepLines/>
      <w:spacing w:before="240" w:after="64" w:line="320" w:lineRule="auto"/>
      <w:outlineLvl w:val="6"/>
    </w:pPr>
    <w:rPr>
      <w:b/>
      <w:bCs/>
      <w:sz w:val="24"/>
    </w:rPr>
  </w:style>
  <w:style w:type="paragraph" w:styleId="10">
    <w:name w:val="heading 8"/>
    <w:basedOn w:val="9"/>
    <w:next w:val="1"/>
    <w:link w:val="73"/>
    <w:qFormat/>
    <w:uiPriority w:val="0"/>
    <w:pPr>
      <w:keepNext w:val="0"/>
      <w:keepLines w:val="0"/>
      <w:widowControl/>
      <w:numPr>
        <w:ilvl w:val="7"/>
        <w:numId w:val="1"/>
      </w:numPr>
      <w:tabs>
        <w:tab w:val="left" w:pos="1440"/>
        <w:tab w:val="clear" w:pos="3900"/>
      </w:tabs>
      <w:spacing w:line="240" w:lineRule="auto"/>
      <w:jc w:val="left"/>
      <w:outlineLvl w:val="7"/>
    </w:pPr>
    <w:rPr>
      <w:rFonts w:ascii="Arial" w:hAnsi="Arial" w:eastAsia="黑体"/>
      <w:b w:val="0"/>
      <w:kern w:val="44"/>
      <w:szCs w:val="28"/>
    </w:rPr>
  </w:style>
  <w:style w:type="paragraph" w:styleId="11">
    <w:name w:val="heading 9"/>
    <w:basedOn w:val="1"/>
    <w:next w:val="1"/>
    <w:link w:val="48"/>
    <w:qFormat/>
    <w:uiPriority w:val="0"/>
    <w:pPr>
      <w:keepNext/>
      <w:keepLines/>
      <w:numPr>
        <w:ilvl w:val="8"/>
        <w:numId w:val="1"/>
      </w:numPr>
      <w:tabs>
        <w:tab w:val="left" w:pos="1584"/>
        <w:tab w:val="clear" w:pos="4320"/>
      </w:tabs>
      <w:spacing w:before="240" w:after="64" w:line="360" w:lineRule="auto"/>
      <w:jc w:val="left"/>
      <w:outlineLvl w:val="8"/>
    </w:pPr>
    <w:rPr>
      <w:rFonts w:ascii="Arial" w:hAnsi="Arial"/>
      <w:b/>
      <w:sz w:val="24"/>
      <w:szCs w:val="21"/>
    </w:rPr>
  </w:style>
  <w:style w:type="character" w:default="1" w:styleId="41">
    <w:name w:val="Default Paragraph Font"/>
    <w:semiHidden/>
    <w:unhideWhenUsed/>
    <w:qFormat/>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4">
    <w:name w:val="Normal Indent"/>
    <w:basedOn w:val="1"/>
    <w:link w:val="90"/>
    <w:qFormat/>
    <w:uiPriority w:val="0"/>
    <w:pPr>
      <w:autoSpaceDE w:val="0"/>
      <w:autoSpaceDN w:val="0"/>
      <w:adjustRightInd w:val="0"/>
      <w:ind w:firstLine="420"/>
      <w:jc w:val="left"/>
    </w:pPr>
    <w:rPr>
      <w:rFonts w:ascii="宋体"/>
      <w:kern w:val="0"/>
      <w:sz w:val="24"/>
      <w:szCs w:val="20"/>
    </w:rPr>
  </w:style>
  <w:style w:type="paragraph" w:styleId="12">
    <w:name w:val="toc 7"/>
    <w:basedOn w:val="1"/>
    <w:next w:val="1"/>
    <w:qFormat/>
    <w:uiPriority w:val="39"/>
    <w:pPr>
      <w:spacing w:line="360" w:lineRule="auto"/>
      <w:ind w:left="1440" w:firstLine="480" w:firstLineChars="200"/>
      <w:jc w:val="left"/>
    </w:pPr>
    <w:rPr>
      <w:rFonts w:ascii="Calibri" w:hAnsi="Calibri" w:cs="Calibri"/>
      <w:sz w:val="18"/>
      <w:szCs w:val="18"/>
    </w:rPr>
  </w:style>
  <w:style w:type="paragraph" w:styleId="13">
    <w:name w:val="caption"/>
    <w:basedOn w:val="1"/>
    <w:next w:val="1"/>
    <w:qFormat/>
    <w:uiPriority w:val="0"/>
    <w:pPr>
      <w:suppressAutoHyphens/>
      <w:spacing w:before="152" w:after="160"/>
    </w:pPr>
    <w:rPr>
      <w:rFonts w:ascii="Arial" w:hAnsi="Arial" w:eastAsia="黑体" w:cs="Arial"/>
      <w:sz w:val="20"/>
      <w:szCs w:val="20"/>
      <w:lang w:eastAsia="ar-SA"/>
    </w:rPr>
  </w:style>
  <w:style w:type="paragraph" w:styleId="14">
    <w:name w:val="Document Map"/>
    <w:basedOn w:val="1"/>
    <w:link w:val="49"/>
    <w:qFormat/>
    <w:uiPriority w:val="0"/>
    <w:pPr>
      <w:shd w:val="clear" w:color="auto" w:fill="000080"/>
    </w:pPr>
  </w:style>
  <w:style w:type="paragraph" w:styleId="15">
    <w:name w:val="annotation text"/>
    <w:basedOn w:val="1"/>
    <w:link w:val="51"/>
    <w:qFormat/>
    <w:uiPriority w:val="0"/>
    <w:pPr>
      <w:jc w:val="left"/>
    </w:pPr>
  </w:style>
  <w:style w:type="paragraph" w:styleId="16">
    <w:name w:val="Body Text"/>
    <w:basedOn w:val="1"/>
    <w:link w:val="84"/>
    <w:qFormat/>
    <w:uiPriority w:val="0"/>
    <w:pPr>
      <w:tabs>
        <w:tab w:val="left" w:pos="567"/>
      </w:tabs>
      <w:spacing w:before="120" w:line="22" w:lineRule="atLeast"/>
    </w:pPr>
    <w:rPr>
      <w:rFonts w:ascii="宋体" w:hAnsi="宋体"/>
      <w:sz w:val="24"/>
    </w:rPr>
  </w:style>
  <w:style w:type="paragraph" w:styleId="17">
    <w:name w:val="Body Text Indent"/>
    <w:basedOn w:val="1"/>
    <w:link w:val="211"/>
    <w:qFormat/>
    <w:uiPriority w:val="0"/>
    <w:pPr>
      <w:spacing w:after="120"/>
      <w:ind w:left="420" w:leftChars="200"/>
    </w:pPr>
  </w:style>
  <w:style w:type="paragraph" w:styleId="18">
    <w:name w:val="toc 5"/>
    <w:basedOn w:val="1"/>
    <w:next w:val="1"/>
    <w:qFormat/>
    <w:uiPriority w:val="39"/>
    <w:pPr>
      <w:ind w:left="1680" w:leftChars="800"/>
    </w:pPr>
  </w:style>
  <w:style w:type="paragraph" w:styleId="19">
    <w:name w:val="toc 3"/>
    <w:basedOn w:val="1"/>
    <w:next w:val="1"/>
    <w:qFormat/>
    <w:uiPriority w:val="39"/>
    <w:pPr>
      <w:tabs>
        <w:tab w:val="left" w:pos="1440"/>
        <w:tab w:val="right" w:leader="dot" w:pos="8937"/>
      </w:tabs>
      <w:ind w:left="840" w:leftChars="400"/>
    </w:pPr>
    <w:rPr>
      <w:rFonts w:ascii="仿宋_GB2312" w:hAnsi="宋体" w:eastAsia="仿宋_GB2312"/>
      <w:sz w:val="24"/>
    </w:rPr>
  </w:style>
  <w:style w:type="paragraph" w:styleId="20">
    <w:name w:val="Plain Text"/>
    <w:basedOn w:val="1"/>
    <w:link w:val="52"/>
    <w:qFormat/>
    <w:uiPriority w:val="0"/>
    <w:rPr>
      <w:rFonts w:ascii="宋体" w:hAnsi="Courier New"/>
      <w:szCs w:val="20"/>
    </w:rPr>
  </w:style>
  <w:style w:type="paragraph" w:styleId="21">
    <w:name w:val="toc 8"/>
    <w:basedOn w:val="1"/>
    <w:next w:val="1"/>
    <w:unhideWhenUsed/>
    <w:qFormat/>
    <w:uiPriority w:val="39"/>
    <w:pPr>
      <w:spacing w:line="360" w:lineRule="auto"/>
      <w:ind w:left="1680" w:firstLine="480" w:firstLineChars="200"/>
      <w:jc w:val="left"/>
    </w:pPr>
    <w:rPr>
      <w:rFonts w:ascii="Calibri" w:hAnsi="Calibri" w:cs="Calibri"/>
      <w:sz w:val="18"/>
      <w:szCs w:val="18"/>
    </w:rPr>
  </w:style>
  <w:style w:type="paragraph" w:styleId="22">
    <w:name w:val="Date"/>
    <w:basedOn w:val="1"/>
    <w:next w:val="1"/>
    <w:link w:val="61"/>
    <w:qFormat/>
    <w:uiPriority w:val="0"/>
    <w:pPr>
      <w:ind w:left="100" w:leftChars="2500"/>
    </w:pPr>
  </w:style>
  <w:style w:type="paragraph" w:styleId="23">
    <w:name w:val="Body Text Indent 2"/>
    <w:basedOn w:val="1"/>
    <w:link w:val="85"/>
    <w:qFormat/>
    <w:uiPriority w:val="99"/>
    <w:pPr>
      <w:ind w:firstLine="480" w:firstLineChars="200"/>
    </w:pPr>
    <w:rPr>
      <w:rFonts w:ascii="仿宋_GB2312" w:eastAsia="仿宋_GB2312"/>
      <w:sz w:val="24"/>
    </w:rPr>
  </w:style>
  <w:style w:type="paragraph" w:styleId="24">
    <w:name w:val="Balloon Text"/>
    <w:basedOn w:val="1"/>
    <w:link w:val="62"/>
    <w:qFormat/>
    <w:uiPriority w:val="0"/>
    <w:rPr>
      <w:sz w:val="18"/>
      <w:szCs w:val="18"/>
    </w:rPr>
  </w:style>
  <w:style w:type="paragraph" w:styleId="25">
    <w:name w:val="footer"/>
    <w:basedOn w:val="1"/>
    <w:link w:val="8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6">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tabs>
        <w:tab w:val="left" w:pos="993"/>
        <w:tab w:val="right" w:leader="dot" w:pos="9000"/>
      </w:tabs>
      <w:spacing w:before="120" w:after="120" w:line="440" w:lineRule="exact"/>
      <w:jc w:val="left"/>
    </w:pPr>
    <w:rPr>
      <w:rFonts w:ascii="仿宋_GB2312" w:hAnsi="宋体" w:eastAsia="仿宋_GB2312"/>
      <w:b/>
      <w:sz w:val="24"/>
    </w:rPr>
  </w:style>
  <w:style w:type="paragraph" w:styleId="28">
    <w:name w:val="toc 4"/>
    <w:basedOn w:val="1"/>
    <w:next w:val="1"/>
    <w:qFormat/>
    <w:uiPriority w:val="39"/>
    <w:pPr>
      <w:ind w:left="1260" w:leftChars="600"/>
    </w:pPr>
  </w:style>
  <w:style w:type="paragraph" w:styleId="29">
    <w:name w:val="toc 6"/>
    <w:basedOn w:val="1"/>
    <w:next w:val="1"/>
    <w:unhideWhenUsed/>
    <w:qFormat/>
    <w:uiPriority w:val="39"/>
    <w:pPr>
      <w:spacing w:line="360" w:lineRule="auto"/>
      <w:ind w:left="1200" w:firstLine="480" w:firstLineChars="200"/>
      <w:jc w:val="left"/>
    </w:pPr>
    <w:rPr>
      <w:rFonts w:ascii="Calibri" w:hAnsi="Calibri" w:cs="Calibri"/>
      <w:sz w:val="18"/>
      <w:szCs w:val="18"/>
    </w:r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qFormat/>
    <w:uiPriority w:val="39"/>
    <w:pPr>
      <w:ind w:left="420" w:leftChars="200"/>
    </w:pPr>
  </w:style>
  <w:style w:type="paragraph" w:styleId="32">
    <w:name w:val="toc 9"/>
    <w:basedOn w:val="1"/>
    <w:next w:val="1"/>
    <w:unhideWhenUsed/>
    <w:qFormat/>
    <w:uiPriority w:val="39"/>
    <w:pPr>
      <w:spacing w:line="360" w:lineRule="auto"/>
      <w:ind w:left="1920" w:firstLine="480" w:firstLineChars="200"/>
      <w:jc w:val="left"/>
    </w:pPr>
    <w:rPr>
      <w:rFonts w:ascii="Calibri" w:hAnsi="Calibri" w:cs="Calibri"/>
      <w:sz w:val="18"/>
      <w:szCs w:val="18"/>
    </w:rPr>
  </w:style>
  <w:style w:type="paragraph" w:styleId="33">
    <w:name w:val="HTML Preformatted"/>
    <w:basedOn w:val="1"/>
    <w:link w:val="7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jc w:val="left"/>
    </w:pPr>
    <w:rPr>
      <w:rFonts w:ascii="Arial" w:hAnsi="Arial"/>
      <w:kern w:val="0"/>
      <w:sz w:val="24"/>
    </w:rPr>
  </w:style>
  <w:style w:type="paragraph" w:styleId="34">
    <w:name w:val="Normal (Web)"/>
    <w:basedOn w:val="1"/>
    <w:unhideWhenUsed/>
    <w:qFormat/>
    <w:uiPriority w:val="99"/>
    <w:pPr>
      <w:widowControl/>
      <w:ind w:firstLine="480" w:firstLineChars="200"/>
      <w:jc w:val="left"/>
    </w:pPr>
    <w:rPr>
      <w:rFonts w:ascii="宋体" w:hAnsi="宋体" w:cs="宋体"/>
      <w:kern w:val="0"/>
      <w:sz w:val="24"/>
    </w:rPr>
  </w:style>
  <w:style w:type="paragraph" w:styleId="35">
    <w:name w:val="index 1"/>
    <w:basedOn w:val="1"/>
    <w:next w:val="1"/>
    <w:qFormat/>
    <w:uiPriority w:val="0"/>
    <w:rPr>
      <w:szCs w:val="20"/>
    </w:rPr>
  </w:style>
  <w:style w:type="paragraph" w:styleId="36">
    <w:name w:val="Title"/>
    <w:basedOn w:val="1"/>
    <w:next w:val="1"/>
    <w:link w:val="91"/>
    <w:qFormat/>
    <w:uiPriority w:val="10"/>
    <w:pPr>
      <w:spacing w:before="240" w:after="60" w:line="360" w:lineRule="auto"/>
      <w:ind w:firstLine="480" w:firstLineChars="200"/>
      <w:jc w:val="center"/>
      <w:outlineLvl w:val="0"/>
    </w:pPr>
    <w:rPr>
      <w:rFonts w:ascii="Cambria" w:hAnsi="Cambria"/>
      <w:b/>
      <w:bCs/>
      <w:sz w:val="32"/>
      <w:szCs w:val="32"/>
    </w:rPr>
  </w:style>
  <w:style w:type="paragraph" w:styleId="37">
    <w:name w:val="annotation subject"/>
    <w:basedOn w:val="15"/>
    <w:next w:val="15"/>
    <w:link w:val="75"/>
    <w:qFormat/>
    <w:uiPriority w:val="0"/>
    <w:rPr>
      <w:b/>
      <w:bCs/>
    </w:rPr>
  </w:style>
  <w:style w:type="paragraph" w:styleId="38">
    <w:name w:val="Body Text First Indent 2"/>
    <w:basedOn w:val="17"/>
    <w:link w:val="212"/>
    <w:unhideWhenUsed/>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22"/>
    <w:rPr>
      <w:b/>
      <w:bCs/>
    </w:rPr>
  </w:style>
  <w:style w:type="character" w:styleId="43">
    <w:name w:val="page number"/>
    <w:basedOn w:val="41"/>
    <w:qFormat/>
    <w:uiPriority w:val="0"/>
  </w:style>
  <w:style w:type="character" w:styleId="44">
    <w:name w:val="FollowedHyperlink"/>
    <w:unhideWhenUsed/>
    <w:qFormat/>
    <w:uiPriority w:val="99"/>
    <w:rPr>
      <w:color w:val="800080"/>
      <w:u w:val="single"/>
    </w:rPr>
  </w:style>
  <w:style w:type="character" w:styleId="45">
    <w:name w:val="Emphasis"/>
    <w:basedOn w:val="41"/>
    <w:qFormat/>
    <w:uiPriority w:val="20"/>
    <w:rPr>
      <w:i/>
      <w:iCs/>
    </w:rPr>
  </w:style>
  <w:style w:type="character" w:styleId="46">
    <w:name w:val="Hyperlink"/>
    <w:basedOn w:val="41"/>
    <w:qFormat/>
    <w:uiPriority w:val="99"/>
    <w:rPr>
      <w:color w:val="0000FF"/>
      <w:u w:val="single"/>
    </w:rPr>
  </w:style>
  <w:style w:type="character" w:styleId="47">
    <w:name w:val="annotation reference"/>
    <w:basedOn w:val="41"/>
    <w:qFormat/>
    <w:uiPriority w:val="0"/>
    <w:rPr>
      <w:sz w:val="21"/>
      <w:szCs w:val="21"/>
    </w:rPr>
  </w:style>
  <w:style w:type="character" w:customStyle="1" w:styleId="48">
    <w:name w:val="标题 9 字符"/>
    <w:link w:val="11"/>
    <w:qFormat/>
    <w:uiPriority w:val="0"/>
    <w:rPr>
      <w:rFonts w:ascii="Arial" w:hAnsi="Arial"/>
      <w:b/>
      <w:kern w:val="2"/>
      <w:sz w:val="24"/>
      <w:szCs w:val="21"/>
    </w:rPr>
  </w:style>
  <w:style w:type="character" w:customStyle="1" w:styleId="49">
    <w:name w:val="文档结构图 字符"/>
    <w:link w:val="14"/>
    <w:qFormat/>
    <w:uiPriority w:val="0"/>
    <w:rPr>
      <w:kern w:val="2"/>
      <w:sz w:val="21"/>
      <w:szCs w:val="24"/>
      <w:shd w:val="clear" w:color="auto" w:fill="000080"/>
    </w:rPr>
  </w:style>
  <w:style w:type="character" w:customStyle="1" w:styleId="50">
    <w:name w:val="正文文本 Char1"/>
    <w:semiHidden/>
    <w:qFormat/>
    <w:uiPriority w:val="99"/>
    <w:rPr>
      <w:rFonts w:ascii="Times New Roman" w:hAnsi="Times New Roman"/>
      <w:kern w:val="2"/>
      <w:sz w:val="24"/>
      <w:szCs w:val="24"/>
    </w:rPr>
  </w:style>
  <w:style w:type="character" w:customStyle="1" w:styleId="51">
    <w:name w:val="批注文字 字符1"/>
    <w:link w:val="15"/>
    <w:qFormat/>
    <w:uiPriority w:val="99"/>
    <w:rPr>
      <w:kern w:val="2"/>
      <w:sz w:val="21"/>
      <w:szCs w:val="24"/>
    </w:rPr>
  </w:style>
  <w:style w:type="character" w:customStyle="1" w:styleId="52">
    <w:name w:val="纯文本 字符1"/>
    <w:link w:val="20"/>
    <w:qFormat/>
    <w:uiPriority w:val="99"/>
    <w:rPr>
      <w:rFonts w:ascii="宋体" w:hAnsi="Courier New" w:eastAsia="宋体"/>
      <w:kern w:val="2"/>
      <w:sz w:val="21"/>
      <w:lang w:val="en-US" w:eastAsia="zh-CN" w:bidi="ar-SA"/>
    </w:rPr>
  </w:style>
  <w:style w:type="character" w:customStyle="1" w:styleId="53">
    <w:name w:val="批注主题 Char1"/>
    <w:semiHidden/>
    <w:qFormat/>
    <w:uiPriority w:val="99"/>
    <w:rPr>
      <w:rFonts w:ascii="Times New Roman" w:hAnsi="Times New Roman"/>
      <w:b/>
      <w:bCs/>
      <w:kern w:val="2"/>
      <w:sz w:val="24"/>
      <w:szCs w:val="24"/>
    </w:rPr>
  </w:style>
  <w:style w:type="character" w:customStyle="1" w:styleId="54">
    <w:name w:val="标题 4 字符"/>
    <w:link w:val="6"/>
    <w:qFormat/>
    <w:uiPriority w:val="0"/>
    <w:rPr>
      <w:rFonts w:ascii="宋体" w:hAnsi="宋体"/>
      <w:kern w:val="2"/>
      <w:sz w:val="24"/>
      <w:szCs w:val="28"/>
      <w:lang w:eastAsia="ar-SA"/>
    </w:rPr>
  </w:style>
  <w:style w:type="character" w:customStyle="1" w:styleId="55">
    <w:name w:val="标题 6 字符"/>
    <w:link w:val="8"/>
    <w:qFormat/>
    <w:uiPriority w:val="0"/>
    <w:rPr>
      <w:rFonts w:ascii="Arial" w:hAnsi="Arial" w:eastAsia="黑体"/>
      <w:b/>
      <w:bCs/>
      <w:kern w:val="2"/>
      <w:sz w:val="24"/>
      <w:szCs w:val="24"/>
    </w:rPr>
  </w:style>
  <w:style w:type="character" w:customStyle="1" w:styleId="56">
    <w:name w:val="标题 3 字符"/>
    <w:link w:val="5"/>
    <w:qFormat/>
    <w:uiPriority w:val="0"/>
    <w:rPr>
      <w:rFonts w:ascii="宋体"/>
      <w:b/>
      <w:sz w:val="24"/>
      <w:u w:val="single"/>
    </w:rPr>
  </w:style>
  <w:style w:type="character" w:customStyle="1" w:styleId="57">
    <w:name w:val="批注文字 Char"/>
    <w:qFormat/>
    <w:uiPriority w:val="99"/>
    <w:rPr>
      <w:rFonts w:ascii="Times New Roman" w:hAnsi="Times New Roman"/>
      <w:kern w:val="2"/>
      <w:sz w:val="24"/>
      <w:szCs w:val="24"/>
    </w:rPr>
  </w:style>
  <w:style w:type="character" w:customStyle="1" w:styleId="58">
    <w:name w:val="HTML 预设格式 Char1"/>
    <w:qFormat/>
    <w:uiPriority w:val="99"/>
    <w:rPr>
      <w:rFonts w:ascii="Courier New" w:hAnsi="Courier New" w:cs="Courier New"/>
      <w:kern w:val="2"/>
    </w:rPr>
  </w:style>
  <w:style w:type="character" w:customStyle="1" w:styleId="59">
    <w:name w:val="style41"/>
    <w:qFormat/>
    <w:uiPriority w:val="0"/>
    <w:rPr>
      <w:sz w:val="23"/>
      <w:szCs w:val="23"/>
    </w:rPr>
  </w:style>
  <w:style w:type="character" w:customStyle="1" w:styleId="60">
    <w:name w:val="标题 2 字符"/>
    <w:link w:val="3"/>
    <w:qFormat/>
    <w:locked/>
    <w:uiPriority w:val="0"/>
    <w:rPr>
      <w:rFonts w:ascii="Arial" w:hAnsi="Arial" w:eastAsia="黑体"/>
      <w:b/>
      <w:sz w:val="30"/>
      <w:lang w:val="en-US" w:eastAsia="zh-CN" w:bidi="ar-SA"/>
    </w:rPr>
  </w:style>
  <w:style w:type="character" w:customStyle="1" w:styleId="61">
    <w:name w:val="日期 字符"/>
    <w:link w:val="22"/>
    <w:qFormat/>
    <w:uiPriority w:val="0"/>
    <w:rPr>
      <w:kern w:val="2"/>
      <w:sz w:val="21"/>
      <w:szCs w:val="24"/>
    </w:rPr>
  </w:style>
  <w:style w:type="character" w:customStyle="1" w:styleId="62">
    <w:name w:val="批注框文本 字符"/>
    <w:link w:val="24"/>
    <w:qFormat/>
    <w:uiPriority w:val="0"/>
    <w:rPr>
      <w:kern w:val="2"/>
      <w:sz w:val="18"/>
      <w:szCs w:val="18"/>
    </w:rPr>
  </w:style>
  <w:style w:type="character" w:customStyle="1" w:styleId="63">
    <w:name w:val="标题 5 字符"/>
    <w:link w:val="7"/>
    <w:qFormat/>
    <w:uiPriority w:val="0"/>
    <w:rPr>
      <w:b/>
      <w:bCs/>
      <w:kern w:val="2"/>
      <w:sz w:val="28"/>
      <w:szCs w:val="28"/>
      <w:lang w:eastAsia="ar-SA"/>
    </w:rPr>
  </w:style>
  <w:style w:type="character" w:customStyle="1" w:styleId="64">
    <w:name w:val="标题 2 Char2"/>
    <w:qFormat/>
    <w:uiPriority w:val="0"/>
    <w:rPr>
      <w:rFonts w:ascii="Arial" w:hAnsi="Arial" w:eastAsia="黑体"/>
      <w:b/>
      <w:sz w:val="30"/>
    </w:rPr>
  </w:style>
  <w:style w:type="character" w:customStyle="1" w:styleId="65">
    <w:name w:val="普通文字 Char2"/>
    <w:qFormat/>
    <w:uiPriority w:val="0"/>
    <w:rPr>
      <w:rFonts w:ascii="宋体" w:hAnsi="Courier New" w:eastAsia="宋体" w:cs="Courier New"/>
      <w:kern w:val="2"/>
      <w:sz w:val="24"/>
      <w:szCs w:val="21"/>
      <w:lang w:val="en-US" w:eastAsia="zh-CN" w:bidi="ar-SA"/>
    </w:rPr>
  </w:style>
  <w:style w:type="character" w:customStyle="1" w:styleId="66">
    <w:name w:val="正文缩进 Char2"/>
    <w:qFormat/>
    <w:uiPriority w:val="0"/>
    <w:rPr>
      <w:rFonts w:ascii="宋体"/>
      <w:sz w:val="24"/>
    </w:rPr>
  </w:style>
  <w:style w:type="character" w:customStyle="1" w:styleId="67">
    <w:name w:val="WW-默认段落字体"/>
    <w:qFormat/>
    <w:uiPriority w:val="0"/>
  </w:style>
  <w:style w:type="character" w:customStyle="1" w:styleId="68">
    <w:name w:val="页眉 Char1"/>
    <w:semiHidden/>
    <w:qFormat/>
    <w:uiPriority w:val="99"/>
    <w:rPr>
      <w:rFonts w:ascii="Times New Roman" w:hAnsi="Times New Roman"/>
      <w:kern w:val="2"/>
      <w:sz w:val="18"/>
      <w:szCs w:val="18"/>
    </w:rPr>
  </w:style>
  <w:style w:type="character" w:customStyle="1" w:styleId="69">
    <w:name w:val="列表段落 字符"/>
    <w:link w:val="70"/>
    <w:qFormat/>
    <w:uiPriority w:val="34"/>
    <w:rPr>
      <w:kern w:val="2"/>
      <w:sz w:val="24"/>
      <w:szCs w:val="24"/>
    </w:rPr>
  </w:style>
  <w:style w:type="paragraph" w:styleId="70">
    <w:name w:val="List Paragraph"/>
    <w:basedOn w:val="1"/>
    <w:link w:val="69"/>
    <w:qFormat/>
    <w:uiPriority w:val="99"/>
    <w:pPr>
      <w:spacing w:line="360" w:lineRule="auto"/>
      <w:ind w:firstLine="420" w:firstLineChars="200"/>
    </w:pPr>
    <w:rPr>
      <w:sz w:val="24"/>
    </w:rPr>
  </w:style>
  <w:style w:type="character" w:customStyle="1" w:styleId="71">
    <w:name w:val="标题 Char1"/>
    <w:qFormat/>
    <w:uiPriority w:val="10"/>
    <w:rPr>
      <w:rFonts w:ascii="Cambria" w:hAnsi="Cambria" w:cs="Times New Roman"/>
      <w:b/>
      <w:bCs/>
      <w:kern w:val="2"/>
      <w:sz w:val="32"/>
      <w:szCs w:val="32"/>
    </w:rPr>
  </w:style>
  <w:style w:type="character" w:customStyle="1" w:styleId="72">
    <w:name w:val="HTML 预设格式 字符"/>
    <w:link w:val="33"/>
    <w:qFormat/>
    <w:uiPriority w:val="99"/>
    <w:rPr>
      <w:rFonts w:ascii="Arial" w:hAnsi="Arial" w:cs="Arial"/>
      <w:sz w:val="24"/>
      <w:szCs w:val="24"/>
    </w:rPr>
  </w:style>
  <w:style w:type="character" w:customStyle="1" w:styleId="73">
    <w:name w:val="标题 8 字符"/>
    <w:link w:val="10"/>
    <w:qFormat/>
    <w:uiPriority w:val="0"/>
    <w:rPr>
      <w:rFonts w:ascii="Arial" w:hAnsi="Arial" w:eastAsia="黑体"/>
      <w:bCs/>
      <w:kern w:val="44"/>
      <w:sz w:val="24"/>
      <w:szCs w:val="28"/>
    </w:rPr>
  </w:style>
  <w:style w:type="character" w:customStyle="1" w:styleId="74">
    <w:name w:val="普通文字 Char3"/>
    <w:qFormat/>
    <w:uiPriority w:val="0"/>
    <w:rPr>
      <w:rFonts w:ascii="宋体" w:hAnsi="Courier New"/>
      <w:kern w:val="2"/>
      <w:sz w:val="21"/>
    </w:rPr>
  </w:style>
  <w:style w:type="character" w:customStyle="1" w:styleId="75">
    <w:name w:val="批注主题 字符"/>
    <w:link w:val="37"/>
    <w:qFormat/>
    <w:uiPriority w:val="0"/>
    <w:rPr>
      <w:b/>
      <w:bCs/>
      <w:kern w:val="2"/>
      <w:sz w:val="21"/>
      <w:szCs w:val="24"/>
    </w:rPr>
  </w:style>
  <w:style w:type="character" w:customStyle="1" w:styleId="76">
    <w:name w:val="纯文本 Char1"/>
    <w:qFormat/>
    <w:uiPriority w:val="99"/>
    <w:rPr>
      <w:rFonts w:ascii="宋体" w:hAnsi="Courier New"/>
      <w:kern w:val="2"/>
      <w:sz w:val="21"/>
    </w:rPr>
  </w:style>
  <w:style w:type="character" w:customStyle="1" w:styleId="77">
    <w:name w:val="text"/>
    <w:qFormat/>
    <w:uiPriority w:val="99"/>
    <w:rPr>
      <w:rFonts w:hint="default" w:ascii="Times New Roman" w:hAnsi="Times New Roman" w:cs="Times New Roman"/>
    </w:rPr>
  </w:style>
  <w:style w:type="character" w:customStyle="1" w:styleId="78">
    <w:name w:val="页脚 Char1"/>
    <w:semiHidden/>
    <w:qFormat/>
    <w:uiPriority w:val="99"/>
    <w:rPr>
      <w:rFonts w:ascii="Times New Roman" w:hAnsi="Times New Roman"/>
      <w:kern w:val="2"/>
      <w:sz w:val="18"/>
      <w:szCs w:val="18"/>
    </w:rPr>
  </w:style>
  <w:style w:type="character" w:customStyle="1" w:styleId="79">
    <w:name w:val="批注框文本 Char1"/>
    <w:semiHidden/>
    <w:qFormat/>
    <w:uiPriority w:val="99"/>
    <w:rPr>
      <w:rFonts w:ascii="Times New Roman" w:hAnsi="Times New Roman"/>
      <w:kern w:val="2"/>
      <w:sz w:val="18"/>
      <w:szCs w:val="18"/>
    </w:rPr>
  </w:style>
  <w:style w:type="character" w:customStyle="1" w:styleId="80">
    <w:name w:val="msonormal"/>
    <w:qFormat/>
    <w:uiPriority w:val="0"/>
    <w:rPr>
      <w:rFonts w:ascii="Tahoma" w:hAnsi="Tahoma" w:eastAsia="仿宋_GB2312"/>
      <w:kern w:val="2"/>
      <w:sz w:val="24"/>
      <w:lang w:val="en-US" w:eastAsia="ar-SA" w:bidi="ar-SA"/>
    </w:rPr>
  </w:style>
  <w:style w:type="character" w:customStyle="1" w:styleId="81">
    <w:name w:val="页脚 字符"/>
    <w:link w:val="25"/>
    <w:qFormat/>
    <w:uiPriority w:val="99"/>
    <w:rPr>
      <w:rFonts w:ascii="宋体"/>
      <w:sz w:val="18"/>
    </w:rPr>
  </w:style>
  <w:style w:type="character" w:customStyle="1" w:styleId="82">
    <w:name w:val="页眉 字符"/>
    <w:link w:val="26"/>
    <w:qFormat/>
    <w:uiPriority w:val="0"/>
    <w:rPr>
      <w:kern w:val="2"/>
      <w:sz w:val="18"/>
      <w:szCs w:val="18"/>
    </w:rPr>
  </w:style>
  <w:style w:type="character" w:customStyle="1" w:styleId="83">
    <w:name w:val="文档结构图 Char1"/>
    <w:semiHidden/>
    <w:qFormat/>
    <w:uiPriority w:val="99"/>
    <w:rPr>
      <w:rFonts w:ascii="宋体" w:hAnsi="Times New Roman"/>
      <w:kern w:val="2"/>
      <w:sz w:val="18"/>
      <w:szCs w:val="18"/>
    </w:rPr>
  </w:style>
  <w:style w:type="character" w:customStyle="1" w:styleId="84">
    <w:name w:val="正文文本 字符"/>
    <w:link w:val="16"/>
    <w:qFormat/>
    <w:uiPriority w:val="0"/>
    <w:rPr>
      <w:rFonts w:ascii="宋体" w:hAnsi="宋体"/>
      <w:kern w:val="2"/>
      <w:sz w:val="24"/>
      <w:szCs w:val="24"/>
    </w:rPr>
  </w:style>
  <w:style w:type="character" w:customStyle="1" w:styleId="85">
    <w:name w:val="正文文本缩进 2 字符"/>
    <w:link w:val="23"/>
    <w:qFormat/>
    <w:uiPriority w:val="99"/>
    <w:rPr>
      <w:rFonts w:ascii="仿宋_GB2312" w:eastAsia="仿宋_GB2312"/>
      <w:kern w:val="2"/>
      <w:sz w:val="24"/>
      <w:szCs w:val="24"/>
    </w:rPr>
  </w:style>
  <w:style w:type="character" w:customStyle="1" w:styleId="86">
    <w:name w:val="日期 Char1"/>
    <w:semiHidden/>
    <w:qFormat/>
    <w:uiPriority w:val="99"/>
    <w:rPr>
      <w:rFonts w:ascii="Times New Roman" w:hAnsi="Times New Roman"/>
      <w:kern w:val="2"/>
      <w:sz w:val="24"/>
      <w:szCs w:val="24"/>
    </w:rPr>
  </w:style>
  <w:style w:type="character" w:customStyle="1" w:styleId="87">
    <w:name w:val="标题 1 字符"/>
    <w:link w:val="2"/>
    <w:qFormat/>
    <w:uiPriority w:val="0"/>
    <w:rPr>
      <w:rFonts w:ascii="宋体"/>
      <w:b/>
      <w:kern w:val="44"/>
      <w:sz w:val="32"/>
    </w:rPr>
  </w:style>
  <w:style w:type="character" w:customStyle="1" w:styleId="88">
    <w:name w:val="标题 7 字符"/>
    <w:link w:val="9"/>
    <w:qFormat/>
    <w:uiPriority w:val="0"/>
    <w:rPr>
      <w:b/>
      <w:bCs/>
      <w:kern w:val="2"/>
      <w:sz w:val="24"/>
      <w:szCs w:val="24"/>
    </w:rPr>
  </w:style>
  <w:style w:type="character" w:customStyle="1" w:styleId="89">
    <w:name w:val="标题 1 Char2"/>
    <w:qFormat/>
    <w:uiPriority w:val="9"/>
    <w:rPr>
      <w:rFonts w:ascii="宋体"/>
      <w:b/>
      <w:kern w:val="44"/>
      <w:sz w:val="32"/>
    </w:rPr>
  </w:style>
  <w:style w:type="character" w:customStyle="1" w:styleId="90">
    <w:name w:val="正文缩进 字符2"/>
    <w:link w:val="4"/>
    <w:qFormat/>
    <w:uiPriority w:val="0"/>
    <w:rPr>
      <w:rFonts w:ascii="宋体"/>
      <w:sz w:val="24"/>
    </w:rPr>
  </w:style>
  <w:style w:type="character" w:customStyle="1" w:styleId="91">
    <w:name w:val="标题 字符"/>
    <w:link w:val="36"/>
    <w:qFormat/>
    <w:uiPriority w:val="10"/>
    <w:rPr>
      <w:rFonts w:ascii="Cambria" w:hAnsi="Cambria"/>
      <w:b/>
      <w:bCs/>
      <w:kern w:val="2"/>
      <w:sz w:val="32"/>
      <w:szCs w:val="32"/>
    </w:rPr>
  </w:style>
  <w:style w:type="character" w:customStyle="1" w:styleId="92">
    <w:name w:val="标题 3 Char"/>
    <w:qFormat/>
    <w:uiPriority w:val="0"/>
    <w:rPr>
      <w:rFonts w:eastAsia="宋体"/>
      <w:b/>
      <w:bCs/>
      <w:kern w:val="2"/>
      <w:sz w:val="32"/>
      <w:szCs w:val="32"/>
      <w:lang w:val="en-US" w:eastAsia="ar-SA" w:bidi="ar-SA"/>
    </w:rPr>
  </w:style>
  <w:style w:type="paragraph" w:customStyle="1" w:styleId="93">
    <w:name w:val="1."/>
    <w:basedOn w:val="1"/>
    <w:qFormat/>
    <w:uiPriority w:val="0"/>
    <w:pPr>
      <w:spacing w:line="360" w:lineRule="auto"/>
    </w:pPr>
    <w:rPr>
      <w:sz w:val="24"/>
    </w:rPr>
  </w:style>
  <w:style w:type="paragraph" w:customStyle="1" w:styleId="94">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kern w:val="0"/>
      <w:sz w:val="32"/>
      <w:szCs w:val="32"/>
    </w:rPr>
  </w:style>
  <w:style w:type="paragraph" w:customStyle="1" w:styleId="9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96">
    <w:name w:val="Char3 Char Char Char"/>
    <w:basedOn w:val="1"/>
    <w:qFormat/>
    <w:uiPriority w:val="0"/>
    <w:rPr>
      <w:rFonts w:ascii="Tahoma" w:hAnsi="Tahoma"/>
      <w:sz w:val="24"/>
      <w:szCs w:val="20"/>
    </w:rPr>
  </w:style>
  <w:style w:type="paragraph" w:customStyle="1" w:styleId="97">
    <w:name w:val="xl11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98">
    <w:name w:val="封面居中1"/>
    <w:basedOn w:val="1"/>
    <w:qFormat/>
    <w:uiPriority w:val="0"/>
    <w:pPr>
      <w:spacing w:line="360" w:lineRule="auto"/>
      <w:ind w:firstLine="883" w:firstLineChars="200"/>
      <w:jc w:val="center"/>
    </w:pPr>
    <w:rPr>
      <w:rFonts w:eastAsia="黑体"/>
      <w:b/>
      <w:sz w:val="44"/>
    </w:rPr>
  </w:style>
  <w:style w:type="paragraph" w:customStyle="1" w:styleId="99">
    <w:name w:val="xl8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00">
    <w:name w:val="xl112"/>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01">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02">
    <w:name w:val="xl23"/>
    <w:basedOn w:val="1"/>
    <w:qFormat/>
    <w:uiPriority w:val="0"/>
    <w:pPr>
      <w:widowControl/>
      <w:spacing w:before="100" w:beforeAutospacing="1" w:after="100" w:afterAutospacing="1" w:line="360" w:lineRule="auto"/>
    </w:pPr>
    <w:rPr>
      <w:kern w:val="0"/>
      <w:sz w:val="24"/>
    </w:rPr>
  </w:style>
  <w:style w:type="paragraph" w:customStyle="1" w:styleId="103">
    <w:name w:val="Char Char Char"/>
    <w:basedOn w:val="1"/>
    <w:qFormat/>
    <w:uiPriority w:val="0"/>
    <w:rPr>
      <w:rFonts w:ascii="Tahoma" w:hAnsi="Tahoma"/>
      <w:sz w:val="24"/>
      <w:szCs w:val="20"/>
    </w:rPr>
  </w:style>
  <w:style w:type="paragraph" w:customStyle="1" w:styleId="104">
    <w:name w:val="font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05">
    <w:name w:val="文档正文"/>
    <w:basedOn w:val="1"/>
    <w:qFormat/>
    <w:uiPriority w:val="0"/>
    <w:pPr>
      <w:suppressAutoHyphens/>
      <w:spacing w:line="360" w:lineRule="auto"/>
      <w:ind w:firstLine="560"/>
      <w:jc w:val="left"/>
    </w:pPr>
    <w:rPr>
      <w:rFonts w:eastAsia="仿宋_GB2312"/>
      <w:sz w:val="28"/>
      <w:szCs w:val="20"/>
      <w:lang w:eastAsia="ar-SA"/>
    </w:rPr>
  </w:style>
  <w:style w:type="paragraph" w:customStyle="1" w:styleId="106">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07">
    <w:name w:val="1)"/>
    <w:basedOn w:val="1"/>
    <w:qFormat/>
    <w:uiPriority w:val="0"/>
    <w:pPr>
      <w:tabs>
        <w:tab w:val="left" w:pos="964"/>
      </w:tabs>
      <w:spacing w:line="360" w:lineRule="auto"/>
      <w:ind w:left="964" w:hanging="482"/>
    </w:pPr>
    <w:rPr>
      <w:sz w:val="24"/>
    </w:rPr>
  </w:style>
  <w:style w:type="paragraph" w:customStyle="1" w:styleId="108">
    <w:name w:val="Char Char5 Char Char"/>
    <w:basedOn w:val="1"/>
    <w:qFormat/>
    <w:uiPriority w:val="0"/>
    <w:pPr>
      <w:widowControl/>
      <w:spacing w:after="160" w:line="240" w:lineRule="exact"/>
      <w:jc w:val="left"/>
    </w:pPr>
    <w:rPr>
      <w:rFonts w:ascii="Tahoma" w:hAnsi="Tahoma" w:eastAsia="Times New Roman"/>
      <w:kern w:val="0"/>
      <w:sz w:val="28"/>
      <w:lang w:eastAsia="en-US"/>
    </w:rPr>
  </w:style>
  <w:style w:type="paragraph" w:customStyle="1" w:styleId="109">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仿宋_GB2312" w:hAnsi="宋体" w:eastAsia="仿宋_GB2312" w:cs="宋体"/>
      <w:b/>
      <w:bCs/>
      <w:kern w:val="0"/>
      <w:sz w:val="24"/>
    </w:rPr>
  </w:style>
  <w:style w:type="paragraph" w:customStyle="1" w:styleId="110">
    <w:name w:val="编号1"/>
    <w:basedOn w:val="1"/>
    <w:qFormat/>
    <w:uiPriority w:val="0"/>
    <w:pPr>
      <w:numPr>
        <w:ilvl w:val="0"/>
        <w:numId w:val="2"/>
      </w:numPr>
      <w:tabs>
        <w:tab w:val="left" w:pos="420"/>
        <w:tab w:val="clear" w:pos="900"/>
      </w:tabs>
      <w:spacing w:line="360" w:lineRule="auto"/>
      <w:ind w:left="520" w:leftChars="100" w:firstLine="200" w:firstLineChars="200"/>
      <w:jc w:val="left"/>
    </w:pPr>
    <w:rPr>
      <w:sz w:val="24"/>
    </w:rPr>
  </w:style>
  <w:style w:type="paragraph" w:customStyle="1" w:styleId="11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2">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113">
    <w:name w:val="默认段落字体 Para Char Char Char Char Char Char Char"/>
    <w:basedOn w:val="14"/>
    <w:qFormat/>
    <w:uiPriority w:val="0"/>
    <w:pPr>
      <w:adjustRightInd w:val="0"/>
      <w:spacing w:line="436" w:lineRule="exact"/>
      <w:ind w:left="357"/>
      <w:jc w:val="left"/>
      <w:outlineLvl w:val="3"/>
    </w:pPr>
    <w:rPr>
      <w:rFonts w:eastAsia="Times New Roman"/>
      <w:kern w:val="0"/>
      <w:sz w:val="20"/>
      <w:szCs w:val="20"/>
    </w:rPr>
  </w:style>
  <w:style w:type="paragraph" w:customStyle="1" w:styleId="114">
    <w:name w:val="Char1 Char Char Char"/>
    <w:basedOn w:val="1"/>
    <w:qFormat/>
    <w:uiPriority w:val="0"/>
    <w:rPr>
      <w:rFonts w:ascii="Tahoma" w:hAnsi="Tahoma"/>
      <w:sz w:val="24"/>
      <w:szCs w:val="20"/>
    </w:rPr>
  </w:style>
  <w:style w:type="paragraph" w:customStyle="1" w:styleId="115">
    <w:name w:val="Char Char"/>
    <w:basedOn w:val="1"/>
    <w:qFormat/>
    <w:uiPriority w:val="0"/>
    <w:pPr>
      <w:widowControl/>
      <w:spacing w:after="160" w:line="240" w:lineRule="exact"/>
      <w:ind w:firstLine="480" w:firstLineChars="200"/>
      <w:jc w:val="left"/>
    </w:pPr>
    <w:rPr>
      <w:rFonts w:ascii="Verdana" w:hAnsi="Verdana" w:eastAsia="仿宋_GB2312"/>
      <w:kern w:val="0"/>
      <w:sz w:val="24"/>
      <w:szCs w:val="20"/>
      <w:lang w:eastAsia="en-US"/>
    </w:rPr>
  </w:style>
  <w:style w:type="paragraph" w:customStyle="1" w:styleId="116">
    <w:name w:val="_Style 140"/>
    <w:basedOn w:val="1"/>
    <w:next w:val="70"/>
    <w:qFormat/>
    <w:uiPriority w:val="0"/>
    <w:pPr>
      <w:ind w:firstLine="200" w:firstLineChars="200"/>
    </w:pPr>
    <w:rPr>
      <w:rFonts w:ascii="Calibri" w:hAnsi="Calibri"/>
      <w:szCs w:val="22"/>
    </w:rPr>
  </w:style>
  <w:style w:type="paragraph" w:customStyle="1" w:styleId="117">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18">
    <w:name w:val="xl80"/>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19">
    <w:name w:val="Char2"/>
    <w:basedOn w:val="1"/>
    <w:qFormat/>
    <w:uiPriority w:val="0"/>
    <w:rPr>
      <w:rFonts w:ascii="Tahoma" w:hAnsi="Tahoma"/>
      <w:sz w:val="24"/>
      <w:szCs w:val="20"/>
    </w:rPr>
  </w:style>
  <w:style w:type="paragraph" w:customStyle="1" w:styleId="120">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b/>
      <w:bCs/>
      <w:kern w:val="0"/>
      <w:sz w:val="24"/>
    </w:rPr>
  </w:style>
  <w:style w:type="paragraph" w:customStyle="1" w:styleId="121">
    <w:name w:val="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2">
    <w:name w:val="xl11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23">
    <w:name w:val="xl110"/>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kern w:val="0"/>
      <w:sz w:val="24"/>
    </w:rPr>
  </w:style>
  <w:style w:type="paragraph" w:customStyle="1" w:styleId="12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25">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126">
    <w:name w:val="默认段落字体 Para Char"/>
    <w:basedOn w:val="1"/>
    <w:qFormat/>
    <w:uiPriority w:val="0"/>
    <w:pPr>
      <w:jc w:val="left"/>
    </w:pPr>
    <w:rPr>
      <w:szCs w:val="20"/>
    </w:rPr>
  </w:style>
  <w:style w:type="paragraph" w:customStyle="1" w:styleId="127">
    <w:name w:val="封面居中2"/>
    <w:basedOn w:val="98"/>
    <w:qFormat/>
    <w:uiPriority w:val="0"/>
    <w:rPr>
      <w:sz w:val="32"/>
    </w:rPr>
  </w:style>
  <w:style w:type="paragraph" w:customStyle="1" w:styleId="128">
    <w:name w:val="表居中"/>
    <w:basedOn w:val="1"/>
    <w:qFormat/>
    <w:uiPriority w:val="0"/>
    <w:pPr>
      <w:spacing w:line="360" w:lineRule="auto"/>
      <w:ind w:firstLine="480" w:firstLineChars="200"/>
      <w:jc w:val="center"/>
    </w:pPr>
    <w:rPr>
      <w:szCs w:val="44"/>
    </w:rPr>
  </w:style>
  <w:style w:type="paragraph" w:customStyle="1" w:styleId="129">
    <w:name w:val="样式 正文缩进 + 首行缩进:  2.06 字符"/>
    <w:basedOn w:val="4"/>
    <w:qFormat/>
    <w:uiPriority w:val="0"/>
    <w:pPr>
      <w:autoSpaceDE/>
      <w:autoSpaceDN/>
      <w:adjustRightInd/>
      <w:spacing w:line="360" w:lineRule="auto"/>
      <w:ind w:right="31" w:rightChars="15" w:firstLine="433" w:firstLineChars="206"/>
      <w:jc w:val="both"/>
    </w:pPr>
    <w:rPr>
      <w:rFonts w:hAnsi="宋体" w:cs="宋体"/>
      <w:kern w:val="2"/>
    </w:rPr>
  </w:style>
  <w:style w:type="paragraph" w:customStyle="1" w:styleId="13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32">
    <w:name w:val="font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3">
    <w:name w:val="Char Char1"/>
    <w:basedOn w:val="14"/>
    <w:qFormat/>
    <w:uiPriority w:val="0"/>
    <w:rPr>
      <w:rFonts w:ascii="Tahoma" w:hAnsi="Tahoma"/>
      <w:sz w:val="24"/>
    </w:rPr>
  </w:style>
  <w:style w:type="paragraph" w:customStyle="1" w:styleId="134">
    <w:name w:val="Char Char Char1 Char Char Char Char"/>
    <w:basedOn w:val="1"/>
    <w:qFormat/>
    <w:uiPriority w:val="0"/>
    <w:rPr>
      <w:rFonts w:ascii="Tahoma" w:hAnsi="Tahoma"/>
      <w:sz w:val="24"/>
      <w:szCs w:val="20"/>
    </w:rPr>
  </w:style>
  <w:style w:type="paragraph" w:customStyle="1" w:styleId="135">
    <w:name w:val="Char Char Char Char Char Char1 Char Char Char Char Char Char Char"/>
    <w:basedOn w:val="1"/>
    <w:qFormat/>
    <w:uiPriority w:val="0"/>
    <w:pPr>
      <w:ind w:firstLine="480" w:firstLineChars="200"/>
      <w:jc w:val="left"/>
    </w:pPr>
    <w:rPr>
      <w:rFonts w:ascii="Tahoma" w:hAnsi="Tahoma"/>
      <w:sz w:val="24"/>
      <w:szCs w:val="20"/>
    </w:rPr>
  </w:style>
  <w:style w:type="paragraph" w:customStyle="1" w:styleId="136">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37">
    <w:name w:val="缩进正文"/>
    <w:basedOn w:val="1"/>
    <w:qFormat/>
    <w:uiPriority w:val="0"/>
    <w:pPr>
      <w:spacing w:line="360" w:lineRule="auto"/>
      <w:ind w:firstLine="480" w:firstLineChars="200"/>
      <w:jc w:val="left"/>
    </w:pPr>
    <w:rPr>
      <w:sz w:val="24"/>
    </w:rPr>
  </w:style>
  <w:style w:type="paragraph" w:customStyle="1" w:styleId="13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39">
    <w:name w:val="xl94"/>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0">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41">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42">
    <w:name w:val="Char"/>
    <w:basedOn w:val="1"/>
    <w:qFormat/>
    <w:uiPriority w:val="0"/>
    <w:pPr>
      <w:widowControl/>
      <w:spacing w:after="160" w:line="240" w:lineRule="exact"/>
      <w:jc w:val="left"/>
    </w:pPr>
    <w:rPr>
      <w:rFonts w:ascii="Tahoma" w:hAnsi="Tahoma" w:eastAsia="Times New Roman"/>
      <w:kern w:val="0"/>
      <w:sz w:val="28"/>
      <w:lang w:eastAsia="en-US"/>
    </w:rPr>
  </w:style>
  <w:style w:type="paragraph" w:customStyle="1" w:styleId="143">
    <w:name w:val="Default"/>
    <w:qFormat/>
    <w:uiPriority w:val="0"/>
    <w:pPr>
      <w:widowControl w:val="0"/>
      <w:autoSpaceDE w:val="0"/>
      <w:autoSpaceDN w:val="0"/>
      <w:adjustRightInd w:val="0"/>
    </w:pPr>
    <w:rPr>
      <w:rFonts w:ascii="Arial Unicode MS" w:hAnsi="Times New Roman" w:eastAsia="Arial Unicode MS" w:cs="Arial Unicode MS"/>
      <w:color w:val="000000"/>
      <w:sz w:val="24"/>
      <w:szCs w:val="24"/>
      <w:lang w:val="en-US" w:eastAsia="zh-CN" w:bidi="ar-SA"/>
    </w:rPr>
  </w:style>
  <w:style w:type="paragraph" w:customStyle="1" w:styleId="144">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145">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46">
    <w:name w:val="WW-正文文本缩进 3"/>
    <w:basedOn w:val="1"/>
    <w:qFormat/>
    <w:uiPriority w:val="0"/>
    <w:pPr>
      <w:suppressAutoHyphens/>
      <w:spacing w:line="360" w:lineRule="auto"/>
      <w:ind w:left="2" w:firstLine="482"/>
    </w:pPr>
    <w:rPr>
      <w:rFonts w:hint="eastAsia" w:ascii="宋体" w:hAnsi="宋体"/>
      <w:sz w:val="24"/>
      <w:lang w:val="zh-CN" w:eastAsia="ar-SA"/>
    </w:rPr>
  </w:style>
  <w:style w:type="paragraph" w:customStyle="1" w:styleId="147">
    <w:name w:val="xl97"/>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48">
    <w:name w:val="xl75"/>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49">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kern w:val="0"/>
      <w:sz w:val="32"/>
      <w:szCs w:val="32"/>
    </w:rPr>
  </w:style>
  <w:style w:type="paragraph" w:customStyle="1" w:styleId="150">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51">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52">
    <w:name w:val="编号2"/>
    <w:basedOn w:val="110"/>
    <w:qFormat/>
    <w:uiPriority w:val="0"/>
    <w:pPr>
      <w:numPr>
        <w:numId w:val="3"/>
      </w:numPr>
      <w:tabs>
        <w:tab w:val="left" w:pos="480"/>
        <w:tab w:val="left" w:pos="840"/>
        <w:tab w:val="clear" w:pos="420"/>
      </w:tabs>
      <w:ind w:left="620" w:leftChars="200"/>
    </w:pPr>
  </w:style>
  <w:style w:type="paragraph" w:customStyle="1" w:styleId="153">
    <w:name w:val="样式1"/>
    <w:basedOn w:val="20"/>
    <w:qFormat/>
    <w:uiPriority w:val="0"/>
    <w:pPr>
      <w:widowControl/>
      <w:spacing w:before="100" w:beforeAutospacing="1" w:after="100" w:afterAutospacing="1" w:line="0" w:lineRule="atLeast"/>
      <w:ind w:firstLine="480"/>
      <w:jc w:val="center"/>
      <w:outlineLvl w:val="0"/>
    </w:pPr>
    <w:rPr>
      <w:rFonts w:ascii="黑体" w:hAnsi="宋体" w:eastAsia="黑体"/>
      <w:kern w:val="0"/>
      <w:sz w:val="32"/>
    </w:rPr>
  </w:style>
  <w:style w:type="paragraph" w:customStyle="1" w:styleId="154">
    <w:name w:val="_Style 1"/>
    <w:basedOn w:val="1"/>
    <w:qFormat/>
    <w:uiPriority w:val="0"/>
    <w:pPr>
      <w:ind w:firstLine="420" w:firstLineChars="200"/>
    </w:pPr>
    <w:rPr>
      <w:rFonts w:ascii="Calibri" w:hAnsi="Calibri"/>
      <w:kern w:val="0"/>
      <w:szCs w:val="22"/>
    </w:rPr>
  </w:style>
  <w:style w:type="paragraph" w:customStyle="1" w:styleId="155">
    <w:name w:val="xl103"/>
    <w:basedOn w:val="1"/>
    <w:qFormat/>
    <w:uiPriority w:val="0"/>
    <w:pPr>
      <w:widowControl/>
      <w:pBdr>
        <w:left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156">
    <w:name w:val="xl109"/>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仿宋_GB2312" w:hAnsi="宋体" w:eastAsia="仿宋_GB2312" w:cs="宋体"/>
      <w:b/>
      <w:bCs/>
      <w:kern w:val="0"/>
      <w:sz w:val="24"/>
    </w:rPr>
  </w:style>
  <w:style w:type="paragraph" w:customStyle="1" w:styleId="157">
    <w:name w:val="样式 缩进正文 + 首行缩进:  2 字符"/>
    <w:basedOn w:val="137"/>
    <w:qFormat/>
    <w:uiPriority w:val="0"/>
    <w:rPr>
      <w:rFonts w:cs="宋体"/>
      <w:szCs w:val="20"/>
    </w:rPr>
  </w:style>
  <w:style w:type="paragraph" w:customStyle="1" w:styleId="158">
    <w:name w:val="xl78"/>
    <w:basedOn w:val="1"/>
    <w:qFormat/>
    <w:uiPriority w:val="0"/>
    <w:pPr>
      <w:widowControl/>
      <w:pBdr>
        <w:top w:val="single" w:color="auto" w:sz="4" w:space="0"/>
        <w:bottom w:val="single" w:color="auto" w:sz="4" w:space="0"/>
      </w:pBdr>
      <w:spacing w:before="100" w:beforeAutospacing="1" w:after="100" w:afterAutospacing="1"/>
      <w:jc w:val="center"/>
    </w:pPr>
    <w:rPr>
      <w:rFonts w:ascii="黑体" w:hAnsi="宋体" w:eastAsia="黑体" w:cs="宋体"/>
      <w:kern w:val="0"/>
      <w:sz w:val="32"/>
      <w:szCs w:val="32"/>
    </w:rPr>
  </w:style>
  <w:style w:type="paragraph" w:customStyle="1" w:styleId="159">
    <w:name w:val="xl82"/>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0">
    <w:name w:val="xl7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1">
    <w:name w:val="xl9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62">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jc w:val="left"/>
    </w:pPr>
    <w:rPr>
      <w:rFonts w:ascii="Courier New" w:hAnsi="Courier New" w:cs="Courier New"/>
      <w:kern w:val="1"/>
      <w:sz w:val="20"/>
      <w:szCs w:val="20"/>
    </w:rPr>
  </w:style>
  <w:style w:type="paragraph" w:customStyle="1" w:styleId="16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6">
    <w:name w:val="Char3 Char Char Char1"/>
    <w:basedOn w:val="1"/>
    <w:qFormat/>
    <w:uiPriority w:val="0"/>
    <w:rPr>
      <w:rFonts w:ascii="Tahoma" w:hAnsi="Tahoma"/>
      <w:sz w:val="24"/>
      <w:szCs w:val="20"/>
    </w:rPr>
  </w:style>
  <w:style w:type="paragraph" w:customStyle="1" w:styleId="167">
    <w:name w:val="xl81"/>
    <w:basedOn w:val="1"/>
    <w:qFormat/>
    <w:uiPriority w:val="0"/>
    <w:pPr>
      <w:widowControl/>
      <w:pBdr>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8">
    <w:name w:val="xl66"/>
    <w:basedOn w:val="1"/>
    <w:qFormat/>
    <w:uiPriority w:val="0"/>
    <w:pPr>
      <w:widowControl/>
      <w:spacing w:before="100" w:beforeAutospacing="1" w:after="100" w:afterAutospacing="1"/>
      <w:jc w:val="right"/>
    </w:pPr>
    <w:rPr>
      <w:rFonts w:ascii="宋体" w:hAnsi="宋体" w:cs="宋体"/>
      <w:kern w:val="0"/>
      <w:sz w:val="24"/>
    </w:rPr>
  </w:style>
  <w:style w:type="paragraph" w:customStyle="1" w:styleId="16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0">
    <w:name w:val="xl6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71">
    <w:name w:val="编号4"/>
    <w:basedOn w:val="172"/>
    <w:qFormat/>
    <w:uiPriority w:val="0"/>
    <w:pPr>
      <w:numPr>
        <w:numId w:val="4"/>
      </w:numPr>
      <w:tabs>
        <w:tab w:val="left" w:pos="60"/>
        <w:tab w:val="left" w:pos="360"/>
        <w:tab w:val="left" w:pos="480"/>
        <w:tab w:val="left" w:pos="1223"/>
      </w:tabs>
      <w:ind w:left="920" w:leftChars="500"/>
    </w:pPr>
  </w:style>
  <w:style w:type="paragraph" w:customStyle="1" w:styleId="172">
    <w:name w:val="编号3"/>
    <w:basedOn w:val="152"/>
    <w:qFormat/>
    <w:uiPriority w:val="0"/>
    <w:pPr>
      <w:numPr>
        <w:numId w:val="5"/>
      </w:numPr>
      <w:tabs>
        <w:tab w:val="left" w:pos="60"/>
        <w:tab w:val="clear" w:pos="840"/>
      </w:tabs>
      <w:ind w:left="960" w:leftChars="400" w:firstLine="480"/>
    </w:pPr>
  </w:style>
  <w:style w:type="paragraph" w:customStyle="1" w:styleId="173">
    <w:name w:val="xl7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4">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175">
    <w:name w:val="Char1"/>
    <w:basedOn w:val="1"/>
    <w:next w:val="1"/>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176">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8">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9">
    <w:name w:val="第一章"/>
    <w:basedOn w:val="1"/>
    <w:qFormat/>
    <w:uiPriority w:val="0"/>
    <w:pPr>
      <w:pageBreakBefore/>
      <w:spacing w:afterLines="100" w:line="360" w:lineRule="auto"/>
      <w:ind w:firstLine="200" w:firstLineChars="200"/>
      <w:jc w:val="left"/>
    </w:pPr>
    <w:rPr>
      <w:rFonts w:eastAsia="黑体"/>
      <w:b/>
      <w:sz w:val="32"/>
    </w:rPr>
  </w:style>
  <w:style w:type="paragraph" w:customStyle="1" w:styleId="180">
    <w:name w:val="表标题"/>
    <w:basedOn w:val="1"/>
    <w:next w:val="1"/>
    <w:qFormat/>
    <w:uiPriority w:val="0"/>
    <w:pPr>
      <w:tabs>
        <w:tab w:val="left" w:pos="480"/>
        <w:tab w:val="left" w:pos="720"/>
      </w:tabs>
      <w:spacing w:beforeLines="50" w:afterLines="50" w:line="312" w:lineRule="auto"/>
      <w:ind w:left="480" w:hanging="480"/>
      <w:jc w:val="center"/>
    </w:pPr>
    <w:rPr>
      <w:sz w:val="24"/>
      <w:szCs w:val="20"/>
    </w:rPr>
  </w:style>
  <w:style w:type="paragraph" w:customStyle="1" w:styleId="181">
    <w:name w:val="Char Char1 Char Char Char Char Char Char Char"/>
    <w:basedOn w:val="1"/>
    <w:qFormat/>
    <w:uiPriority w:val="0"/>
    <w:rPr>
      <w:rFonts w:ascii="Tahoma" w:hAnsi="Tahoma"/>
      <w:sz w:val="24"/>
      <w:szCs w:val="20"/>
    </w:rPr>
  </w:style>
  <w:style w:type="paragraph" w:customStyle="1" w:styleId="182">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kern w:val="0"/>
      <w:sz w:val="32"/>
      <w:szCs w:val="32"/>
    </w:rPr>
  </w:style>
  <w:style w:type="paragraph" w:customStyle="1" w:styleId="183">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84">
    <w:name w:val="xl106"/>
    <w:basedOn w:val="1"/>
    <w:qFormat/>
    <w:uiPriority w:val="0"/>
    <w:pPr>
      <w:widowControl/>
      <w:pBdr>
        <w:left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 w:val="20"/>
      <w:szCs w:val="20"/>
    </w:rPr>
  </w:style>
  <w:style w:type="paragraph" w:customStyle="1" w:styleId="185">
    <w:name w:val="xl10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仿宋_GB2312" w:hAnsi="宋体" w:eastAsia="仿宋_GB2312" w:cs="宋体"/>
      <w:b/>
      <w:bCs/>
      <w:kern w:val="0"/>
      <w:sz w:val="24"/>
    </w:rPr>
  </w:style>
  <w:style w:type="paragraph" w:customStyle="1" w:styleId="186">
    <w:name w:val="xl9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87">
    <w:name w:val="正文居中"/>
    <w:basedOn w:val="1"/>
    <w:next w:val="1"/>
    <w:qFormat/>
    <w:uiPriority w:val="0"/>
    <w:pPr>
      <w:spacing w:before="60" w:after="60" w:line="360" w:lineRule="auto"/>
      <w:ind w:firstLine="480" w:firstLineChars="200"/>
      <w:jc w:val="center"/>
    </w:pPr>
    <w:rPr>
      <w:sz w:val="24"/>
    </w:rPr>
  </w:style>
  <w:style w:type="paragraph" w:customStyle="1" w:styleId="188">
    <w:name w:val="Char Char Char Char Char Char1 Char"/>
    <w:basedOn w:val="1"/>
    <w:qFormat/>
    <w:uiPriority w:val="0"/>
    <w:pPr>
      <w:widowControl/>
      <w:wordWrap w:val="0"/>
      <w:jc w:val="left"/>
    </w:pPr>
    <w:rPr>
      <w:rFonts w:ascii="Tahoma" w:hAnsi="Tahoma"/>
      <w:sz w:val="24"/>
      <w:szCs w:val="20"/>
    </w:rPr>
  </w:style>
  <w:style w:type="paragraph" w:customStyle="1" w:styleId="189">
    <w:name w:val="列表段落1"/>
    <w:basedOn w:val="1"/>
    <w:qFormat/>
    <w:uiPriority w:val="99"/>
    <w:pPr>
      <w:ind w:firstLine="420" w:firstLineChars="200"/>
      <w:jc w:val="left"/>
    </w:pPr>
    <w:rPr>
      <w:rFonts w:ascii="Calibri" w:hAnsi="Calibri"/>
      <w:szCs w:val="22"/>
    </w:rPr>
  </w:style>
  <w:style w:type="paragraph" w:customStyle="1" w:styleId="190">
    <w:name w:val="Char3"/>
    <w:basedOn w:val="1"/>
    <w:qFormat/>
    <w:uiPriority w:val="0"/>
    <w:pPr>
      <w:suppressAutoHyphens/>
    </w:pPr>
    <w:rPr>
      <w:rFonts w:ascii="Tahoma" w:hAnsi="Tahoma"/>
      <w:sz w:val="24"/>
      <w:szCs w:val="20"/>
      <w:lang w:eastAsia="ar-SA"/>
    </w:rPr>
  </w:style>
  <w:style w:type="paragraph" w:customStyle="1" w:styleId="191">
    <w:name w:val="样式 缩进正文 + 首行缩进:  2 字符1"/>
    <w:basedOn w:val="137"/>
    <w:qFormat/>
    <w:uiPriority w:val="0"/>
    <w:rPr>
      <w:rFonts w:cs="宋体"/>
      <w:sz w:val="21"/>
      <w:szCs w:val="20"/>
    </w:rPr>
  </w:style>
  <w:style w:type="paragraph" w:customStyle="1" w:styleId="192">
    <w:name w:val="样式 样式 缩进正文 + 首行缩进:  2 字符1 + 首行缩进:  2 字符"/>
    <w:basedOn w:val="191"/>
    <w:qFormat/>
    <w:uiPriority w:val="0"/>
    <w:pPr>
      <w:ind w:firstLine="420"/>
    </w:pPr>
  </w:style>
  <w:style w:type="paragraph" w:customStyle="1" w:styleId="193">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color w:val="000000"/>
      <w:kern w:val="0"/>
      <w:sz w:val="32"/>
      <w:szCs w:val="32"/>
    </w:rPr>
  </w:style>
  <w:style w:type="paragraph" w:customStyle="1" w:styleId="194">
    <w:name w:val="Char Char Char1"/>
    <w:basedOn w:val="1"/>
    <w:qFormat/>
    <w:uiPriority w:val="0"/>
    <w:rPr>
      <w:rFonts w:ascii="Tahoma" w:hAnsi="Tahoma"/>
      <w:sz w:val="24"/>
      <w:szCs w:val="20"/>
    </w:rPr>
  </w:style>
  <w:style w:type="paragraph" w:customStyle="1" w:styleId="195">
    <w:name w:val="xl7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32"/>
      <w:szCs w:val="32"/>
    </w:rPr>
  </w:style>
  <w:style w:type="paragraph" w:customStyle="1" w:styleId="196">
    <w:name w:val="首行缩进"/>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table" w:customStyle="1" w:styleId="197">
    <w:name w:val="TableGrid"/>
    <w:qFormat/>
    <w:uiPriority w:val="0"/>
    <w:rPr>
      <w:rFonts w:ascii="等线" w:hAnsi="等线" w:eastAsia="等线"/>
      <w:kern w:val="2"/>
      <w:sz w:val="21"/>
      <w:szCs w:val="22"/>
    </w:rPr>
    <w:tblPr>
      <w:tblCellMar>
        <w:top w:w="0" w:type="dxa"/>
        <w:left w:w="0" w:type="dxa"/>
        <w:bottom w:w="0" w:type="dxa"/>
        <w:right w:w="0" w:type="dxa"/>
      </w:tblCellMar>
    </w:tblPr>
  </w:style>
  <w:style w:type="character" w:customStyle="1" w:styleId="198">
    <w:name w:val="正文缩进 字符"/>
    <w:qFormat/>
    <w:locked/>
    <w:uiPriority w:val="99"/>
    <w:rPr>
      <w:rFonts w:ascii="Times New Roman" w:hAnsi="Times New Roman" w:eastAsia="宋体" w:cs="Times New Roman"/>
    </w:rPr>
  </w:style>
  <w:style w:type="character" w:customStyle="1" w:styleId="199">
    <w:name w:val="批注文字 字符"/>
    <w:qFormat/>
    <w:uiPriority w:val="0"/>
    <w:rPr>
      <w:kern w:val="2"/>
      <w:sz w:val="21"/>
      <w:szCs w:val="24"/>
    </w:rPr>
  </w:style>
  <w:style w:type="character" w:customStyle="1" w:styleId="200">
    <w:name w:val="正文缩进 字符1"/>
    <w:qFormat/>
    <w:uiPriority w:val="0"/>
    <w:rPr>
      <w:rFonts w:ascii="宋体"/>
      <w:sz w:val="24"/>
    </w:rPr>
  </w:style>
  <w:style w:type="character" w:customStyle="1" w:styleId="201">
    <w:name w:val="页脚 字符1"/>
    <w:qFormat/>
    <w:uiPriority w:val="99"/>
    <w:rPr>
      <w:rFonts w:ascii="宋体"/>
      <w:sz w:val="18"/>
    </w:rPr>
  </w:style>
  <w:style w:type="paragraph" w:customStyle="1" w:styleId="202">
    <w:name w:val="1"/>
    <w:basedOn w:val="1"/>
    <w:qFormat/>
    <w:uiPriority w:val="0"/>
    <w:pPr>
      <w:spacing w:before="260" w:afterLines="50" w:line="360" w:lineRule="auto"/>
      <w:ind w:firstLine="3243" w:firstLineChars="1080"/>
    </w:pPr>
    <w:rPr>
      <w:rFonts w:ascii="宋体" w:hAnsi="宋体"/>
      <w:b/>
      <w:sz w:val="30"/>
      <w:szCs w:val="21"/>
    </w:rPr>
  </w:style>
  <w:style w:type="paragraph" w:customStyle="1" w:styleId="203">
    <w:name w:val="Normal_28_0"/>
    <w:qFormat/>
    <w:uiPriority w:val="0"/>
    <w:pPr>
      <w:spacing w:before="120" w:after="240"/>
      <w:jc w:val="both"/>
    </w:pPr>
    <w:rPr>
      <w:rFonts w:ascii="Calibri" w:hAnsi="Calibri" w:eastAsia="Calibri" w:cs="Times New Roman"/>
      <w:sz w:val="22"/>
      <w:szCs w:val="22"/>
      <w:lang w:val="en-US" w:eastAsia="en-US" w:bidi="ar-SA"/>
    </w:rPr>
  </w:style>
  <w:style w:type="paragraph" w:customStyle="1" w:styleId="204">
    <w:name w:val="Normal_9"/>
    <w:qFormat/>
    <w:uiPriority w:val="0"/>
    <w:pPr>
      <w:spacing w:before="120" w:after="240"/>
      <w:jc w:val="both"/>
    </w:pPr>
    <w:rPr>
      <w:rFonts w:ascii="Calibri" w:hAnsi="Calibri" w:eastAsia="Calibri" w:cs="Times New Roman"/>
      <w:sz w:val="22"/>
      <w:szCs w:val="22"/>
      <w:lang w:val="en-US" w:eastAsia="en-US" w:bidi="ar-SA"/>
    </w:rPr>
  </w:style>
  <w:style w:type="paragraph" w:customStyle="1" w:styleId="205">
    <w:name w:val="Normal_29_0"/>
    <w:qFormat/>
    <w:uiPriority w:val="0"/>
    <w:pPr>
      <w:spacing w:before="120" w:after="240"/>
      <w:jc w:val="both"/>
    </w:pPr>
    <w:rPr>
      <w:rFonts w:ascii="Calibri" w:hAnsi="Calibri" w:eastAsia="Calibri" w:cs="Times New Roman"/>
      <w:sz w:val="22"/>
      <w:szCs w:val="22"/>
      <w:lang w:val="en-US" w:eastAsia="en-US" w:bidi="ar-SA"/>
    </w:rPr>
  </w:style>
  <w:style w:type="character" w:customStyle="1" w:styleId="206">
    <w:name w:val="纯文本 字符"/>
    <w:qFormat/>
    <w:uiPriority w:val="99"/>
    <w:rPr>
      <w:rFonts w:ascii="宋体" w:hAnsi="Courier New" w:eastAsia="宋体"/>
      <w:kern w:val="2"/>
      <w:sz w:val="21"/>
      <w:lang w:val="en-US" w:eastAsia="zh-CN" w:bidi="ar-SA"/>
    </w:rPr>
  </w:style>
  <w:style w:type="character" w:customStyle="1" w:styleId="207">
    <w:name w:val="未处理的提及1"/>
    <w:basedOn w:val="41"/>
    <w:semiHidden/>
    <w:unhideWhenUsed/>
    <w:qFormat/>
    <w:uiPriority w:val="99"/>
    <w:rPr>
      <w:color w:val="605E5C"/>
      <w:shd w:val="clear" w:color="auto" w:fill="E1DFDD"/>
    </w:rPr>
  </w:style>
  <w:style w:type="paragraph" w:customStyle="1" w:styleId="208">
    <w:name w:val="infoblue"/>
    <w:basedOn w:val="1"/>
    <w:qFormat/>
    <w:uiPriority w:val="0"/>
    <w:pPr>
      <w:widowControl/>
      <w:adjustRightInd w:val="0"/>
      <w:spacing w:after="120" w:line="240" w:lineRule="atLeast"/>
      <w:jc w:val="left"/>
      <w:textAlignment w:val="baseline"/>
    </w:pPr>
    <w:rPr>
      <w:i/>
      <w:iCs/>
      <w:color w:val="0000FF"/>
      <w:kern w:val="0"/>
      <w:sz w:val="20"/>
      <w:szCs w:val="20"/>
    </w:rPr>
  </w:style>
  <w:style w:type="character" w:customStyle="1" w:styleId="209">
    <w:name w:val="未处理的提及2"/>
    <w:basedOn w:val="41"/>
    <w:semiHidden/>
    <w:unhideWhenUsed/>
    <w:qFormat/>
    <w:uiPriority w:val="99"/>
    <w:rPr>
      <w:color w:val="605E5C"/>
      <w:shd w:val="clear" w:color="auto" w:fill="E1DFDD"/>
    </w:rPr>
  </w:style>
  <w:style w:type="table" w:customStyle="1" w:styleId="210">
    <w:name w:val="网格型1"/>
    <w:basedOn w:val="39"/>
    <w:qFormat/>
    <w:uiPriority w:val="39"/>
    <w:rPr>
      <w:rFonts w:ascii="Calibri" w:hAnsi="Calibri"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1">
    <w:name w:val="正文文本缩进 字符"/>
    <w:basedOn w:val="41"/>
    <w:link w:val="17"/>
    <w:qFormat/>
    <w:uiPriority w:val="0"/>
    <w:rPr>
      <w:kern w:val="2"/>
      <w:sz w:val="21"/>
      <w:szCs w:val="24"/>
    </w:rPr>
  </w:style>
  <w:style w:type="character" w:customStyle="1" w:styleId="212">
    <w:name w:val="正文文本首行缩进 2 字符"/>
    <w:basedOn w:val="211"/>
    <w:link w:val="38"/>
    <w:qFormat/>
    <w:uiPriority w:val="0"/>
    <w:rPr>
      <w:kern w:val="2"/>
      <w:sz w:val="21"/>
      <w:szCs w:val="24"/>
    </w:rPr>
  </w:style>
  <w:style w:type="character" w:customStyle="1" w:styleId="213">
    <w:name w:val="标题 3 Char2"/>
    <w:qFormat/>
    <w:uiPriority w:val="0"/>
    <w:rPr>
      <w:rFonts w:ascii="宋体"/>
      <w:b/>
      <w:sz w:val="24"/>
      <w:u w:val="single"/>
    </w:rPr>
  </w:style>
  <w:style w:type="character" w:customStyle="1" w:styleId="214">
    <w:name w:val="15"/>
    <w:qFormat/>
    <w:uiPriority w:val="0"/>
    <w:rPr>
      <w:rFonts w:hint="eastAsia" w:ascii="宋体" w:hAnsi="宋体" w:eastAsia="宋体"/>
      <w:color w:val="000000"/>
      <w:sz w:val="22"/>
      <w:szCs w:val="22"/>
    </w:rPr>
  </w:style>
  <w:style w:type="character" w:customStyle="1" w:styleId="215">
    <w:name w:val="16"/>
    <w:uiPriority w:val="0"/>
    <w:rPr>
      <w:rFonts w:hint="default" w:ascii="Times New Roman" w:hAnsi="Times New Roman" w:cs="Times New Roman"/>
      <w:color w:val="000000"/>
      <w:sz w:val="22"/>
      <w:szCs w:val="22"/>
    </w:rPr>
  </w:style>
  <w:style w:type="paragraph" w:customStyle="1" w:styleId="21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17">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218">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6ABCE-5756-455E-8B98-51C784FC4CE2}">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65</Pages>
  <Words>22811</Words>
  <Characters>25846</Characters>
  <Lines>225</Lines>
  <Paragraphs>63</Paragraphs>
  <TotalTime>3</TotalTime>
  <ScaleCrop>false</ScaleCrop>
  <LinksUpToDate>false</LinksUpToDate>
  <CharactersWithSpaces>27053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2021-04-28T07:31:00Z</dcterms:created>
  <dc:creator>User</dc:creator>
  <cp:lastModifiedBy>Administrator</cp:lastModifiedBy>
  <cp:lastPrinted>2023-06-16T11:49:00Z</cp:lastPrinted>
  <dcterms:modified xsi:type="dcterms:W3CDTF">2023-07-18T06:35:49Z</dcterms:modified>
  <dc:title>北京市统计局统计信息化网络运行维护（2010年度）</dc:title>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CE24463E7CCC4B74A96D6E5B659B2DF1_13</vt:lpwstr>
  </property>
</Properties>
</file>