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2456078首都师范大学移动端应用带宽保障项目</w:t>
      </w:r>
    </w:p>
    <w:p>
      <w:pPr>
        <w:pStyle w:val="2"/>
        <w:rPr>
          <w:rFonts w:ascii="华文中宋" w:hAnsi="华文中宋" w:eastAsia="华文中宋" w:cs="黑体"/>
          <w:sz w:val="52"/>
          <w:szCs w:val="52"/>
        </w:rPr>
      </w:pPr>
    </w:p>
    <w:p>
      <w:pPr>
        <w:pStyle w:val="3"/>
        <w:rPr>
          <w:rFonts w:ascii="华文中宋" w:hAnsi="华文中宋" w:eastAsia="华文中宋" w:cs="黑体"/>
          <w:sz w:val="52"/>
          <w:szCs w:val="52"/>
        </w:rPr>
      </w:pPr>
    </w:p>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BMCC-ZC24-0383</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rPr>
          <w:rFonts w:ascii="宋体" w:hAnsi="宋体"/>
          <w:b/>
          <w:sz w:val="36"/>
          <w:szCs w:val="36"/>
        </w:rPr>
      </w:pPr>
      <w:bookmarkStart w:id="0" w:name="_Toc99301418"/>
      <w:bookmarkStart w:id="1" w:name="_Toc32426"/>
      <w:bookmarkStart w:id="2" w:name="_Toc100564784"/>
      <w:bookmarkStart w:id="3" w:name="_Toc27935"/>
      <w:bookmarkStart w:id="4" w:name="_Toc17531"/>
      <w:r>
        <w:rPr>
          <w:rFonts w:ascii="宋体" w:hAnsi="宋体"/>
          <w:b/>
          <w:sz w:val="36"/>
          <w:szCs w:val="36"/>
        </w:rPr>
        <w:br w:type="page"/>
      </w:r>
    </w:p>
    <w:p>
      <w:pPr>
        <w:spacing w:line="360" w:lineRule="auto"/>
        <w:jc w:val="center"/>
        <w:outlineLvl w:val="0"/>
        <w:rPr>
          <w:rFonts w:ascii="宋体" w:hAnsi="宋体"/>
          <w:b/>
          <w:sz w:val="36"/>
          <w:szCs w:val="36"/>
        </w:rPr>
      </w:pPr>
      <w:bookmarkStart w:id="5" w:name="_Toc20838"/>
      <w:r>
        <w:rPr>
          <w:rFonts w:ascii="宋体" w:hAnsi="宋体"/>
          <w:b/>
          <w:sz w:val="36"/>
          <w:szCs w:val="36"/>
        </w:rPr>
        <w:t>目  录</w:t>
      </w:r>
      <w:bookmarkEnd w:id="0"/>
      <w:bookmarkEnd w:id="1"/>
      <w:bookmarkEnd w:id="2"/>
      <w:bookmarkEnd w:id="3"/>
      <w:bookmarkEnd w:id="4"/>
      <w:bookmarkEnd w:id="5"/>
    </w:p>
    <w:p>
      <w:pPr>
        <w:pStyle w:val="29"/>
        <w:tabs>
          <w:tab w:val="right" w:leader="dot" w:pos="9072"/>
        </w:tabs>
      </w:pPr>
      <w:r>
        <w:fldChar w:fldCharType="begin"/>
      </w:r>
      <w:r>
        <w:instrText xml:space="preserve">TOC \o "1-1" \h \u </w:instrText>
      </w:r>
      <w:r>
        <w:fldChar w:fldCharType="separate"/>
      </w:r>
      <w:r>
        <w:fldChar w:fldCharType="begin"/>
      </w:r>
      <w:r>
        <w:instrText xml:space="preserve"> HYPERLINK \l "_Toc22602"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_Toc22602 \h </w:instrText>
      </w:r>
      <w:r>
        <w:fldChar w:fldCharType="separate"/>
      </w:r>
      <w:r>
        <w:t>2</w:t>
      </w:r>
      <w:r>
        <w:fldChar w:fldCharType="end"/>
      </w:r>
      <w:r>
        <w:fldChar w:fldCharType="end"/>
      </w:r>
    </w:p>
    <w:p>
      <w:pPr>
        <w:pStyle w:val="29"/>
        <w:tabs>
          <w:tab w:val="right" w:leader="dot" w:pos="9072"/>
        </w:tabs>
      </w:pPr>
      <w:r>
        <w:fldChar w:fldCharType="begin"/>
      </w:r>
      <w:r>
        <w:instrText xml:space="preserve"> HYPERLINK \l "_Toc32330"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_Toc32330 \h </w:instrText>
      </w:r>
      <w:r>
        <w:fldChar w:fldCharType="separate"/>
      </w:r>
      <w:r>
        <w:t>5</w:t>
      </w:r>
      <w:r>
        <w:fldChar w:fldCharType="end"/>
      </w:r>
      <w:r>
        <w:fldChar w:fldCharType="end"/>
      </w:r>
    </w:p>
    <w:p>
      <w:pPr>
        <w:pStyle w:val="29"/>
        <w:tabs>
          <w:tab w:val="right" w:leader="dot" w:pos="9072"/>
        </w:tabs>
      </w:pPr>
      <w:r>
        <w:fldChar w:fldCharType="begin"/>
      </w:r>
      <w:r>
        <w:instrText xml:space="preserve"> HYPERLINK \l "_Toc20532" </w:instrText>
      </w:r>
      <w:r>
        <w:fldChar w:fldCharType="separate"/>
      </w:r>
      <w:r>
        <w:rPr>
          <w:szCs w:val="36"/>
        </w:rPr>
        <w:t>第三章  评审方法和评审标准</w:t>
      </w:r>
      <w:r>
        <w:tab/>
      </w:r>
      <w:r>
        <w:fldChar w:fldCharType="begin"/>
      </w:r>
      <w:r>
        <w:instrText xml:space="preserve"> PAGEREF _Toc20532 \h </w:instrText>
      </w:r>
      <w:r>
        <w:fldChar w:fldCharType="separate"/>
      </w:r>
      <w:r>
        <w:t>22</w:t>
      </w:r>
      <w:r>
        <w:fldChar w:fldCharType="end"/>
      </w:r>
      <w:r>
        <w:fldChar w:fldCharType="end"/>
      </w:r>
    </w:p>
    <w:p>
      <w:pPr>
        <w:pStyle w:val="29"/>
        <w:tabs>
          <w:tab w:val="right" w:leader="dot" w:pos="9072"/>
        </w:tabs>
      </w:pPr>
      <w:r>
        <w:fldChar w:fldCharType="begin"/>
      </w:r>
      <w:r>
        <w:instrText xml:space="preserve"> HYPERLINK \l "_Toc29413"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_Toc29413 \h </w:instrText>
      </w:r>
      <w:r>
        <w:fldChar w:fldCharType="separate"/>
      </w:r>
      <w:r>
        <w:t>34</w:t>
      </w:r>
      <w:r>
        <w:fldChar w:fldCharType="end"/>
      </w:r>
      <w:r>
        <w:fldChar w:fldCharType="end"/>
      </w:r>
    </w:p>
    <w:p>
      <w:pPr>
        <w:pStyle w:val="29"/>
        <w:tabs>
          <w:tab w:val="right" w:leader="dot" w:pos="9072"/>
        </w:tabs>
      </w:pPr>
      <w:r>
        <w:fldChar w:fldCharType="begin"/>
      </w:r>
      <w:r>
        <w:instrText xml:space="preserve"> HYPERLINK \l "_Toc21751"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_Toc21751 \h </w:instrText>
      </w:r>
      <w:r>
        <w:fldChar w:fldCharType="separate"/>
      </w:r>
      <w:r>
        <w:t>36</w:t>
      </w:r>
      <w:r>
        <w:fldChar w:fldCharType="end"/>
      </w:r>
      <w:r>
        <w:fldChar w:fldCharType="end"/>
      </w:r>
    </w:p>
    <w:p>
      <w:pPr>
        <w:pStyle w:val="29"/>
        <w:tabs>
          <w:tab w:val="right" w:leader="dot" w:pos="9072"/>
        </w:tabs>
      </w:pPr>
      <w:r>
        <w:fldChar w:fldCharType="begin"/>
      </w:r>
      <w:r>
        <w:instrText xml:space="preserve"> HYPERLINK \l "_Toc22015"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_Toc22015 \h </w:instrText>
      </w:r>
      <w:r>
        <w:fldChar w:fldCharType="separate"/>
      </w:r>
      <w:r>
        <w:t>52</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6" w:name="_Toc12300"/>
      <w:bookmarkStart w:id="7" w:name="_Toc22602"/>
      <w:r>
        <w:rPr>
          <w:rFonts w:ascii="宋体" w:hAnsi="宋体"/>
          <w:b/>
          <w:sz w:val="36"/>
          <w:szCs w:val="36"/>
        </w:rPr>
        <w:t xml:space="preserve">第一章  </w:t>
      </w:r>
      <w:bookmarkEnd w:id="6"/>
      <w:r>
        <w:rPr>
          <w:rFonts w:hint="eastAsia" w:ascii="宋体" w:hAnsi="宋体"/>
          <w:b/>
          <w:sz w:val="36"/>
          <w:szCs w:val="36"/>
        </w:rPr>
        <w:t>比选邀请</w:t>
      </w:r>
      <w:bookmarkEnd w:id="7"/>
    </w:p>
    <w:p>
      <w:pPr>
        <w:pStyle w:val="5"/>
        <w:spacing w:before="0" w:line="360" w:lineRule="auto"/>
        <w:jc w:val="left"/>
        <w:rPr>
          <w:rFonts w:ascii="宋体" w:hAnsi="宋体" w:eastAsia="宋体"/>
          <w:sz w:val="24"/>
          <w:szCs w:val="24"/>
        </w:rPr>
      </w:pPr>
      <w:bookmarkStart w:id="8" w:name="_Toc28359002"/>
      <w:bookmarkStart w:id="9" w:name="_Toc28359079"/>
      <w:bookmarkStart w:id="10" w:name="_Toc35393621"/>
      <w:bookmarkStart w:id="11" w:name="_Toc35393790"/>
      <w:bookmarkStart w:id="12" w:name="_Hlk24379207"/>
      <w:r>
        <w:rPr>
          <w:rFonts w:ascii="宋体" w:hAnsi="宋体" w:eastAsia="宋体"/>
          <w:sz w:val="24"/>
          <w:szCs w:val="24"/>
        </w:rPr>
        <w:t>一、项目基本情况</w:t>
      </w:r>
      <w:bookmarkEnd w:id="8"/>
      <w:bookmarkEnd w:id="9"/>
      <w:bookmarkEnd w:id="10"/>
      <w:bookmarkEnd w:id="11"/>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号：BMCC-ZC24-0383</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2456078首都师范大学移动端应用带宽保障项目</w:t>
      </w:r>
    </w:p>
    <w:bookmarkEnd w:id="12"/>
    <w:p>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99.6</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hint="eastAsia" w:ascii="宋体" w:hAnsi="宋体"/>
          <w:sz w:val="24"/>
          <w:u w:val="single"/>
        </w:rPr>
        <w:t>99.6</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rPr>
                <w:bCs/>
                <w:szCs w:val="21"/>
              </w:rPr>
            </w:pPr>
            <w:r>
              <w:rPr>
                <w:rFonts w:hint="eastAsia"/>
                <w:bCs/>
                <w:szCs w:val="21"/>
              </w:rPr>
              <w:t>6.5G互联网专线接入服务</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99.6</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1项</w:t>
            </w:r>
          </w:p>
        </w:tc>
        <w:tc>
          <w:tcPr>
            <w:tcW w:w="2314" w:type="pct"/>
            <w:vAlign w:val="center"/>
          </w:tcPr>
          <w:p>
            <w:pPr>
              <w:rPr>
                <w:kern w:val="0"/>
                <w:szCs w:val="21"/>
              </w:rPr>
            </w:pPr>
            <w:r>
              <w:rPr>
                <w:rFonts w:hint="eastAsia"/>
                <w:kern w:val="0"/>
                <w:szCs w:val="21"/>
              </w:rPr>
              <w:t>提供标准专线接入互联网带宽≥6.5Gbps</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服务期限1年</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4"/>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3" w:name="_Toc35393791"/>
      <w:bookmarkStart w:id="14" w:name="_Toc28359003"/>
      <w:bookmarkStart w:id="15" w:name="_Toc28359080"/>
      <w:bookmarkStart w:id="16" w:name="_Toc35393622"/>
      <w:r>
        <w:rPr>
          <w:rFonts w:ascii="宋体" w:hAnsi="宋体" w:eastAsia="宋体"/>
          <w:sz w:val="24"/>
          <w:szCs w:val="24"/>
        </w:rPr>
        <w:t>二、申请人的资格要求（须同时满足）</w:t>
      </w:r>
      <w:bookmarkEnd w:id="13"/>
      <w:bookmarkEnd w:id="14"/>
      <w:bookmarkEnd w:id="15"/>
      <w:bookmarkEnd w:id="16"/>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7" w:name="_Toc28359004"/>
      <w:bookmarkStart w:id="18"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9" w:name="_Hlk100673152"/>
      <w:r>
        <w:rPr>
          <w:rFonts w:hint="eastAsia" w:ascii="宋体" w:hAnsi="宋体"/>
          <w:sz w:val="24"/>
        </w:rPr>
        <w:t>2</w:t>
      </w:r>
      <w:r>
        <w:rPr>
          <w:rFonts w:ascii="宋体" w:hAnsi="宋体"/>
          <w:sz w:val="24"/>
        </w:rPr>
        <w:t>其他特定资格</w:t>
      </w:r>
      <w:bookmarkEnd w:id="19"/>
      <w:r>
        <w:rPr>
          <w:rFonts w:ascii="宋体" w:hAnsi="宋体"/>
          <w:sz w:val="24"/>
        </w:rPr>
        <w:t>要求：</w:t>
      </w:r>
      <w:r>
        <w:rPr>
          <w:rFonts w:hint="eastAsia"/>
          <w:sz w:val="24"/>
          <w:u w:val="single"/>
        </w:rPr>
        <w:t xml:space="preserve">供应商须为“北京市政府采购电子卖场（京华云采）”网络接入服务的协议供应商    </w:t>
      </w:r>
      <w:r>
        <w:rPr>
          <w:rFonts w:hint="eastAsia"/>
          <w:sz w:val="24"/>
        </w:rPr>
        <w:t xml:space="preserve"> 。</w:t>
      </w:r>
    </w:p>
    <w:bookmarkEnd w:id="17"/>
    <w:bookmarkEnd w:id="18"/>
    <w:p>
      <w:pPr>
        <w:pStyle w:val="5"/>
        <w:widowControl/>
        <w:spacing w:before="0" w:line="360" w:lineRule="auto"/>
        <w:jc w:val="left"/>
        <w:rPr>
          <w:rFonts w:ascii="宋体" w:hAnsi="宋体" w:eastAsia="宋体"/>
          <w:sz w:val="24"/>
          <w:szCs w:val="24"/>
        </w:rPr>
      </w:pPr>
      <w:bookmarkStart w:id="20" w:name="_Toc35393623"/>
      <w:bookmarkStart w:id="21" w:name="_Toc35393792"/>
      <w:r>
        <w:rPr>
          <w:rFonts w:ascii="宋体" w:hAnsi="宋体" w:eastAsia="宋体"/>
          <w:sz w:val="24"/>
          <w:szCs w:val="24"/>
        </w:rPr>
        <w:t>三、获取</w:t>
      </w:r>
      <w:bookmarkEnd w:id="20"/>
      <w:bookmarkEnd w:id="21"/>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05</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16</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05</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23</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（1）电汇或网银。请投标人汇款时务必注明“标号+用途”（比如：ZC24-0383标书款），以便财务查账及汇总。</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24-0383”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2" w:name="_Toc28359082"/>
      <w:bookmarkStart w:id="23" w:name="_Toc28359005"/>
      <w:bookmarkStart w:id="24" w:name="_Toc35393793"/>
      <w:bookmarkStart w:id="25" w:name="_Toc35393624"/>
      <w:r>
        <w:rPr>
          <w:rFonts w:ascii="宋体" w:hAnsi="宋体" w:eastAsia="宋体"/>
          <w:sz w:val="24"/>
          <w:szCs w:val="24"/>
        </w:rPr>
        <w:t>四、提交</w:t>
      </w:r>
      <w:bookmarkEnd w:id="22"/>
      <w:bookmarkEnd w:id="23"/>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4"/>
      <w:bookmarkEnd w:id="25"/>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6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5</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 xml:space="preserve"> </w:t>
      </w:r>
      <w:r>
        <w:rPr>
          <w:rFonts w:hint="eastAsia" w:ascii="宋体" w:hAnsi="宋体"/>
          <w:sz w:val="24"/>
          <w:u w:val="single"/>
          <w:lang w:val="en-US" w:eastAsia="zh-CN" w:bidi="ar"/>
        </w:rPr>
        <w:t>09</w:t>
      </w:r>
      <w:r>
        <w:rPr>
          <w:rFonts w:ascii="宋体" w:hAnsi="宋体"/>
          <w:sz w:val="24"/>
          <w:lang w:bidi="ar"/>
        </w:rPr>
        <w:t>点</w:t>
      </w:r>
      <w:r>
        <w:rPr>
          <w:rFonts w:hint="eastAsia" w:ascii="宋体" w:hAnsi="宋体"/>
          <w:sz w:val="24"/>
          <w:u w:val="single"/>
          <w:lang w:val="en-US" w:eastAsia="zh-CN" w:bidi="ar"/>
        </w:rPr>
        <w:t>3</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bookmarkStart w:id="764" w:name="_GoBack"/>
      <w:r>
        <w:rPr>
          <w:rFonts w:hint="eastAsia"/>
          <w:sz w:val="24"/>
          <w:u w:val="single"/>
        </w:rPr>
        <w:t>北京市海淀区学院路30号科大天工大厦</w:t>
      </w:r>
      <w:r>
        <w:rPr>
          <w:rFonts w:hint="eastAsia"/>
          <w:sz w:val="24"/>
          <w:u w:val="single"/>
          <w:lang w:val="en-US" w:eastAsia="zh-CN"/>
        </w:rPr>
        <w:t>B</w:t>
      </w:r>
      <w:r>
        <w:rPr>
          <w:rFonts w:hint="eastAsia"/>
          <w:sz w:val="24"/>
          <w:u w:val="single"/>
        </w:rPr>
        <w:t>座</w:t>
      </w:r>
      <w:r>
        <w:rPr>
          <w:rFonts w:hint="eastAsia"/>
          <w:sz w:val="24"/>
          <w:u w:val="single"/>
          <w:lang w:val="en-US" w:eastAsia="zh-CN"/>
        </w:rPr>
        <w:t>17</w:t>
      </w:r>
      <w:r>
        <w:rPr>
          <w:rFonts w:hint="eastAsia"/>
          <w:sz w:val="24"/>
          <w:u w:val="single"/>
        </w:rPr>
        <w:t>层</w:t>
      </w:r>
      <w:r>
        <w:rPr>
          <w:rFonts w:hint="eastAsia"/>
          <w:sz w:val="24"/>
          <w:u w:val="single"/>
          <w:lang w:val="en-US" w:eastAsia="zh-CN"/>
        </w:rPr>
        <w:t>1706第四</w:t>
      </w:r>
      <w:r>
        <w:rPr>
          <w:rFonts w:hint="eastAsia"/>
          <w:sz w:val="24"/>
          <w:u w:val="single"/>
        </w:rPr>
        <w:t>会议室</w:t>
      </w:r>
      <w:r>
        <w:rPr>
          <w:rFonts w:hint="eastAsia"/>
          <w:sz w:val="24"/>
          <w:u w:val="single"/>
          <w:lang w:eastAsia="zh-CN"/>
        </w:rPr>
        <w:t>（</w:t>
      </w:r>
      <w:r>
        <w:rPr>
          <w:rFonts w:hint="eastAsia"/>
          <w:sz w:val="24"/>
          <w:u w:val="single"/>
          <w:lang w:val="en-US" w:eastAsia="zh-CN"/>
        </w:rPr>
        <w:t>注：楼层较高，请供应商预留递交文件时间提前到场</w:t>
      </w:r>
      <w:r>
        <w:rPr>
          <w:rFonts w:hint="eastAsia"/>
          <w:sz w:val="24"/>
          <w:u w:val="single"/>
          <w:lang w:eastAsia="zh-CN"/>
        </w:rPr>
        <w:t>）</w:t>
      </w:r>
      <w:bookmarkEnd w:id="764"/>
      <w:r>
        <w:rPr>
          <w:rFonts w:hint="eastAsia"/>
          <w:sz w:val="24"/>
        </w:rPr>
        <w:t>。</w:t>
      </w:r>
    </w:p>
    <w:p>
      <w:pPr>
        <w:pStyle w:val="5"/>
        <w:spacing w:before="0" w:line="360" w:lineRule="auto"/>
        <w:jc w:val="left"/>
        <w:rPr>
          <w:rFonts w:ascii="宋体" w:hAnsi="宋体" w:eastAsia="宋体"/>
          <w:sz w:val="24"/>
          <w:szCs w:val="24"/>
        </w:rPr>
      </w:pPr>
      <w:bookmarkStart w:id="26" w:name="_Toc28359084"/>
      <w:bookmarkStart w:id="27" w:name="_Toc28359007"/>
      <w:bookmarkStart w:id="28" w:name="_Toc35393794"/>
      <w:bookmarkStart w:id="29" w:name="_Toc35393625"/>
      <w:r>
        <w:rPr>
          <w:rFonts w:ascii="宋体" w:hAnsi="宋体" w:eastAsia="宋体"/>
          <w:sz w:val="24"/>
          <w:szCs w:val="24"/>
        </w:rPr>
        <w:t>五、公告期限</w:t>
      </w:r>
      <w:bookmarkEnd w:id="26"/>
      <w:bookmarkEnd w:id="27"/>
      <w:bookmarkEnd w:id="28"/>
      <w:bookmarkEnd w:id="29"/>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30" w:name="_Toc35393795"/>
      <w:bookmarkStart w:id="31" w:name="_Toc35393626"/>
      <w:r>
        <w:rPr>
          <w:rFonts w:ascii="宋体" w:hAnsi="宋体" w:eastAsia="宋体"/>
          <w:sz w:val="24"/>
          <w:szCs w:val="24"/>
        </w:rPr>
        <w:t>六、其他补充事宜</w:t>
      </w:r>
      <w:bookmarkEnd w:id="30"/>
      <w:bookmarkEnd w:id="31"/>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4"/>
      </w:pPr>
    </w:p>
    <w:p>
      <w:pPr>
        <w:pStyle w:val="5"/>
        <w:spacing w:before="0" w:line="360" w:lineRule="auto"/>
        <w:jc w:val="left"/>
        <w:rPr>
          <w:rFonts w:ascii="宋体" w:hAnsi="宋体" w:eastAsia="宋体"/>
          <w:sz w:val="24"/>
          <w:szCs w:val="24"/>
        </w:rPr>
      </w:pPr>
      <w:bookmarkStart w:id="32" w:name="_Toc28359085"/>
      <w:bookmarkStart w:id="33" w:name="_Toc35393627"/>
      <w:bookmarkStart w:id="34" w:name="_Toc28359008"/>
      <w:bookmarkStart w:id="35" w:name="_Toc35393796"/>
      <w:r>
        <w:rPr>
          <w:rFonts w:ascii="宋体" w:hAnsi="宋体" w:eastAsia="宋体"/>
          <w:sz w:val="24"/>
          <w:szCs w:val="24"/>
        </w:rPr>
        <w:t>七、对本次招标提出询问，请按以下方式联系。</w:t>
      </w:r>
      <w:bookmarkEnd w:id="32"/>
      <w:bookmarkEnd w:id="33"/>
      <w:bookmarkEnd w:id="34"/>
      <w:bookmarkEnd w:id="35"/>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6" w:name="_Toc28359086"/>
      <w:bookmarkStart w:id="37" w:name="_Toc28359009"/>
      <w:r>
        <w:rPr>
          <w:sz w:val="24"/>
        </w:rPr>
        <w:t>名    称：</w:t>
      </w:r>
      <w:r>
        <w:rPr>
          <w:rFonts w:hint="eastAsia"/>
          <w:sz w:val="24"/>
          <w:u w:val="single"/>
        </w:rPr>
        <w:t>首都师范大学</w:t>
      </w:r>
    </w:p>
    <w:p>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u w:val="single"/>
        </w:rPr>
      </w:pPr>
      <w:r>
        <w:rPr>
          <w:rFonts w:hint="eastAsia"/>
          <w:sz w:val="24"/>
        </w:rPr>
        <w:t>联系方式：</w:t>
      </w:r>
      <w:r>
        <w:rPr>
          <w:rFonts w:hint="eastAsia"/>
          <w:sz w:val="24"/>
          <w:u w:val="single"/>
        </w:rPr>
        <w:t xml:space="preserve">谢老师，010-68902609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6"/>
      <w:bookmarkEnd w:id="37"/>
    </w:p>
    <w:p>
      <w:pPr>
        <w:spacing w:line="360" w:lineRule="auto"/>
        <w:ind w:left="1076" w:leftChars="371" w:hanging="297" w:hangingChars="124"/>
        <w:jc w:val="left"/>
        <w:rPr>
          <w:sz w:val="24"/>
        </w:rPr>
      </w:pPr>
      <w:bookmarkStart w:id="38" w:name="_Toc28359087"/>
      <w:bookmarkStart w:id="39"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王经理、周洁琼、吕绍山010－82370045，010-61196135</w:t>
      </w:r>
    </w:p>
    <w:p>
      <w:pPr>
        <w:spacing w:line="360" w:lineRule="auto"/>
        <w:ind w:firstLine="723" w:firstLineChars="300"/>
        <w:rPr>
          <w:rFonts w:ascii="宋体" w:hAnsi="宋体"/>
          <w:b/>
          <w:sz w:val="24"/>
          <w:u w:val="single"/>
        </w:rPr>
      </w:pPr>
      <w:r>
        <w:rPr>
          <w:rFonts w:ascii="宋体" w:hAnsi="宋体"/>
          <w:b/>
          <w:sz w:val="24"/>
        </w:rPr>
        <w:t>3.项目联系方式</w:t>
      </w:r>
      <w:bookmarkEnd w:id="38"/>
      <w:bookmarkEnd w:id="39"/>
    </w:p>
    <w:p>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spacing w:line="360" w:lineRule="auto"/>
        <w:ind w:left="1076" w:leftChars="371" w:hanging="297" w:hangingChars="124"/>
        <w:jc w:val="left"/>
        <w:rPr>
          <w:sz w:val="24"/>
          <w:u w:val="single"/>
        </w:rPr>
      </w:pPr>
      <w:r>
        <w:rPr>
          <w:sz w:val="24"/>
        </w:rPr>
        <w:t>电      话：</w:t>
      </w:r>
      <w:r>
        <w:rPr>
          <w:rFonts w:hint="eastAsia"/>
          <w:sz w:val="24"/>
          <w:u w:val="single"/>
        </w:rPr>
        <w:t>010－82370045，010-61196135</w:t>
      </w:r>
    </w:p>
    <w:p>
      <w:pPr>
        <w:spacing w:line="360" w:lineRule="auto"/>
        <w:ind w:left="1076" w:leftChars="371" w:hanging="297" w:hangingChars="124"/>
        <w:jc w:val="left"/>
        <w:rPr>
          <w:sz w:val="24"/>
          <w:u w:val="single"/>
        </w:rPr>
      </w:pPr>
    </w:p>
    <w:p>
      <w:pPr>
        <w:pStyle w:val="23"/>
        <w:spacing w:line="360" w:lineRule="auto"/>
        <w:ind w:left="1076" w:leftChars="371" w:hanging="297" w:hangingChars="124"/>
        <w:rPr>
          <w:rFonts w:hint="default" w:ascii="Times New Roman" w:hAnsi="Times New Roman"/>
          <w:sz w:val="24"/>
          <w:szCs w:val="24"/>
        </w:rPr>
      </w:pP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40" w:name="_Toc226965856"/>
      <w:bookmarkStart w:id="41" w:name="_Toc353825548"/>
      <w:bookmarkStart w:id="42" w:name="_Toc305158928"/>
      <w:bookmarkStart w:id="43" w:name="_Toc305158854"/>
      <w:bookmarkStart w:id="44" w:name="_Toc127161488"/>
      <w:bookmarkStart w:id="45" w:name="_Toc150774783"/>
      <w:bookmarkStart w:id="46" w:name="_Toc265228423"/>
      <w:bookmarkStart w:id="47" w:name="_Toc512937850"/>
      <w:bookmarkStart w:id="48" w:name="_Toc264969275"/>
      <w:bookmarkStart w:id="49" w:name="_Toc127151777"/>
      <w:bookmarkStart w:id="50" w:name="_Toc353873938"/>
      <w:bookmarkStart w:id="51" w:name="_Toc17889"/>
      <w:bookmarkStart w:id="52" w:name="_Toc32330"/>
      <w:bookmarkStart w:id="53" w:name="_Toc195842950"/>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5"/>
        <w:tabs>
          <w:tab w:val="center" w:pos="4592"/>
          <w:tab w:val="left" w:pos="7860"/>
        </w:tabs>
        <w:spacing w:before="0" w:line="360" w:lineRule="auto"/>
        <w:rPr>
          <w:rFonts w:ascii="宋体" w:hAnsi="宋体" w:eastAsia="宋体"/>
          <w:sz w:val="28"/>
        </w:rPr>
      </w:pPr>
      <w:bookmarkStart w:id="54" w:name="_Toc226309763"/>
      <w:bookmarkStart w:id="55" w:name="_Toc164229360"/>
      <w:bookmarkStart w:id="56" w:name="_Toc150509270"/>
      <w:bookmarkStart w:id="57" w:name="_Toc226965709"/>
      <w:bookmarkStart w:id="58" w:name="_Toc150774619"/>
      <w:bookmarkStart w:id="59" w:name="_Toc151193689"/>
      <w:bookmarkStart w:id="60" w:name="_Toc164608788"/>
      <w:bookmarkStart w:id="61" w:name="_Toc149720812"/>
      <w:bookmarkStart w:id="62" w:name="_Toc151193833"/>
      <w:bookmarkStart w:id="63" w:name="_Toc150774724"/>
      <w:bookmarkStart w:id="64" w:name="_Toc520356144"/>
      <w:bookmarkStart w:id="65" w:name="_Toc164229214"/>
      <w:bookmarkStart w:id="66" w:name="_Toc164351613"/>
      <w:bookmarkStart w:id="67" w:name="_Toc151190146"/>
      <w:bookmarkStart w:id="68" w:name="_Toc151193617"/>
      <w:bookmarkStart w:id="69" w:name="_Toc164608633"/>
      <w:bookmarkStart w:id="70" w:name="_Toc151193907"/>
      <w:bookmarkStart w:id="71" w:name="_Toc195842884"/>
      <w:bookmarkStart w:id="72" w:name="_Toc127151519"/>
      <w:bookmarkStart w:id="73" w:name="_Toc226337215"/>
      <w:bookmarkStart w:id="74" w:name="_Toc226965792"/>
      <w:bookmarkStart w:id="75" w:name="_Toc142311021"/>
      <w:bookmarkStart w:id="76" w:name="_Toc127151720"/>
      <w:bookmarkStart w:id="77" w:name="_Toc151193761"/>
      <w:bookmarkStart w:id="78" w:name="_Toc127161433"/>
      <w:bookmarkStart w:id="79" w:name="_Toc150480757"/>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本项目为非单一产品采购项目，核心产品为：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3"/>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3"/>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6.5G互联网专线接入服务</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其他未列明行业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3"/>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人民币19000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注：汇款或转账时请务必附言“项目编号+用途”，例如：ZC24-0383保证金。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3"/>
              <w:tabs>
                <w:tab w:val="left" w:pos="2240"/>
              </w:tabs>
              <w:spacing w:line="360" w:lineRule="auto"/>
              <w:rPr>
                <w:rFonts w:hint="default" w:hAnsi="宋体"/>
                <w:sz w:val="24"/>
                <w:szCs w:val="24"/>
              </w:rPr>
            </w:pPr>
            <w:r>
              <w:rPr>
                <w:rFonts w:hAnsi="宋体"/>
                <w:sz w:val="24"/>
                <w:szCs w:val="24"/>
              </w:rPr>
              <w:t>（4）成交人未按比选文件规定缴纳代理费的；</w:t>
            </w:r>
          </w:p>
          <w:p>
            <w:pPr>
              <w:pStyle w:val="23"/>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2</w:t>
            </w:r>
            <w:r>
              <w:rPr>
                <w:rFonts w:ascii="宋体" w:hAnsi="宋体"/>
                <w:sz w:val="24"/>
              </w:rPr>
              <w:t>份；电子版：1份</w:t>
            </w:r>
            <w:r>
              <w:rPr>
                <w:rFonts w:hint="eastAsia" w:ascii="宋体" w:hAnsi="宋体"/>
                <w:sz w:val="24"/>
              </w:rPr>
              <w:t>；</w:t>
            </w:r>
          </w:p>
          <w:p>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3"/>
              <w:adjustRightInd w:val="0"/>
              <w:snapToGrid w:val="0"/>
              <w:spacing w:line="288" w:lineRule="auto"/>
              <w:rPr>
                <w:rFonts w:hint="default" w:hAnsi="宋体"/>
                <w:sz w:val="24"/>
                <w:szCs w:val="24"/>
              </w:rPr>
            </w:pPr>
            <w:r>
              <w:rPr>
                <w:rFonts w:hint="default" w:hAnsi="宋体"/>
                <w:sz w:val="24"/>
                <w:szCs w:val="24"/>
              </w:rPr>
              <w:t>□是</w:t>
            </w:r>
          </w:p>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w:t>
            </w:r>
            <w:r>
              <w:rPr>
                <w:rFonts w:hAnsi="宋体"/>
                <w:color w:val="000000"/>
                <w:sz w:val="24"/>
                <w:szCs w:val="24"/>
              </w:rPr>
              <w:t>2</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下浮10%执行，按成交金额差额定率累进法计算，计费基数为合同总额</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5"/>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1.35％</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80" w:name="_Toc150774722"/>
      <w:bookmarkStart w:id="81" w:name="_Toc195842882"/>
      <w:bookmarkStart w:id="82" w:name="_Toc305158785"/>
      <w:bookmarkStart w:id="83" w:name="_Toc305158859"/>
      <w:bookmarkStart w:id="84" w:name="_Toc127151517"/>
      <w:bookmarkStart w:id="85" w:name="_Toc264969207"/>
      <w:bookmarkStart w:id="86" w:name="_Toc226965790"/>
      <w:bookmarkStart w:id="87" w:name="_Toc226337213"/>
      <w:bookmarkStart w:id="88" w:name="_Toc150480755"/>
      <w:bookmarkStart w:id="89" w:name="_Toc265228355"/>
      <w:bookmarkStart w:id="90" w:name="_Toc142311019"/>
      <w:bookmarkStart w:id="91" w:name="_Toc353825542"/>
      <w:bookmarkStart w:id="92" w:name="_Toc353873662"/>
      <w:bookmarkStart w:id="93" w:name="_Toc353873932"/>
      <w:r>
        <w:rPr>
          <w:rFonts w:hint="eastAsia" w:ascii="宋体" w:hAnsi="宋体"/>
          <w:b/>
          <w:sz w:val="28"/>
          <w:szCs w:val="28"/>
        </w:rPr>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5"/>
        <w:tabs>
          <w:tab w:val="center" w:pos="4592"/>
          <w:tab w:val="left" w:pos="7860"/>
        </w:tabs>
        <w:spacing w:before="0" w:line="360" w:lineRule="auto"/>
        <w:rPr>
          <w:rFonts w:ascii="宋体" w:hAnsi="宋体" w:eastAsia="宋体"/>
          <w:sz w:val="28"/>
        </w:rPr>
      </w:pPr>
      <w:bookmarkStart w:id="94" w:name="_Toc142311020"/>
      <w:bookmarkStart w:id="95" w:name="_Toc226309762"/>
      <w:bookmarkStart w:id="96" w:name="_Toc150774618"/>
      <w:bookmarkStart w:id="97" w:name="_Toc150480756"/>
      <w:bookmarkStart w:id="98" w:name="_Toc305158860"/>
      <w:bookmarkStart w:id="99" w:name="_Toc226965708"/>
      <w:bookmarkStart w:id="100" w:name="_Toc151190145"/>
      <w:bookmarkStart w:id="101" w:name="_Toc151193760"/>
      <w:bookmarkStart w:id="102" w:name="_Toc151193688"/>
      <w:bookmarkStart w:id="103" w:name="_Toc520356143"/>
      <w:bookmarkStart w:id="104" w:name="_Toc151193906"/>
      <w:bookmarkStart w:id="105" w:name="_Toc265228356"/>
      <w:bookmarkStart w:id="106" w:name="_Toc150774723"/>
      <w:bookmarkStart w:id="107" w:name="_Toc226965791"/>
      <w:bookmarkStart w:id="108" w:name="_Toc151193616"/>
      <w:bookmarkStart w:id="109" w:name="_Toc150509269"/>
      <w:bookmarkStart w:id="110" w:name="_Toc305158786"/>
      <w:bookmarkStart w:id="111" w:name="_Toc264969208"/>
      <w:bookmarkStart w:id="112" w:name="_Toc127151518"/>
      <w:bookmarkStart w:id="113" w:name="_Toc151193832"/>
      <w:bookmarkStart w:id="114" w:name="_Toc195842883"/>
      <w:bookmarkStart w:id="115" w:name="_Toc226337214"/>
      <w:r>
        <w:rPr>
          <w:rFonts w:ascii="宋体" w:hAnsi="宋体"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6" w:name="_Toc264969209"/>
      <w:bookmarkStart w:id="117" w:name="_Toc305158861"/>
      <w:bookmarkStart w:id="118" w:name="_Toc305158787"/>
      <w:bookmarkStart w:id="119" w:name="_Toc265228357"/>
      <w:r>
        <w:rPr>
          <w:rFonts w:ascii="宋体" w:hAnsi="宋体"/>
          <w:sz w:val="24"/>
        </w:rPr>
        <w:t>采购人、采购代理机构、</w:t>
      </w:r>
      <w:bookmarkEnd w:id="116"/>
      <w:bookmarkEnd w:id="117"/>
      <w:bookmarkEnd w:id="118"/>
      <w:bookmarkEnd w:id="119"/>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20" w:name="_Toc150509271"/>
      <w:bookmarkStart w:id="121" w:name="_Toc142311022"/>
      <w:bookmarkStart w:id="122" w:name="_Toc164608789"/>
      <w:bookmarkStart w:id="123" w:name="_Toc127161434"/>
      <w:bookmarkStart w:id="124" w:name="_Toc151193762"/>
      <w:bookmarkStart w:id="125" w:name="_Toc164229215"/>
      <w:bookmarkStart w:id="126" w:name="_Toc150774620"/>
      <w:bookmarkStart w:id="127" w:name="_Toc164351614"/>
      <w:bookmarkStart w:id="128" w:name="_Toc127151520"/>
      <w:bookmarkStart w:id="129" w:name="_Toc264969210"/>
      <w:bookmarkStart w:id="130" w:name="_Toc150480758"/>
      <w:bookmarkStart w:id="131" w:name="_Toc226309764"/>
      <w:bookmarkStart w:id="132" w:name="_Toc151193690"/>
      <w:bookmarkStart w:id="133" w:name="_Toc127151721"/>
      <w:bookmarkStart w:id="134" w:name="_Toc151193618"/>
      <w:bookmarkStart w:id="135" w:name="_Toc265228358"/>
      <w:bookmarkStart w:id="136" w:name="_Toc151193834"/>
      <w:bookmarkStart w:id="137" w:name="_Toc164229361"/>
      <w:bookmarkStart w:id="138" w:name="_Toc195842885"/>
      <w:bookmarkStart w:id="139" w:name="_Toc151190147"/>
      <w:bookmarkStart w:id="140" w:name="_Toc164608634"/>
      <w:bookmarkStart w:id="141" w:name="_Toc305158788"/>
      <w:bookmarkStart w:id="142" w:name="_Toc226965710"/>
      <w:bookmarkStart w:id="143" w:name="_Toc150774725"/>
      <w:bookmarkStart w:id="144" w:name="_Toc226337216"/>
      <w:bookmarkStart w:id="145" w:name="_Toc149720813"/>
      <w:bookmarkStart w:id="146" w:name="_Toc226965793"/>
      <w:bookmarkStart w:id="147" w:name="_Toc305158862"/>
      <w:bookmarkStart w:id="148" w:name="_Toc151193908"/>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9" w:name="_Toc127151522"/>
      <w:bookmarkStart w:id="150" w:name="_Toc150480760"/>
      <w:bookmarkStart w:id="151" w:name="_Toc151193692"/>
      <w:bookmarkStart w:id="152" w:name="_Toc264969212"/>
      <w:bookmarkStart w:id="153" w:name="_Toc150774727"/>
      <w:bookmarkStart w:id="154" w:name="_Toc151190149"/>
      <w:bookmarkStart w:id="155" w:name="_Toc195842887"/>
      <w:bookmarkStart w:id="156" w:name="_Toc305158790"/>
      <w:bookmarkStart w:id="157" w:name="_Toc150774622"/>
      <w:bookmarkStart w:id="158" w:name="_Toc151193764"/>
      <w:bookmarkStart w:id="159" w:name="_Toc151193620"/>
      <w:bookmarkStart w:id="160" w:name="_Toc520356146"/>
      <w:bookmarkStart w:id="161" w:name="_Toc226309766"/>
      <w:bookmarkStart w:id="162" w:name="_Toc305158864"/>
      <w:bookmarkStart w:id="163" w:name="_Toc226965712"/>
      <w:bookmarkStart w:id="164" w:name="_Toc265228360"/>
      <w:bookmarkStart w:id="165" w:name="_Toc151193910"/>
      <w:bookmarkStart w:id="166" w:name="_Toc150509273"/>
      <w:bookmarkStart w:id="167" w:name="_Toc226337218"/>
      <w:bookmarkStart w:id="168" w:name="_Toc226965795"/>
      <w:bookmarkStart w:id="169" w:name="_Toc142311024"/>
      <w:bookmarkStart w:id="170" w:name="_Toc151193836"/>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1" w:name="_1.8_计量单位"/>
      <w:bookmarkEnd w:id="171"/>
      <w:r>
        <w:rPr>
          <w:rFonts w:ascii="宋体" w:hAnsi="宋体" w:eastAsia="宋体"/>
          <w:sz w:val="28"/>
        </w:rPr>
        <w:t xml:space="preserve">二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2" w:name="_Toc226965713"/>
      <w:bookmarkStart w:id="173" w:name="_Toc142311025"/>
      <w:bookmarkStart w:id="174" w:name="_Toc151190150"/>
      <w:bookmarkStart w:id="175" w:name="_Toc150774728"/>
      <w:bookmarkStart w:id="176" w:name="_Toc265228361"/>
      <w:bookmarkStart w:id="177" w:name="_Toc195842888"/>
      <w:bookmarkStart w:id="178" w:name="_Toc164608637"/>
      <w:bookmarkStart w:id="179" w:name="_Toc164351617"/>
      <w:bookmarkStart w:id="180" w:name="_Toc305158865"/>
      <w:bookmarkStart w:id="181" w:name="_Toc264969213"/>
      <w:bookmarkStart w:id="182" w:name="_Toc226965796"/>
      <w:bookmarkStart w:id="183" w:name="_Toc151193693"/>
      <w:bookmarkStart w:id="184" w:name="_Toc127151523"/>
      <w:bookmarkStart w:id="185" w:name="_Toc520356147"/>
      <w:bookmarkStart w:id="186" w:name="_Toc164229364"/>
      <w:bookmarkStart w:id="187" w:name="_Toc305158791"/>
      <w:bookmarkStart w:id="188" w:name="_Toc164229218"/>
      <w:bookmarkStart w:id="189" w:name="_Toc127151724"/>
      <w:bookmarkStart w:id="190" w:name="_Toc151193621"/>
      <w:bookmarkStart w:id="191" w:name="_Toc226309767"/>
      <w:bookmarkStart w:id="192" w:name="_Toc151193765"/>
      <w:bookmarkStart w:id="193" w:name="_Toc149720816"/>
      <w:bookmarkStart w:id="194" w:name="_Toc164608792"/>
      <w:bookmarkStart w:id="195" w:name="_Toc151193911"/>
      <w:bookmarkStart w:id="196" w:name="_Toc226337219"/>
      <w:bookmarkStart w:id="197" w:name="_Toc150480761"/>
      <w:bookmarkStart w:id="198" w:name="_Toc151193837"/>
      <w:bookmarkStart w:id="199" w:name="_Toc127161437"/>
      <w:bookmarkStart w:id="200" w:name="_Toc150509274"/>
      <w:bookmarkStart w:id="201" w:name="_Toc150774623"/>
      <w:r>
        <w:rPr>
          <w:rFonts w:hint="eastAsia" w:ascii="宋体" w:hAnsi="宋体"/>
          <w:sz w:val="24"/>
        </w:rPr>
        <w:t>比选文件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2" w:name="_Toc516367020"/>
      <w:bookmarkStart w:id="203" w:name="_Toc127151526"/>
      <w:bookmarkStart w:id="204" w:name="_Toc226965716"/>
      <w:bookmarkStart w:id="205" w:name="_Toc265228364"/>
      <w:bookmarkStart w:id="206" w:name="_Toc226309770"/>
      <w:bookmarkStart w:id="207" w:name="_Toc226337222"/>
      <w:bookmarkStart w:id="208" w:name="_Toc150480764"/>
      <w:bookmarkStart w:id="209" w:name="_Toc142311028"/>
      <w:bookmarkStart w:id="210" w:name="_Toc150774731"/>
      <w:bookmarkStart w:id="211" w:name="_Toc264969216"/>
      <w:bookmarkStart w:id="212" w:name="_Toc150509277"/>
      <w:bookmarkStart w:id="213" w:name="_Toc305158868"/>
      <w:bookmarkStart w:id="214" w:name="_Toc195842891"/>
      <w:bookmarkStart w:id="215" w:name="_Toc226965799"/>
      <w:bookmarkStart w:id="216" w:name="_Toc151193914"/>
      <w:bookmarkStart w:id="217" w:name="_Toc151193624"/>
      <w:bookmarkStart w:id="218" w:name="_Toc151190153"/>
      <w:bookmarkStart w:id="219" w:name="_Toc151193696"/>
      <w:bookmarkStart w:id="220" w:name="_Toc520356150"/>
      <w:bookmarkStart w:id="221" w:name="_Toc150774626"/>
      <w:bookmarkStart w:id="222" w:name="_Toc151193768"/>
      <w:bookmarkStart w:id="223" w:name="_Toc151193840"/>
      <w:bookmarkStart w:id="224" w:name="_Toc305158794"/>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2"/>
      <w:r>
        <w:rPr>
          <w:rFonts w:hint="eastAsia" w:ascii="宋体" w:hAnsi="宋体" w:eastAsia="宋体"/>
          <w:sz w:val="28"/>
        </w:rPr>
        <w:t>响应文件</w:t>
      </w:r>
      <w:r>
        <w:rPr>
          <w:rFonts w:ascii="宋体" w:hAnsi="宋体"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numPr>
          <w:ilvl w:val="0"/>
          <w:numId w:val="8"/>
        </w:numPr>
        <w:tabs>
          <w:tab w:val="left" w:pos="360"/>
        </w:tabs>
        <w:snapToGrid w:val="0"/>
        <w:spacing w:line="360" w:lineRule="auto"/>
        <w:ind w:left="357" w:hanging="357"/>
        <w:outlineLvl w:val="1"/>
        <w:rPr>
          <w:rFonts w:ascii="宋体" w:hAnsi="宋体"/>
          <w:sz w:val="24"/>
        </w:rPr>
      </w:pPr>
      <w:bookmarkStart w:id="225" w:name="_Toc164229368"/>
      <w:bookmarkStart w:id="226" w:name="_Toc142311029"/>
      <w:bookmarkStart w:id="227" w:name="_Toc516367021"/>
      <w:bookmarkStart w:id="228" w:name="_Toc305158869"/>
      <w:bookmarkStart w:id="229" w:name="_Toc226965800"/>
      <w:bookmarkStart w:id="230" w:name="_Toc305158795"/>
      <w:bookmarkStart w:id="231" w:name="_Toc151193697"/>
      <w:bookmarkStart w:id="232" w:name="_Toc195842892"/>
      <w:bookmarkStart w:id="233" w:name="_Toc226965717"/>
      <w:bookmarkStart w:id="234" w:name="_Toc151190154"/>
      <w:bookmarkStart w:id="235" w:name="_Toc149720820"/>
      <w:bookmarkStart w:id="236" w:name="_Toc226309771"/>
      <w:bookmarkStart w:id="237" w:name="_Toc150774732"/>
      <w:bookmarkStart w:id="238" w:name="_Toc151193841"/>
      <w:bookmarkStart w:id="239" w:name="_Toc226337223"/>
      <w:bookmarkStart w:id="240" w:name="_Toc127151527"/>
      <w:bookmarkStart w:id="241" w:name="_Toc151193769"/>
      <w:bookmarkStart w:id="242" w:name="_Toc164229222"/>
      <w:bookmarkStart w:id="243" w:name="_Toc151193625"/>
      <w:bookmarkStart w:id="244" w:name="_Toc164608641"/>
      <w:bookmarkStart w:id="245" w:name="_Toc164608796"/>
      <w:bookmarkStart w:id="246" w:name="_Toc265228365"/>
      <w:bookmarkStart w:id="247" w:name="_Toc264969217"/>
      <w:bookmarkStart w:id="248" w:name="_Toc127161441"/>
      <w:bookmarkStart w:id="249" w:name="_Toc164351621"/>
      <w:bookmarkStart w:id="250" w:name="_Toc151193915"/>
      <w:bookmarkStart w:id="251" w:name="_Toc150480765"/>
      <w:bookmarkStart w:id="252" w:name="_Toc150509278"/>
      <w:bookmarkStart w:id="253" w:name="_Toc520356151"/>
      <w:bookmarkStart w:id="254" w:name="_Toc127151728"/>
      <w:bookmarkStart w:id="255" w:name="_Toc150774627"/>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6" w:name="_Toc520356152"/>
      <w:bookmarkStart w:id="257" w:name="_Toc305158870"/>
      <w:bookmarkStart w:id="258" w:name="_Toc149720821"/>
      <w:bookmarkStart w:id="259" w:name="_Toc265228366"/>
      <w:bookmarkStart w:id="260" w:name="_Toc226309772"/>
      <w:bookmarkStart w:id="261" w:name="_Toc151193626"/>
      <w:bookmarkStart w:id="262" w:name="_Toc151193770"/>
      <w:bookmarkStart w:id="263" w:name="_Toc150509279"/>
      <w:bookmarkStart w:id="264" w:name="_Toc150774733"/>
      <w:bookmarkStart w:id="265" w:name="_Toc151190155"/>
      <w:bookmarkStart w:id="266" w:name="_Toc127151729"/>
      <w:bookmarkStart w:id="267" w:name="_Toc150774628"/>
      <w:bookmarkStart w:id="268" w:name="_Toc164229369"/>
      <w:bookmarkStart w:id="269" w:name="_Toc127151528"/>
      <w:bookmarkStart w:id="270" w:name="_Toc164229223"/>
      <w:bookmarkStart w:id="271" w:name="_Toc195842893"/>
      <w:bookmarkStart w:id="272" w:name="_Toc164608642"/>
      <w:bookmarkStart w:id="273" w:name="_Toc226965801"/>
      <w:bookmarkStart w:id="274" w:name="_Toc127161442"/>
      <w:bookmarkStart w:id="275" w:name="_Toc150480766"/>
      <w:bookmarkStart w:id="276" w:name="_Toc264969218"/>
      <w:bookmarkStart w:id="277" w:name="_Toc164351622"/>
      <w:bookmarkStart w:id="278" w:name="_Toc151193698"/>
      <w:bookmarkStart w:id="279" w:name="_Toc142311030"/>
      <w:bookmarkStart w:id="280" w:name="_Toc151193842"/>
      <w:bookmarkStart w:id="281" w:name="_Toc164608797"/>
      <w:bookmarkStart w:id="282" w:name="_Toc226965718"/>
      <w:bookmarkStart w:id="283" w:name="_Toc305158796"/>
      <w:bookmarkStart w:id="284" w:name="_Toc226337224"/>
      <w:bookmarkStart w:id="285" w:name="_Toc151193916"/>
      <w:r>
        <w:rPr>
          <w:rFonts w:hint="eastAsia" w:ascii="宋体" w:hAnsi="宋体"/>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6"/>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7" w:name="_Toc151193844"/>
      <w:bookmarkStart w:id="288" w:name="_Toc164351624"/>
      <w:bookmarkStart w:id="289" w:name="_Toc149720823"/>
      <w:bookmarkStart w:id="290" w:name="_Toc142311032"/>
      <w:bookmarkStart w:id="291" w:name="_Toc164229225"/>
      <w:bookmarkStart w:id="292" w:name="_Toc150509281"/>
      <w:bookmarkStart w:id="293" w:name="_Toc164229371"/>
      <w:bookmarkStart w:id="294" w:name="_Toc150480768"/>
      <w:bookmarkStart w:id="295" w:name="_Toc151193772"/>
      <w:bookmarkStart w:id="296" w:name="_Toc127151731"/>
      <w:bookmarkStart w:id="297" w:name="_Toc151193628"/>
      <w:bookmarkStart w:id="298" w:name="_Toc127151530"/>
      <w:bookmarkStart w:id="299" w:name="_Toc195842895"/>
      <w:bookmarkStart w:id="300" w:name="_Toc127161444"/>
      <w:bookmarkStart w:id="301" w:name="_Toc151193918"/>
      <w:bookmarkStart w:id="302" w:name="_Toc150774630"/>
      <w:bookmarkStart w:id="303" w:name="_Toc520356155"/>
      <w:bookmarkStart w:id="304" w:name="_Toc151190157"/>
      <w:bookmarkStart w:id="305" w:name="_Toc150774735"/>
      <w:bookmarkStart w:id="306" w:name="_Toc164608644"/>
      <w:bookmarkStart w:id="307" w:name="_Toc164608799"/>
      <w:bookmarkStart w:id="308" w:name="_Toc151193700"/>
      <w:r>
        <w:rPr>
          <w:rFonts w:hint="eastAsia" w:ascii="宋体" w:hAnsi="宋体"/>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9"/>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10" w:name="_Toc151193921"/>
      <w:bookmarkStart w:id="311" w:name="_Toc150774633"/>
      <w:bookmarkStart w:id="312" w:name="_Toc151193631"/>
      <w:bookmarkStart w:id="313" w:name="_Toc150774738"/>
      <w:bookmarkStart w:id="314" w:name="_Toc127151734"/>
      <w:bookmarkStart w:id="315" w:name="_Toc226309777"/>
      <w:bookmarkStart w:id="316" w:name="_Toc151190160"/>
      <w:bookmarkStart w:id="317" w:name="_Toc226337229"/>
      <w:bookmarkStart w:id="318" w:name="_Toc195842898"/>
      <w:bookmarkStart w:id="319" w:name="_Toc164229228"/>
      <w:bookmarkStart w:id="320" w:name="_Toc305158801"/>
      <w:bookmarkStart w:id="321" w:name="_Toc150509284"/>
      <w:bookmarkStart w:id="322" w:name="_Toc520356158"/>
      <w:bookmarkStart w:id="323" w:name="_Toc151193703"/>
      <w:bookmarkStart w:id="324" w:name="_Toc150480771"/>
      <w:bookmarkStart w:id="325" w:name="_Toc305158875"/>
      <w:bookmarkStart w:id="326" w:name="_Toc142311035"/>
      <w:bookmarkStart w:id="327" w:name="_Toc149720826"/>
      <w:bookmarkStart w:id="328" w:name="_Toc127161447"/>
      <w:bookmarkStart w:id="329" w:name="_Toc226965806"/>
      <w:bookmarkStart w:id="330" w:name="_Toc127151533"/>
      <w:bookmarkStart w:id="331" w:name="_Toc265228371"/>
      <w:bookmarkStart w:id="332" w:name="_Toc164608802"/>
      <w:bookmarkStart w:id="333" w:name="_Toc164608647"/>
      <w:bookmarkStart w:id="334" w:name="_Toc151193847"/>
      <w:bookmarkStart w:id="335" w:name="_Toc164351627"/>
      <w:bookmarkStart w:id="336" w:name="_Toc164229374"/>
      <w:bookmarkStart w:id="337" w:name="_Toc151193775"/>
      <w:bookmarkStart w:id="338" w:name="_Toc226965723"/>
      <w:bookmarkStart w:id="339" w:name="_Toc264969223"/>
      <w:r>
        <w:rPr>
          <w:rFonts w:hint="eastAsia" w:ascii="宋体" w:hAnsi="宋体"/>
          <w:sz w:val="24"/>
        </w:rPr>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40" w:name="_Toc520356159"/>
      <w:bookmarkStart w:id="341" w:name="_Toc150509285"/>
      <w:bookmarkStart w:id="342" w:name="_Toc151193632"/>
      <w:bookmarkStart w:id="343" w:name="_Toc127151534"/>
      <w:bookmarkStart w:id="344" w:name="_Toc226337230"/>
      <w:bookmarkStart w:id="345" w:name="_Toc150774634"/>
      <w:bookmarkStart w:id="346" w:name="_Toc151190161"/>
      <w:bookmarkStart w:id="347" w:name="_Toc305158802"/>
      <w:bookmarkStart w:id="348" w:name="_Toc151193922"/>
      <w:bookmarkStart w:id="349" w:name="_Toc265228372"/>
      <w:bookmarkStart w:id="350" w:name="_Toc226309778"/>
      <w:bookmarkStart w:id="351" w:name="_Toc264969224"/>
      <w:bookmarkStart w:id="352" w:name="_Toc226965807"/>
      <w:bookmarkStart w:id="353" w:name="_Toc305158876"/>
      <w:bookmarkStart w:id="354" w:name="_Toc151193848"/>
      <w:bookmarkStart w:id="355" w:name="_Toc150480772"/>
      <w:bookmarkStart w:id="356" w:name="_Toc226965724"/>
      <w:bookmarkStart w:id="357" w:name="_Toc150774739"/>
      <w:bookmarkStart w:id="358" w:name="_Toc195842899"/>
      <w:bookmarkStart w:id="359" w:name="_Toc151193704"/>
      <w:bookmarkStart w:id="360" w:name="_Toc142311036"/>
      <w:bookmarkStart w:id="361" w:name="_Toc151193776"/>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pPr>
        <w:pStyle w:val="39"/>
        <w:ind w:firstLine="420"/>
      </w:pPr>
    </w:p>
    <w:p>
      <w:pPr>
        <w:numPr>
          <w:ilvl w:val="0"/>
          <w:numId w:val="8"/>
        </w:numPr>
        <w:tabs>
          <w:tab w:val="left" w:pos="360"/>
        </w:tabs>
        <w:snapToGrid w:val="0"/>
        <w:spacing w:line="360" w:lineRule="auto"/>
        <w:ind w:left="357" w:hanging="357"/>
        <w:outlineLvl w:val="1"/>
        <w:rPr>
          <w:rFonts w:ascii="宋体" w:hAnsi="宋体"/>
          <w:sz w:val="24"/>
        </w:rPr>
      </w:pPr>
      <w:bookmarkStart w:id="362" w:name="_Toc226309780"/>
      <w:bookmarkStart w:id="363" w:name="_Toc151193634"/>
      <w:bookmarkStart w:id="364" w:name="_Toc265228374"/>
      <w:bookmarkStart w:id="365" w:name="_Toc127151737"/>
      <w:bookmarkStart w:id="366" w:name="_Toc151193850"/>
      <w:bookmarkStart w:id="367" w:name="_Toc142311038"/>
      <w:bookmarkStart w:id="368" w:name="_Toc151193778"/>
      <w:bookmarkStart w:id="369" w:name="_Toc305158804"/>
      <w:bookmarkStart w:id="370" w:name="_Toc305158878"/>
      <w:bookmarkStart w:id="371" w:name="_Toc226965809"/>
      <w:bookmarkStart w:id="372" w:name="_Toc150480774"/>
      <w:bookmarkStart w:id="373" w:name="_Toc520356161"/>
      <w:bookmarkStart w:id="374" w:name="_Toc149720829"/>
      <w:bookmarkStart w:id="375" w:name="_Toc151193924"/>
      <w:bookmarkStart w:id="376" w:name="_Toc164351630"/>
      <w:bookmarkStart w:id="377" w:name="_Toc226337232"/>
      <w:bookmarkStart w:id="378" w:name="_Toc164608650"/>
      <w:bookmarkStart w:id="379" w:name="_Toc127161450"/>
      <w:bookmarkStart w:id="380" w:name="_Toc150774741"/>
      <w:bookmarkStart w:id="381" w:name="_Toc226965726"/>
      <w:bookmarkStart w:id="382" w:name="_Toc151190163"/>
      <w:bookmarkStart w:id="383" w:name="_Toc151193706"/>
      <w:bookmarkStart w:id="384" w:name="_Toc164229231"/>
      <w:bookmarkStart w:id="385" w:name="_Toc150509287"/>
      <w:bookmarkStart w:id="386" w:name="_Toc195842901"/>
      <w:bookmarkStart w:id="387" w:name="_Toc164229377"/>
      <w:bookmarkStart w:id="388" w:name="_Toc127151536"/>
      <w:bookmarkStart w:id="389" w:name="_Toc150774636"/>
      <w:bookmarkStart w:id="390" w:name="_Toc164608805"/>
      <w:bookmarkStart w:id="391" w:name="_Toc264969226"/>
      <w:r>
        <w:rPr>
          <w:rFonts w:hint="eastAsia" w:ascii="宋体" w:hAnsi="宋体"/>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2" w:name="_Toc151190164"/>
      <w:bookmarkStart w:id="393" w:name="_Toc226965727"/>
      <w:bookmarkStart w:id="394" w:name="_Toc150509288"/>
      <w:bookmarkStart w:id="395" w:name="_Toc164229378"/>
      <w:bookmarkStart w:id="396" w:name="_Toc151193635"/>
      <w:bookmarkStart w:id="397" w:name="_Toc151193779"/>
      <w:bookmarkStart w:id="398" w:name="_Toc265228375"/>
      <w:bookmarkStart w:id="399" w:name="_Toc195842902"/>
      <w:bookmarkStart w:id="400" w:name="_Toc151193925"/>
      <w:bookmarkStart w:id="401" w:name="_Toc164608651"/>
      <w:bookmarkStart w:id="402" w:name="_Toc226965810"/>
      <w:bookmarkStart w:id="403" w:name="_Toc151193707"/>
      <w:bookmarkStart w:id="404" w:name="_Toc164351631"/>
      <w:bookmarkStart w:id="405" w:name="_Toc127151738"/>
      <w:bookmarkStart w:id="406" w:name="_Toc226337233"/>
      <w:bookmarkStart w:id="407" w:name="_Toc520356162"/>
      <w:bookmarkStart w:id="408" w:name="_Toc150774637"/>
      <w:bookmarkStart w:id="409" w:name="_Toc151193851"/>
      <w:bookmarkStart w:id="410" w:name="_Toc149720830"/>
      <w:bookmarkStart w:id="411" w:name="_Toc264969227"/>
      <w:bookmarkStart w:id="412" w:name="_Toc150480775"/>
      <w:bookmarkStart w:id="413" w:name="_Toc305158805"/>
      <w:bookmarkStart w:id="414" w:name="_Toc305158879"/>
      <w:bookmarkStart w:id="415" w:name="_Toc164608806"/>
      <w:bookmarkStart w:id="416" w:name="_Toc150774742"/>
      <w:bookmarkStart w:id="417" w:name="_Toc226309781"/>
      <w:bookmarkStart w:id="418" w:name="_Toc127151537"/>
      <w:bookmarkStart w:id="419" w:name="_Toc142311039"/>
      <w:bookmarkStart w:id="420" w:name="_Toc164229232"/>
      <w:bookmarkStart w:id="421" w:name="_Toc127161451"/>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2" w:name="_Toc226309782"/>
      <w:bookmarkStart w:id="423" w:name="_Toc151193708"/>
      <w:bookmarkStart w:id="424" w:name="_Toc226965728"/>
      <w:bookmarkStart w:id="425" w:name="_Toc151193636"/>
      <w:bookmarkStart w:id="426" w:name="_Toc150480776"/>
      <w:bookmarkStart w:id="427" w:name="_Toc195842903"/>
      <w:bookmarkStart w:id="428" w:name="_Toc151193852"/>
      <w:bookmarkStart w:id="429" w:name="_Toc150774743"/>
      <w:bookmarkStart w:id="430" w:name="_Toc150774638"/>
      <w:bookmarkStart w:id="431" w:name="_Toc264969228"/>
      <w:bookmarkStart w:id="432" w:name="_Toc151190165"/>
      <w:bookmarkStart w:id="433" w:name="_Toc151193780"/>
      <w:bookmarkStart w:id="434" w:name="_Toc305158806"/>
      <w:bookmarkStart w:id="435" w:name="_Toc520356163"/>
      <w:bookmarkStart w:id="436" w:name="_Toc226337234"/>
      <w:bookmarkStart w:id="437" w:name="_Toc142311040"/>
      <w:bookmarkStart w:id="438" w:name="_Toc265228376"/>
      <w:bookmarkStart w:id="439" w:name="_Toc305158880"/>
      <w:bookmarkStart w:id="440" w:name="_Toc150509289"/>
      <w:bookmarkStart w:id="441" w:name="_Toc151193926"/>
      <w:bookmarkStart w:id="442" w:name="_Toc127151538"/>
      <w:bookmarkStart w:id="443" w:name="_Toc226965811"/>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4"/>
    <w:p>
      <w:pPr>
        <w:numPr>
          <w:ilvl w:val="0"/>
          <w:numId w:val="8"/>
        </w:numPr>
        <w:tabs>
          <w:tab w:val="left" w:pos="360"/>
        </w:tabs>
        <w:snapToGrid w:val="0"/>
        <w:spacing w:line="360" w:lineRule="auto"/>
        <w:ind w:left="357" w:hanging="357"/>
        <w:outlineLvl w:val="1"/>
        <w:rPr>
          <w:rFonts w:ascii="宋体" w:hAnsi="宋体"/>
          <w:sz w:val="24"/>
        </w:rPr>
      </w:pPr>
      <w:bookmarkStart w:id="445" w:name="_Toc142311042"/>
      <w:bookmarkStart w:id="446" w:name="_Toc164229381"/>
      <w:bookmarkStart w:id="447" w:name="_Toc305158808"/>
      <w:bookmarkStart w:id="448" w:name="_Toc151193854"/>
      <w:bookmarkStart w:id="449" w:name="_Toc151193928"/>
      <w:bookmarkStart w:id="450" w:name="_Toc127161454"/>
      <w:bookmarkStart w:id="451" w:name="_Toc226309784"/>
      <w:bookmarkStart w:id="452" w:name="_Toc265228378"/>
      <w:bookmarkStart w:id="453" w:name="_Toc226965730"/>
      <w:bookmarkStart w:id="454" w:name="_Toc195842905"/>
      <w:bookmarkStart w:id="455" w:name="_Toc127151741"/>
      <w:bookmarkStart w:id="456" w:name="_Toc164229235"/>
      <w:bookmarkStart w:id="457" w:name="_Toc226337236"/>
      <w:bookmarkStart w:id="458" w:name="_Toc151193782"/>
      <w:bookmarkStart w:id="459" w:name="_Toc164351634"/>
      <w:bookmarkStart w:id="460" w:name="_Toc151193710"/>
      <w:bookmarkStart w:id="461" w:name="_Toc150509291"/>
      <w:bookmarkStart w:id="462" w:name="_Toc226965813"/>
      <w:bookmarkStart w:id="463" w:name="_Toc151193638"/>
      <w:bookmarkStart w:id="464" w:name="_Toc164608654"/>
      <w:bookmarkStart w:id="465" w:name="_Toc149720833"/>
      <w:bookmarkStart w:id="466" w:name="_Toc150480778"/>
      <w:bookmarkStart w:id="467" w:name="_Toc151190167"/>
      <w:bookmarkStart w:id="468" w:name="_Toc164608809"/>
      <w:bookmarkStart w:id="469" w:name="_Toc150774745"/>
      <w:bookmarkStart w:id="470" w:name="_Toc264969230"/>
      <w:bookmarkStart w:id="471" w:name="_Toc150774640"/>
      <w:bookmarkStart w:id="472" w:name="_Toc305158882"/>
      <w:bookmarkStart w:id="473" w:name="_Toc127151540"/>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4" w:name="_Toc52035616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4"/>
      <w:bookmarkStart w:id="475"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pStyle w:val="5"/>
        <w:spacing w:before="0" w:line="360" w:lineRule="auto"/>
        <w:rPr>
          <w:rFonts w:ascii="宋体" w:hAnsi="宋体" w:eastAsia="宋体"/>
          <w:sz w:val="28"/>
        </w:rPr>
      </w:pPr>
      <w:bookmarkStart w:id="476" w:name="_Toc151193933"/>
      <w:bookmarkStart w:id="477" w:name="_Toc226965818"/>
      <w:bookmarkStart w:id="478" w:name="_Toc265228383"/>
      <w:bookmarkStart w:id="479" w:name="_Toc151193643"/>
      <w:bookmarkStart w:id="480" w:name="_Toc127151545"/>
      <w:bookmarkStart w:id="481" w:name="_Toc151190172"/>
      <w:bookmarkStart w:id="482" w:name="_Toc305158887"/>
      <w:bookmarkStart w:id="483" w:name="_Toc226965735"/>
      <w:bookmarkStart w:id="484" w:name="_Toc150509296"/>
      <w:bookmarkStart w:id="485" w:name="_Toc150774750"/>
      <w:bookmarkStart w:id="486" w:name="_Toc151193787"/>
      <w:bookmarkStart w:id="487" w:name="_Toc226309789"/>
      <w:bookmarkStart w:id="488" w:name="_Toc305158813"/>
      <w:bookmarkStart w:id="489" w:name="_Toc264969235"/>
      <w:bookmarkStart w:id="490" w:name="_Toc151193859"/>
      <w:bookmarkStart w:id="491" w:name="_Toc226337241"/>
      <w:bookmarkStart w:id="492" w:name="_Toc151193715"/>
      <w:bookmarkStart w:id="493" w:name="_Toc150480783"/>
      <w:bookmarkStart w:id="494" w:name="_Toc150774645"/>
      <w:bookmarkStart w:id="495" w:name="_Toc195842910"/>
      <w:bookmarkStart w:id="496" w:name="_Toc142311047"/>
      <w:r>
        <w:rPr>
          <w:rFonts w:ascii="宋体" w:hAnsi="宋体" w:eastAsia="宋体"/>
          <w:sz w:val="28"/>
        </w:rPr>
        <w:t xml:space="preserve">六  </w:t>
      </w:r>
      <w:bookmarkEnd w:id="475"/>
      <w:r>
        <w:rPr>
          <w:rFonts w:ascii="宋体" w:hAnsi="宋体" w:eastAsia="宋体"/>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Start w:id="497" w:name="_Toc150774752"/>
      <w:bookmarkStart w:id="498" w:name="_Toc151193645"/>
      <w:bookmarkStart w:id="499" w:name="_Toc226337243"/>
      <w:bookmarkStart w:id="500" w:name="_Toc151193717"/>
      <w:bookmarkStart w:id="501" w:name="_Toc305158889"/>
      <w:bookmarkStart w:id="502" w:name="_Toc142311049"/>
      <w:bookmarkStart w:id="503" w:name="_Toc264969237"/>
      <w:bookmarkStart w:id="504" w:name="_Toc150509298"/>
      <w:bookmarkStart w:id="505" w:name="_Toc127151547"/>
      <w:bookmarkStart w:id="506" w:name="_Toc164608661"/>
      <w:bookmarkStart w:id="507" w:name="_Toc265228385"/>
      <w:bookmarkStart w:id="508" w:name="_Toc226309791"/>
      <w:bookmarkStart w:id="509" w:name="_Toc151193861"/>
      <w:bookmarkStart w:id="510" w:name="_Toc195842912"/>
      <w:bookmarkStart w:id="511" w:name="_Toc151193935"/>
      <w:bookmarkStart w:id="512" w:name="_Toc305158815"/>
      <w:bookmarkStart w:id="513" w:name="_Toc151193789"/>
      <w:bookmarkStart w:id="514" w:name="_Toc164229388"/>
      <w:bookmarkStart w:id="515" w:name="_Toc226965820"/>
      <w:bookmarkStart w:id="516" w:name="_Toc127151748"/>
      <w:bookmarkStart w:id="517" w:name="_Toc151190174"/>
      <w:bookmarkStart w:id="518" w:name="_Toc150480785"/>
      <w:bookmarkStart w:id="519" w:name="_Toc164608816"/>
      <w:bookmarkStart w:id="520" w:name="_Toc149720840"/>
      <w:bookmarkStart w:id="521" w:name="_Toc164229242"/>
      <w:bookmarkStart w:id="522" w:name="_Toc150774647"/>
      <w:bookmarkStart w:id="523" w:name="_Toc164351641"/>
      <w:bookmarkStart w:id="524" w:name="_Toc226965737"/>
      <w:bookmarkStart w:id="525" w:name="_Toc127161461"/>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6" w:name="_Toc305158817"/>
      <w:bookmarkStart w:id="527" w:name="_Toc305158891"/>
      <w:bookmarkStart w:id="528" w:name="_Toc142311051"/>
      <w:bookmarkStart w:id="529" w:name="_Toc226337245"/>
      <w:bookmarkStart w:id="530" w:name="_Toc164351643"/>
      <w:bookmarkStart w:id="531" w:name="_Toc150480787"/>
      <w:bookmarkStart w:id="532" w:name="_Toc151193863"/>
      <w:bookmarkStart w:id="533" w:name="_Toc127151750"/>
      <w:bookmarkStart w:id="534" w:name="_Toc226965739"/>
      <w:bookmarkStart w:id="535" w:name="_Toc164608663"/>
      <w:bookmarkStart w:id="536" w:name="_Toc226965822"/>
      <w:bookmarkStart w:id="537" w:name="_Toc151190176"/>
      <w:bookmarkStart w:id="538" w:name="_Toc150774754"/>
      <w:bookmarkStart w:id="539" w:name="_Toc151193719"/>
      <w:bookmarkStart w:id="540" w:name="_Toc164229244"/>
      <w:bookmarkStart w:id="541" w:name="_Toc127161463"/>
      <w:bookmarkStart w:id="542" w:name="_Toc226309793"/>
      <w:bookmarkStart w:id="543" w:name="_Toc195842914"/>
      <w:bookmarkStart w:id="544" w:name="_Toc264969239"/>
      <w:bookmarkStart w:id="545" w:name="_Toc164229390"/>
      <w:bookmarkStart w:id="546" w:name="_Toc149720842"/>
      <w:bookmarkStart w:id="547" w:name="_Toc150774649"/>
      <w:bookmarkStart w:id="548" w:name="_Toc164608818"/>
      <w:bookmarkStart w:id="549" w:name="_Toc151193791"/>
      <w:bookmarkStart w:id="550" w:name="_Toc151193647"/>
      <w:bookmarkStart w:id="551" w:name="_Toc127151549"/>
      <w:bookmarkStart w:id="552" w:name="_Toc150509300"/>
      <w:bookmarkStart w:id="553" w:name="_Toc151193937"/>
      <w:bookmarkStart w:id="554" w:name="_Toc265228387"/>
      <w:bookmarkStart w:id="555" w:name="_Toc520356176"/>
      <w:bookmarkStart w:id="556" w:name="_Ref467306425"/>
      <w:bookmarkStart w:id="557" w:name="_Ref467307090"/>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6"/>
      <w:bookmarkEnd w:id="527"/>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Pr>
        <w:numPr>
          <w:ilvl w:val="0"/>
          <w:numId w:val="8"/>
        </w:numPr>
        <w:tabs>
          <w:tab w:val="left" w:pos="360"/>
        </w:tabs>
        <w:snapToGrid w:val="0"/>
        <w:spacing w:line="360" w:lineRule="auto"/>
        <w:ind w:left="357" w:hanging="357"/>
        <w:outlineLvl w:val="1"/>
        <w:rPr>
          <w:rFonts w:ascii="宋体" w:hAnsi="宋体"/>
          <w:sz w:val="24"/>
        </w:rPr>
      </w:pPr>
      <w:bookmarkStart w:id="558" w:name="_Toc305158892"/>
      <w:bookmarkStart w:id="559" w:name="_Toc151193648"/>
      <w:bookmarkStart w:id="560" w:name="_Ref467306978"/>
      <w:bookmarkStart w:id="561" w:name="_Toc226965823"/>
      <w:bookmarkStart w:id="562" w:name="_Toc151193938"/>
      <w:bookmarkStart w:id="563" w:name="_Toc164351644"/>
      <w:bookmarkStart w:id="564" w:name="_Toc226309794"/>
      <w:bookmarkStart w:id="565" w:name="_Toc265228388"/>
      <w:bookmarkStart w:id="566" w:name="_Toc226965740"/>
      <w:bookmarkStart w:id="567" w:name="_Toc149720843"/>
      <w:bookmarkStart w:id="568" w:name="_Toc305158818"/>
      <w:bookmarkStart w:id="569" w:name="_Ref467307204"/>
      <w:bookmarkStart w:id="570" w:name="_Toc142311052"/>
      <w:bookmarkStart w:id="571" w:name="_Ref467307062"/>
      <w:bookmarkStart w:id="572" w:name="_Toc150509301"/>
      <w:bookmarkStart w:id="573" w:name="_Toc151193864"/>
      <w:bookmarkStart w:id="574" w:name="_Toc195842915"/>
      <w:bookmarkStart w:id="575" w:name="_Toc151190177"/>
      <w:bookmarkStart w:id="576" w:name="_Toc151193720"/>
      <w:bookmarkStart w:id="577" w:name="_Toc164608664"/>
      <w:bookmarkStart w:id="578" w:name="_Toc150774650"/>
      <w:bookmarkStart w:id="579" w:name="_Toc150480788"/>
      <w:bookmarkStart w:id="580" w:name="_Toc150774755"/>
      <w:bookmarkStart w:id="581" w:name="_Toc264969240"/>
      <w:bookmarkStart w:id="582" w:name="_Toc151193792"/>
      <w:bookmarkStart w:id="583" w:name="_Toc520356175"/>
      <w:bookmarkStart w:id="584" w:name="_Toc164608819"/>
      <w:bookmarkStart w:id="585" w:name="_Toc127151751"/>
      <w:bookmarkStart w:id="586" w:name="_Toc164229391"/>
      <w:bookmarkStart w:id="587" w:name="_Toc226337246"/>
      <w:bookmarkStart w:id="588" w:name="_Toc164229245"/>
      <w:bookmarkStart w:id="589" w:name="_Ref467306377"/>
      <w:bookmarkStart w:id="590" w:name="_Toc127161464"/>
      <w:bookmarkStart w:id="591" w:name="_Toc127151550"/>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5"/>
    <w:bookmarkEnd w:id="556"/>
    <w:bookmarkEnd w:id="557"/>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2" w:name="_Toc353825544"/>
      <w:bookmarkStart w:id="593" w:name="_Toc127151554"/>
      <w:bookmarkStart w:id="594" w:name="_Toc265228392"/>
      <w:bookmarkStart w:id="595" w:name="_Toc305158822"/>
      <w:bookmarkStart w:id="596" w:name="_Toc305158896"/>
      <w:bookmarkStart w:id="597" w:name="_Toc150774759"/>
      <w:bookmarkStart w:id="598" w:name="_Toc142311056"/>
      <w:bookmarkStart w:id="599" w:name="_Toc226337250"/>
      <w:bookmarkStart w:id="600" w:name="_Toc353873664"/>
      <w:bookmarkStart w:id="601" w:name="_Toc150480792"/>
      <w:bookmarkStart w:id="602" w:name="_Toc264969244"/>
      <w:bookmarkStart w:id="603" w:name="_Toc226965827"/>
      <w:bookmarkStart w:id="604" w:name="_Toc353873934"/>
      <w:r>
        <w:rPr>
          <w:rFonts w:ascii="宋体" w:hAnsi="宋体"/>
          <w:sz w:val="24"/>
        </w:rPr>
        <w:br w:type="page"/>
      </w:r>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20532"/>
      <w:bookmarkStart w:id="606" w:name="_Toc31330"/>
      <w:bookmarkStart w:id="607" w:name="_Toc99301422"/>
      <w:bookmarkStart w:id="608" w:name="_Toc487900382"/>
      <w:r>
        <w:rPr>
          <w:b/>
          <w:sz w:val="36"/>
          <w:szCs w:val="36"/>
        </w:rPr>
        <w:t>第三章   评审方法和评审标准</w:t>
      </w:r>
      <w:bookmarkEnd w:id="605"/>
      <w:bookmarkEnd w:id="606"/>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7"/>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9" w:name="_Hlt487972895"/>
            <w:bookmarkEnd w:id="609"/>
            <w:bookmarkStart w:id="610" w:name="_Toc353825550"/>
            <w:bookmarkStart w:id="611" w:name="_Toc353873940"/>
            <w:bookmarkStart w:id="612" w:name="_Toc127161490"/>
            <w:bookmarkStart w:id="613" w:name="_Toc127151779"/>
            <w:bookmarkStart w:id="614" w:name="_Toc226965858"/>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r>
              <w:rPr>
                <w:rFonts w:hint="eastAsia"/>
                <w:sz w:val="24"/>
              </w:rPr>
              <w:t>单独密封提交，具体要求见第二章供应商须知</w:t>
            </w:r>
          </w:p>
        </w:tc>
        <w:bookmarkStart w:id="615" w:name="_Hlt522424701"/>
        <w:bookmarkStart w:id="616"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5</w:t>
            </w:r>
          </w:p>
        </w:tc>
        <w:tc>
          <w:tcPr>
            <w:tcW w:w="1067" w:type="pct"/>
            <w:vAlign w:val="center"/>
          </w:tcPr>
          <w:p>
            <w:pPr>
              <w:tabs>
                <w:tab w:val="left" w:pos="1080"/>
              </w:tabs>
              <w:snapToGrid w:val="0"/>
              <w:rPr>
                <w:sz w:val="24"/>
              </w:rPr>
            </w:pPr>
            <w:r>
              <w:rPr>
                <w:rFonts w:hint="eastAsia"/>
                <w:sz w:val="24"/>
                <w:szCs w:val="20"/>
              </w:rPr>
              <w:t>代理费承诺书</w:t>
            </w:r>
          </w:p>
        </w:tc>
        <w:tc>
          <w:tcPr>
            <w:tcW w:w="2596" w:type="pct"/>
            <w:vAlign w:val="center"/>
          </w:tcPr>
          <w:p>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5"/>
      <w:bookmarkEnd w:id="616"/>
    </w:tbl>
    <w:p>
      <w:pPr>
        <w:widowControl/>
        <w:jc w:val="left"/>
        <w:rPr>
          <w:rFonts w:ascii="宋体" w:hAnsi="宋体"/>
          <w:sz w:val="24"/>
        </w:rPr>
      </w:pPr>
      <w:r>
        <w:rPr>
          <w:rFonts w:ascii="宋体" w:hAnsi="宋体"/>
          <w:sz w:val="24"/>
        </w:rPr>
        <w:br w:type="page"/>
      </w:r>
    </w:p>
    <w:bookmarkEnd w:id="610"/>
    <w:bookmarkEnd w:id="611"/>
    <w:bookmarkEnd w:id="612"/>
    <w:bookmarkEnd w:id="613"/>
    <w:bookmarkEnd w:id="614"/>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7" w:name="_Toc353825551"/>
      <w:bookmarkStart w:id="618" w:name="_Toc353873941"/>
      <w:bookmarkStart w:id="619" w:name="_Toc150774760"/>
      <w:bookmarkStart w:id="620" w:name="_Toc353873665"/>
      <w:bookmarkStart w:id="621" w:name="_Toc150480793"/>
      <w:bookmarkStart w:id="622" w:name="_Toc305158823"/>
      <w:bookmarkStart w:id="623" w:name="_Toc226337251"/>
      <w:bookmarkStart w:id="624" w:name="_Toc353873935"/>
      <w:bookmarkStart w:id="625" w:name="_Toc226965828"/>
      <w:bookmarkStart w:id="626" w:name="_Toc142311057"/>
      <w:bookmarkStart w:id="627" w:name="_Toc353825545"/>
      <w:bookmarkStart w:id="628" w:name="_Toc264969245"/>
      <w:bookmarkStart w:id="629" w:name="_Toc127151555"/>
      <w:bookmarkStart w:id="630" w:name="_Toc305158897"/>
      <w:bookmarkStart w:id="631" w:name="_Toc195842920"/>
      <w:bookmarkStart w:id="632" w:name="_Toc265228393"/>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，并提供证明文件复印件：</w:t>
            </w:r>
          </w:p>
          <w:p>
            <w:pPr>
              <w:spacing w:line="276" w:lineRule="auto"/>
              <w:ind w:firstLine="29"/>
              <w:rPr>
                <w:rFonts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pPr>
              <w:autoSpaceDE w:val="0"/>
              <w:autoSpaceDN w:val="0"/>
              <w:adjustRightInd w:val="0"/>
              <w:spacing w:line="276" w:lineRule="auto"/>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spacing w:line="276" w:lineRule="auto"/>
              <w:ind w:firstLine="29"/>
              <w:rPr>
                <w:rFonts w:ascii="宋体" w:hAnsi="宋体"/>
                <w:sz w:val="24"/>
              </w:rPr>
            </w:pPr>
            <w:r>
              <w:rPr>
                <w:rFonts w:ascii="宋体" w:hAnsi="宋体"/>
                <w:sz w:val="24"/>
              </w:rPr>
              <w:t>3</w:t>
            </w:r>
            <w:r>
              <w:rPr>
                <w:rFonts w:hint="eastAsia" w:ascii="宋体" w:hAnsi="宋体"/>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spacing w:line="276" w:lineRule="auto"/>
              <w:ind w:firstLine="29"/>
              <w:rPr>
                <w:rFonts w:ascii="宋体" w:hAnsi="宋体"/>
                <w:sz w:val="24"/>
              </w:rPr>
            </w:pPr>
            <w:r>
              <w:rPr>
                <w:rFonts w:ascii="宋体" w:hAnsi="宋体"/>
                <w:sz w:val="24"/>
              </w:rPr>
              <w:t>4</w:t>
            </w:r>
            <w:r>
              <w:rPr>
                <w:rFonts w:hint="eastAsia" w:ascii="宋体" w:hAnsi="宋体"/>
                <w:sz w:val="24"/>
              </w:rPr>
              <w:t>）</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pPr>
              <w:widowControl/>
              <w:jc w:val="left"/>
              <w:rPr>
                <w:color w:val="000000"/>
                <w:kern w:val="0"/>
                <w:sz w:val="24"/>
              </w:rPr>
            </w:pPr>
            <w:r>
              <w:rPr>
                <w:rFonts w:hint="eastAsia"/>
                <w:iCs/>
                <w:sz w:val="24"/>
              </w:rPr>
              <w:t>5）投标产品须符合国家有关部门的强制性规定或要求。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7"/>
      <w:bookmarkEnd w:id="618"/>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150480784"/>
      <w:bookmarkStart w:id="634" w:name="_Toc305158814"/>
      <w:bookmarkStart w:id="635" w:name="_Toc151193934"/>
      <w:bookmarkStart w:id="636" w:name="_Toc305158888"/>
      <w:bookmarkStart w:id="637" w:name="_Toc149720839"/>
      <w:bookmarkStart w:id="638" w:name="_Toc151193788"/>
      <w:bookmarkStart w:id="639" w:name="_Toc520356170"/>
      <w:bookmarkStart w:id="640" w:name="_Toc142311048"/>
      <w:bookmarkStart w:id="641" w:name="_Toc226337242"/>
      <w:bookmarkStart w:id="642" w:name="_Toc226309790"/>
      <w:bookmarkStart w:id="643" w:name="_Toc265228384"/>
      <w:bookmarkStart w:id="644" w:name="_Toc226965736"/>
      <w:bookmarkStart w:id="645" w:name="_Ref467307010"/>
      <w:bookmarkStart w:id="646" w:name="_Toc164351640"/>
      <w:bookmarkStart w:id="647" w:name="_Toc150774646"/>
      <w:bookmarkStart w:id="648" w:name="_Toc164608815"/>
      <w:bookmarkStart w:id="649" w:name="_Toc151190173"/>
      <w:bookmarkStart w:id="650" w:name="_Toc127151747"/>
      <w:bookmarkStart w:id="651" w:name="_Toc151193644"/>
      <w:bookmarkStart w:id="652" w:name="_Toc226965819"/>
      <w:bookmarkStart w:id="653" w:name="_Toc264969236"/>
      <w:bookmarkStart w:id="654" w:name="_Toc150774751"/>
      <w:bookmarkStart w:id="655" w:name="_Toc150509297"/>
      <w:bookmarkStart w:id="656" w:name="_Toc164229387"/>
      <w:bookmarkStart w:id="657" w:name="_Toc164608660"/>
      <w:bookmarkStart w:id="658" w:name="_Toc164229241"/>
      <w:bookmarkStart w:id="659" w:name="_Toc127151546"/>
      <w:bookmarkStart w:id="660" w:name="_Toc151193716"/>
      <w:bookmarkStart w:id="661" w:name="_Toc195842911"/>
      <w:bookmarkStart w:id="662" w:name="_Toc127161460"/>
      <w:bookmarkStart w:id="663" w:name="_Toc151193860"/>
      <w:r>
        <w:rPr>
          <w:rFonts w:hint="eastAsia" w:ascii="宋体" w:hAnsi="宋体"/>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p>
      <w:pPr>
        <w:spacing w:line="360" w:lineRule="auto"/>
        <w:rPr>
          <w:rFonts w:ascii="宋体" w:hAnsi="宋体"/>
          <w:b/>
          <w:bCs/>
          <w:sz w:val="24"/>
        </w:rPr>
      </w:pPr>
    </w:p>
    <w:tbl>
      <w:tblPr>
        <w:tblStyle w:val="4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618"/>
        <w:gridCol w:w="4749"/>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Align w:val="center"/>
          </w:tcPr>
          <w:p>
            <w:pPr>
              <w:snapToGrid w:val="0"/>
              <w:jc w:val="center"/>
              <w:rPr>
                <w:rFonts w:ascii="宋体" w:hAnsi="宋体" w:cs="宋体"/>
                <w:b/>
                <w:sz w:val="22"/>
              </w:rPr>
            </w:pPr>
            <w:r>
              <w:rPr>
                <w:rFonts w:hint="eastAsia" w:ascii="宋体" w:hAnsi="宋体" w:cs="宋体"/>
                <w:b/>
                <w:kern w:val="20"/>
                <w:sz w:val="22"/>
                <w:lang w:val="zh-CN"/>
              </w:rPr>
              <w:t>类别</w:t>
            </w:r>
          </w:p>
        </w:tc>
        <w:tc>
          <w:tcPr>
            <w:tcW w:w="950" w:type="pct"/>
            <w:vAlign w:val="center"/>
          </w:tcPr>
          <w:p>
            <w:pPr>
              <w:snapToGrid w:val="0"/>
              <w:jc w:val="center"/>
              <w:rPr>
                <w:rFonts w:ascii="宋体" w:hAnsi="宋体" w:cs="宋体"/>
                <w:b/>
                <w:sz w:val="22"/>
              </w:rPr>
            </w:pPr>
            <w:r>
              <w:rPr>
                <w:rFonts w:hint="eastAsia" w:ascii="宋体" w:hAnsi="宋体" w:cs="宋体"/>
                <w:b/>
                <w:kern w:val="20"/>
                <w:sz w:val="22"/>
                <w:lang w:val="zh-CN"/>
              </w:rPr>
              <w:t>评审因素</w:t>
            </w:r>
          </w:p>
        </w:tc>
        <w:tc>
          <w:tcPr>
            <w:tcW w:w="2788" w:type="pct"/>
            <w:vAlign w:val="center"/>
          </w:tcPr>
          <w:p>
            <w:pPr>
              <w:snapToGrid w:val="0"/>
              <w:jc w:val="center"/>
              <w:rPr>
                <w:rFonts w:ascii="宋体" w:hAnsi="宋体" w:cs="宋体"/>
                <w:b/>
                <w:bCs/>
                <w:sz w:val="22"/>
              </w:rPr>
            </w:pPr>
            <w:r>
              <w:rPr>
                <w:rFonts w:hint="eastAsia" w:ascii="宋体" w:hAnsi="宋体" w:cs="宋体"/>
                <w:b/>
                <w:bCs/>
                <w:kern w:val="20"/>
                <w:sz w:val="22"/>
                <w:szCs w:val="18"/>
                <w:lang w:val="zh-CN"/>
              </w:rPr>
              <w:t>评分标准说明</w:t>
            </w:r>
          </w:p>
        </w:tc>
        <w:tc>
          <w:tcPr>
            <w:tcW w:w="736" w:type="pct"/>
            <w:vAlign w:val="center"/>
          </w:tcPr>
          <w:p>
            <w:pPr>
              <w:snapToGrid w:val="0"/>
              <w:jc w:val="center"/>
              <w:rPr>
                <w:rFonts w:ascii="宋体" w:hAnsi="宋体" w:cs="宋体"/>
                <w:b/>
                <w:sz w:val="22"/>
              </w:rPr>
            </w:pPr>
            <w:r>
              <w:rPr>
                <w:rFonts w:hint="eastAsia" w:ascii="宋体" w:hAnsi="宋体" w:cs="宋体"/>
                <w:b/>
                <w:kern w:val="20"/>
                <w:sz w:val="22"/>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tcPr>
          <w:p>
            <w:pPr>
              <w:jc w:val="center"/>
              <w:rPr>
                <w:rFonts w:ascii="宋体" w:hAnsi="宋体" w:cs="宋体"/>
                <w:sz w:val="22"/>
                <w:szCs w:val="18"/>
              </w:rPr>
            </w:pPr>
            <w:r>
              <w:rPr>
                <w:rFonts w:hint="eastAsia" w:ascii="宋体" w:hAnsi="宋体" w:cs="宋体"/>
                <w:kern w:val="20"/>
                <w:sz w:val="22"/>
                <w:szCs w:val="18"/>
                <w:lang w:val="zh-CN"/>
              </w:rPr>
              <w:t>价格分</w:t>
            </w:r>
          </w:p>
        </w:tc>
        <w:tc>
          <w:tcPr>
            <w:tcW w:w="950" w:type="pct"/>
          </w:tcPr>
          <w:p>
            <w:pPr>
              <w:jc w:val="center"/>
              <w:rPr>
                <w:rFonts w:ascii="宋体" w:hAnsi="宋体" w:cs="宋体"/>
                <w:sz w:val="22"/>
                <w:szCs w:val="18"/>
              </w:rPr>
            </w:pPr>
            <w:r>
              <w:rPr>
                <w:rFonts w:hint="eastAsia" w:ascii="宋体" w:hAnsi="宋体" w:cs="宋体"/>
                <w:kern w:val="20"/>
                <w:sz w:val="22"/>
                <w:szCs w:val="18"/>
                <w:lang w:val="zh-CN"/>
              </w:rPr>
              <w:t>价格分</w:t>
            </w:r>
          </w:p>
        </w:tc>
        <w:tc>
          <w:tcPr>
            <w:tcW w:w="2788" w:type="pct"/>
          </w:tcPr>
          <w:p>
            <w:pPr>
              <w:rPr>
                <w:rFonts w:ascii="宋体" w:hAnsi="宋体" w:cs="宋体"/>
                <w:sz w:val="22"/>
                <w:szCs w:val="18"/>
              </w:rPr>
            </w:pPr>
            <w:r>
              <w:rPr>
                <w:rFonts w:hint="eastAsia" w:ascii="宋体" w:hAnsi="宋体" w:cs="宋体"/>
                <w:sz w:val="22"/>
                <w:szCs w:val="18"/>
              </w:rPr>
              <w:t>满足采购文件要求且价格最低的报价为评标基准价，其价格分为满分。其他供应商的价格分统一按照下列公式计算：报价得分=(评标基准价／报价)×10%×100</w:t>
            </w:r>
          </w:p>
        </w:tc>
        <w:tc>
          <w:tcPr>
            <w:tcW w:w="736" w:type="pct"/>
          </w:tcPr>
          <w:p>
            <w:pPr>
              <w:jc w:val="center"/>
              <w:rPr>
                <w:rFonts w:ascii="宋体" w:hAnsi="宋体" w:cs="宋体"/>
                <w:sz w:val="22"/>
                <w:szCs w:val="18"/>
              </w:rPr>
            </w:pPr>
            <w:r>
              <w:rPr>
                <w:rFonts w:hint="eastAsia" w:ascii="宋体" w:hAnsi="宋体" w:cs="宋体"/>
                <w:kern w:val="20"/>
                <w:sz w:val="22"/>
                <w:szCs w:val="18"/>
              </w:rPr>
              <w:t>1</w:t>
            </w:r>
            <w:r>
              <w:rPr>
                <w:rFonts w:hint="eastAsia" w:ascii="宋体" w:hAnsi="宋体" w:cs="宋体"/>
                <w:kern w:val="20"/>
                <w:sz w:val="22"/>
                <w:szCs w:val="18"/>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restart"/>
          </w:tcPr>
          <w:p>
            <w:pPr>
              <w:jc w:val="center"/>
              <w:rPr>
                <w:rFonts w:ascii="宋体" w:hAnsi="宋体" w:cs="宋体"/>
                <w:sz w:val="22"/>
                <w:szCs w:val="18"/>
              </w:rPr>
            </w:pPr>
            <w:r>
              <w:rPr>
                <w:rFonts w:hint="eastAsia" w:ascii="宋体" w:hAnsi="宋体" w:cs="宋体"/>
                <w:kern w:val="20"/>
                <w:sz w:val="22"/>
                <w:szCs w:val="18"/>
                <w:lang w:val="zh-CN"/>
              </w:rPr>
              <w:t>商务部分</w:t>
            </w:r>
          </w:p>
        </w:tc>
        <w:tc>
          <w:tcPr>
            <w:tcW w:w="950" w:type="pct"/>
          </w:tcPr>
          <w:p>
            <w:pPr>
              <w:jc w:val="center"/>
              <w:rPr>
                <w:rFonts w:ascii="宋体" w:hAnsi="宋体" w:cs="宋体"/>
                <w:kern w:val="20"/>
                <w:sz w:val="22"/>
                <w:szCs w:val="18"/>
              </w:rPr>
            </w:pPr>
            <w:r>
              <w:rPr>
                <w:rFonts w:hint="eastAsia" w:ascii="宋体" w:hAnsi="宋体" w:cs="宋体"/>
                <w:kern w:val="20"/>
                <w:sz w:val="22"/>
                <w:szCs w:val="18"/>
              </w:rPr>
              <w:t>同类项目业绩</w:t>
            </w:r>
          </w:p>
        </w:tc>
        <w:tc>
          <w:tcPr>
            <w:tcW w:w="2788" w:type="pct"/>
          </w:tcPr>
          <w:p>
            <w:pPr>
              <w:rPr>
                <w:rFonts w:ascii="宋体" w:hAnsi="宋体" w:cs="宋体"/>
                <w:sz w:val="22"/>
                <w:szCs w:val="18"/>
              </w:rPr>
            </w:pPr>
            <w:r>
              <w:rPr>
                <w:rFonts w:hint="eastAsia" w:ascii="宋体" w:hAnsi="宋体" w:cs="宋体"/>
                <w:sz w:val="22"/>
                <w:szCs w:val="18"/>
              </w:rPr>
              <w:t>提供投标人近三年(2021 年1 月1日至今， 合同或协议签字日期为准) 承担的同类项目业绩，每提供 1 个有效案例得 1分，最高 5分。</w:t>
            </w:r>
          </w:p>
          <w:p>
            <w:pPr>
              <w:rPr>
                <w:rFonts w:ascii="宋体" w:hAnsi="宋体" w:cs="宋体"/>
                <w:sz w:val="22"/>
                <w:szCs w:val="18"/>
              </w:rPr>
            </w:pPr>
            <w:r>
              <w:rPr>
                <w:rFonts w:hint="eastAsia" w:ascii="宋体" w:hAnsi="宋体" w:cs="宋体"/>
                <w:sz w:val="22"/>
                <w:szCs w:val="18"/>
              </w:rPr>
              <w:t>注：供应商需提供采购合同或协议 (至少项目名称及内容页、双方盖章页) 复印件加盖通胀，否则业绩不予认可。</w:t>
            </w:r>
          </w:p>
        </w:tc>
        <w:tc>
          <w:tcPr>
            <w:tcW w:w="736" w:type="pct"/>
          </w:tcPr>
          <w:p>
            <w:pPr>
              <w:jc w:val="center"/>
              <w:rPr>
                <w:rFonts w:ascii="宋体" w:hAnsi="宋体" w:cs="宋体"/>
                <w:kern w:val="20"/>
                <w:sz w:val="22"/>
                <w:szCs w:val="18"/>
              </w:rPr>
            </w:pPr>
            <w:r>
              <w:rPr>
                <w:rFonts w:hint="eastAsia" w:ascii="宋体" w:hAnsi="宋体" w:cs="宋体"/>
                <w:kern w:val="20"/>
                <w:sz w:val="22"/>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tcPr>
          <w:p>
            <w:pPr>
              <w:jc w:val="center"/>
              <w:rPr>
                <w:rFonts w:hint="eastAsia" w:ascii="宋体" w:hAnsi="宋体" w:cs="宋体"/>
                <w:kern w:val="20"/>
                <w:sz w:val="22"/>
                <w:szCs w:val="18"/>
                <w:lang w:val="zh-CN"/>
              </w:rPr>
            </w:pPr>
          </w:p>
        </w:tc>
        <w:tc>
          <w:tcPr>
            <w:tcW w:w="950" w:type="pct"/>
          </w:tcPr>
          <w:p>
            <w:pPr>
              <w:jc w:val="center"/>
              <w:rPr>
                <w:rFonts w:hint="default" w:ascii="宋体" w:hAnsi="宋体" w:eastAsia="宋体" w:cs="宋体"/>
                <w:kern w:val="20"/>
                <w:sz w:val="22"/>
                <w:szCs w:val="18"/>
                <w:lang w:val="en-US" w:eastAsia="zh-CN"/>
              </w:rPr>
            </w:pPr>
            <w:r>
              <w:rPr>
                <w:rFonts w:hint="eastAsia" w:ascii="宋体" w:hAnsi="宋体" w:cs="宋体"/>
                <w:kern w:val="20"/>
                <w:sz w:val="22"/>
                <w:szCs w:val="18"/>
                <w:lang w:val="en-US" w:eastAsia="zh-CN"/>
              </w:rPr>
              <w:t>有利于项目实施的证书</w:t>
            </w:r>
          </w:p>
        </w:tc>
        <w:tc>
          <w:tcPr>
            <w:tcW w:w="2788" w:type="pct"/>
          </w:tcPr>
          <w:p>
            <w:pPr>
              <w:rPr>
                <w:rFonts w:hint="eastAsia"/>
                <w:lang w:val="en-US" w:eastAsia="zh-CN"/>
              </w:rPr>
            </w:pPr>
            <w:r>
              <w:rPr>
                <w:rFonts w:hint="eastAsia"/>
                <w:lang w:val="en-US" w:eastAsia="zh-CN"/>
              </w:rPr>
              <w:t>供应商具备</w:t>
            </w:r>
            <w:r>
              <w:t>中华人民共和国基础电信业务经营许可证</w:t>
            </w:r>
            <w:r>
              <w:rPr>
                <w:rFonts w:hint="eastAsia"/>
                <w:lang w:val="en-US" w:eastAsia="zh-CN"/>
              </w:rPr>
              <w:t>可得5分，具备</w:t>
            </w:r>
            <w:r>
              <w:t>中华人民共和国</w:t>
            </w:r>
            <w:r>
              <w:rPr>
                <w:rFonts w:hint="eastAsia"/>
                <w:lang w:val="en-US" w:eastAsia="zh-CN"/>
              </w:rPr>
              <w:t>增值</w:t>
            </w:r>
            <w:r>
              <w:t>电信业务经营许可证</w:t>
            </w:r>
            <w:r>
              <w:rPr>
                <w:rFonts w:hint="eastAsia"/>
                <w:lang w:val="en-US" w:eastAsia="zh-CN"/>
              </w:rPr>
              <w:t>可得2分，否则得0分。</w:t>
            </w:r>
          </w:p>
          <w:p>
            <w:pPr>
              <w:pStyle w:val="2"/>
              <w:rPr>
                <w:rFonts w:hint="default"/>
                <w:lang w:val="en-US" w:eastAsia="zh-CN"/>
              </w:rPr>
            </w:pPr>
            <w:r>
              <w:rPr>
                <w:rFonts w:hint="eastAsia"/>
                <w:lang w:val="en-US" w:eastAsia="zh-CN"/>
              </w:rPr>
              <w:t>注：提供有效证书复印件，加盖供应商公章</w:t>
            </w:r>
          </w:p>
        </w:tc>
        <w:tc>
          <w:tcPr>
            <w:tcW w:w="736" w:type="pct"/>
          </w:tcPr>
          <w:p>
            <w:pPr>
              <w:jc w:val="center"/>
              <w:rPr>
                <w:rFonts w:hint="eastAsia" w:ascii="宋体" w:hAnsi="宋体" w:eastAsia="宋体" w:cs="宋体"/>
                <w:kern w:val="20"/>
                <w:sz w:val="22"/>
                <w:szCs w:val="18"/>
                <w:lang w:val="en-US" w:eastAsia="zh-CN"/>
              </w:rPr>
            </w:pPr>
            <w:r>
              <w:rPr>
                <w:rFonts w:hint="eastAsia" w:ascii="宋体" w:hAnsi="宋体" w:cs="宋体"/>
                <w:kern w:val="20"/>
                <w:sz w:val="22"/>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restart"/>
          </w:tcPr>
          <w:p>
            <w:pPr>
              <w:jc w:val="center"/>
              <w:rPr>
                <w:rFonts w:ascii="宋体" w:hAnsi="宋体" w:cs="宋体"/>
                <w:sz w:val="22"/>
                <w:szCs w:val="18"/>
              </w:rPr>
            </w:pPr>
            <w:r>
              <w:rPr>
                <w:rFonts w:hint="eastAsia" w:ascii="宋体" w:hAnsi="宋体" w:cs="宋体"/>
                <w:kern w:val="20"/>
                <w:sz w:val="22"/>
                <w:szCs w:val="18"/>
                <w:lang w:val="zh-CN"/>
              </w:rPr>
              <w:t>技术</w:t>
            </w:r>
            <w:r>
              <w:rPr>
                <w:rFonts w:hint="eastAsia" w:ascii="宋体" w:hAnsi="宋体" w:cs="宋体"/>
                <w:kern w:val="20"/>
                <w:sz w:val="22"/>
                <w:szCs w:val="18"/>
              </w:rPr>
              <w:t>部分</w:t>
            </w:r>
          </w:p>
        </w:tc>
        <w:tc>
          <w:tcPr>
            <w:tcW w:w="950" w:type="pct"/>
          </w:tcPr>
          <w:p>
            <w:pPr>
              <w:jc w:val="center"/>
              <w:rPr>
                <w:rFonts w:ascii="宋体" w:hAnsi="宋体" w:cs="宋体"/>
                <w:sz w:val="22"/>
                <w:szCs w:val="18"/>
              </w:rPr>
            </w:pPr>
            <w:r>
              <w:rPr>
                <w:rFonts w:hint="eastAsia" w:ascii="宋体" w:hAnsi="宋体" w:cs="宋体"/>
                <w:kern w:val="20"/>
                <w:sz w:val="22"/>
                <w:szCs w:val="18"/>
                <w:lang w:val="zh-CN"/>
              </w:rPr>
              <w:t>技术</w:t>
            </w:r>
            <w:r>
              <w:rPr>
                <w:rFonts w:hint="eastAsia" w:ascii="宋体" w:hAnsi="宋体" w:cs="宋体"/>
                <w:kern w:val="20"/>
                <w:sz w:val="22"/>
                <w:szCs w:val="18"/>
              </w:rPr>
              <w:t>指标满足</w:t>
            </w:r>
            <w:r>
              <w:rPr>
                <w:rFonts w:hint="eastAsia" w:ascii="宋体" w:hAnsi="宋体" w:cs="宋体"/>
                <w:kern w:val="20"/>
                <w:sz w:val="22"/>
                <w:szCs w:val="18"/>
                <w:lang w:val="zh-CN"/>
              </w:rPr>
              <w:t>情况</w:t>
            </w:r>
          </w:p>
        </w:tc>
        <w:tc>
          <w:tcPr>
            <w:tcW w:w="2788" w:type="pct"/>
          </w:tcPr>
          <w:p>
            <w:pPr>
              <w:rPr>
                <w:rFonts w:ascii="宋体" w:hAnsi="宋体" w:cs="宋体"/>
                <w:sz w:val="22"/>
                <w:szCs w:val="18"/>
              </w:rPr>
            </w:pPr>
            <w:r>
              <w:rPr>
                <w:rFonts w:hint="eastAsia" w:ascii="宋体" w:hAnsi="宋体" w:cs="宋体"/>
                <w:sz w:val="22"/>
                <w:szCs w:val="18"/>
              </w:rPr>
              <w:t>第四章采购需求中一至三项的指标满足或优于指标要求并按要求提供证明材料每项得</w:t>
            </w:r>
            <w:r>
              <w:rPr>
                <w:rFonts w:hint="eastAsia" w:ascii="宋体" w:hAnsi="宋体" w:cs="宋体"/>
                <w:sz w:val="22"/>
                <w:szCs w:val="18"/>
                <w:lang w:val="en-US" w:eastAsia="zh-CN"/>
              </w:rPr>
              <w:t>4</w:t>
            </w:r>
            <w:r>
              <w:rPr>
                <w:rFonts w:hint="eastAsia" w:ascii="宋体" w:hAnsi="宋体" w:cs="宋体"/>
                <w:sz w:val="22"/>
                <w:szCs w:val="18"/>
              </w:rPr>
              <w:t>分，不满足或未按要求提供证明材料不得分，共计9项，最多不超过</w:t>
            </w:r>
            <w:r>
              <w:rPr>
                <w:rFonts w:hint="eastAsia" w:ascii="宋体" w:hAnsi="宋体" w:cs="宋体"/>
                <w:sz w:val="22"/>
                <w:szCs w:val="18"/>
                <w:lang w:val="en-US" w:eastAsia="zh-CN"/>
              </w:rPr>
              <w:t>36</w:t>
            </w:r>
            <w:r>
              <w:rPr>
                <w:rFonts w:hint="eastAsia" w:ascii="宋体" w:hAnsi="宋体" w:cs="宋体"/>
                <w:sz w:val="22"/>
                <w:szCs w:val="18"/>
              </w:rPr>
              <w:t>分。</w:t>
            </w:r>
          </w:p>
        </w:tc>
        <w:tc>
          <w:tcPr>
            <w:tcW w:w="736" w:type="pct"/>
          </w:tcPr>
          <w:p>
            <w:pPr>
              <w:jc w:val="center"/>
              <w:rPr>
                <w:rFonts w:hint="default" w:ascii="宋体" w:hAnsi="宋体" w:cs="宋体"/>
                <w:sz w:val="22"/>
                <w:szCs w:val="18"/>
                <w:lang w:val="en-US"/>
              </w:rPr>
            </w:pPr>
            <w:r>
              <w:rPr>
                <w:rFonts w:hint="eastAsia" w:ascii="宋体" w:hAnsi="宋体" w:cs="宋体"/>
                <w:sz w:val="22"/>
                <w:szCs w:val="1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tcPr>
          <w:p>
            <w:pPr>
              <w:jc w:val="center"/>
              <w:rPr>
                <w:rFonts w:ascii="宋体" w:hAnsi="宋体" w:cs="宋体"/>
                <w:sz w:val="22"/>
                <w:szCs w:val="18"/>
              </w:rPr>
            </w:pPr>
          </w:p>
        </w:tc>
        <w:tc>
          <w:tcPr>
            <w:tcW w:w="950" w:type="pct"/>
          </w:tcPr>
          <w:p>
            <w:pPr>
              <w:jc w:val="center"/>
              <w:rPr>
                <w:rFonts w:ascii="宋体" w:hAnsi="宋体" w:cs="宋体"/>
                <w:kern w:val="20"/>
                <w:sz w:val="22"/>
                <w:szCs w:val="18"/>
              </w:rPr>
            </w:pPr>
            <w:r>
              <w:rPr>
                <w:rFonts w:hint="eastAsia" w:ascii="宋体" w:hAnsi="宋体" w:cs="宋体"/>
                <w:kern w:val="20"/>
                <w:sz w:val="22"/>
                <w:szCs w:val="18"/>
              </w:rPr>
              <w:t>技术实施方案评价</w:t>
            </w:r>
          </w:p>
        </w:tc>
        <w:tc>
          <w:tcPr>
            <w:tcW w:w="2788" w:type="pct"/>
          </w:tcPr>
          <w:p>
            <w:r>
              <w:rPr>
                <w:rFonts w:hint="eastAsia"/>
              </w:rPr>
              <w:t>根据采购文件要求和技术响应情况，对供应商的技术实施方案进行评价，要求方案内容全面、采用合理链路、与需求匹配度高：</w:t>
            </w:r>
          </w:p>
          <w:p>
            <w:pPr>
              <w:pStyle w:val="39"/>
              <w:ind w:left="0" w:leftChars="0" w:firstLine="0" w:firstLineChars="0"/>
              <w:rPr>
                <w:rFonts w:ascii="宋体" w:hAnsi="宋体" w:cs="宋体"/>
                <w:sz w:val="22"/>
                <w:szCs w:val="18"/>
              </w:rPr>
            </w:pPr>
            <w:r>
              <w:rPr>
                <w:rFonts w:hint="eastAsia" w:ascii="宋体" w:hAnsi="宋体" w:cs="宋体"/>
                <w:sz w:val="22"/>
                <w:szCs w:val="18"/>
              </w:rPr>
              <w:t>针对性：针对性强，符合项目需要5分，针对性较强3分，针对性一般2分，针对性较差得1分，未提供方案得0分；</w:t>
            </w:r>
          </w:p>
          <w:p>
            <w:pPr>
              <w:pStyle w:val="39"/>
              <w:ind w:left="0" w:leftChars="0" w:firstLine="0" w:firstLineChars="0"/>
              <w:rPr>
                <w:rFonts w:ascii="宋体" w:hAnsi="宋体" w:cs="宋体"/>
                <w:sz w:val="22"/>
                <w:szCs w:val="18"/>
              </w:rPr>
            </w:pPr>
            <w:r>
              <w:rPr>
                <w:rFonts w:hint="eastAsia" w:ascii="宋体" w:hAnsi="宋体" w:cs="宋体"/>
                <w:sz w:val="22"/>
                <w:szCs w:val="18"/>
              </w:rPr>
              <w:t>全面性：全面细化5分，较全面细化3分，全面度一般2分，内容不细化1分，未提供相方案得0分；</w:t>
            </w:r>
          </w:p>
          <w:p>
            <w:pPr>
              <w:pStyle w:val="39"/>
              <w:ind w:left="0" w:leftChars="0" w:firstLine="0" w:firstLineChars="0"/>
            </w:pPr>
            <w:r>
              <w:rPr>
                <w:rFonts w:hint="eastAsia" w:ascii="宋体" w:hAnsi="宋体" w:cs="宋体"/>
                <w:sz w:val="22"/>
                <w:szCs w:val="18"/>
              </w:rPr>
              <w:t>可实施性：可实施性强，匹配项目实际4分，可实施性较强2分，可实施度性差1分，未提供方案0分。</w:t>
            </w:r>
          </w:p>
        </w:tc>
        <w:tc>
          <w:tcPr>
            <w:tcW w:w="736" w:type="pct"/>
          </w:tcPr>
          <w:p>
            <w:pPr>
              <w:jc w:val="center"/>
              <w:rPr>
                <w:rFonts w:ascii="宋体" w:hAnsi="宋体" w:cs="宋体"/>
                <w:kern w:val="20"/>
                <w:sz w:val="22"/>
                <w:szCs w:val="18"/>
              </w:rPr>
            </w:pPr>
            <w:r>
              <w:rPr>
                <w:rFonts w:hint="eastAsia" w:ascii="宋体" w:hAnsi="宋体" w:cs="宋体"/>
                <w:kern w:val="20"/>
                <w:sz w:val="22"/>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tcPr>
          <w:p>
            <w:pPr>
              <w:jc w:val="center"/>
              <w:rPr>
                <w:rFonts w:ascii="宋体" w:hAnsi="宋体" w:cs="宋体"/>
                <w:sz w:val="22"/>
                <w:szCs w:val="18"/>
              </w:rPr>
            </w:pPr>
          </w:p>
        </w:tc>
        <w:tc>
          <w:tcPr>
            <w:tcW w:w="950" w:type="pct"/>
          </w:tcPr>
          <w:p>
            <w:pPr>
              <w:jc w:val="center"/>
              <w:rPr>
                <w:rFonts w:ascii="宋体" w:hAnsi="宋体" w:cs="宋体"/>
                <w:kern w:val="20"/>
                <w:sz w:val="22"/>
                <w:szCs w:val="18"/>
              </w:rPr>
            </w:pPr>
            <w:r>
              <w:rPr>
                <w:rFonts w:hint="eastAsia" w:ascii="宋体" w:hAnsi="宋体" w:cs="宋体"/>
                <w:kern w:val="20"/>
                <w:sz w:val="22"/>
                <w:szCs w:val="18"/>
              </w:rPr>
              <w:t>服务计划及</w:t>
            </w:r>
            <w:r>
              <w:rPr>
                <w:rFonts w:ascii="宋体" w:hAnsi="宋体" w:cs="宋体"/>
                <w:kern w:val="20"/>
                <w:sz w:val="22"/>
                <w:szCs w:val="18"/>
              </w:rPr>
              <w:t>服务</w:t>
            </w:r>
            <w:r>
              <w:rPr>
                <w:rFonts w:hint="eastAsia" w:ascii="宋体" w:hAnsi="宋体" w:cs="宋体"/>
                <w:kern w:val="20"/>
                <w:sz w:val="22"/>
                <w:szCs w:val="18"/>
              </w:rPr>
              <w:t>响应</w:t>
            </w:r>
            <w:r>
              <w:rPr>
                <w:rFonts w:ascii="宋体" w:hAnsi="宋体" w:cs="宋体"/>
                <w:kern w:val="20"/>
                <w:sz w:val="22"/>
                <w:szCs w:val="18"/>
              </w:rPr>
              <w:t>承诺</w:t>
            </w:r>
          </w:p>
        </w:tc>
        <w:tc>
          <w:tcPr>
            <w:tcW w:w="2788" w:type="pct"/>
          </w:tcPr>
          <w:p>
            <w:pPr>
              <w:rPr>
                <w:rFonts w:ascii="宋体" w:hAnsi="宋体" w:cs="宋体"/>
                <w:sz w:val="22"/>
                <w:szCs w:val="18"/>
              </w:rPr>
            </w:pPr>
            <w:r>
              <w:rPr>
                <w:rFonts w:hint="eastAsia" w:ascii="宋体" w:hAnsi="宋体" w:cs="宋体"/>
                <w:sz w:val="22"/>
                <w:szCs w:val="18"/>
              </w:rPr>
              <w:t>服务要求响应程度高，服务计划完整，各项服务标准细化且合理，满足采购需求,得10分；</w:t>
            </w:r>
          </w:p>
          <w:p>
            <w:pPr>
              <w:rPr>
                <w:rFonts w:ascii="宋体" w:hAnsi="宋体" w:cs="宋体"/>
                <w:sz w:val="22"/>
                <w:szCs w:val="18"/>
              </w:rPr>
            </w:pPr>
            <w:r>
              <w:rPr>
                <w:rFonts w:hint="eastAsia" w:ascii="宋体" w:hAnsi="宋体" w:cs="宋体"/>
                <w:sz w:val="22"/>
                <w:szCs w:val="18"/>
              </w:rPr>
              <w:t>服务要求响应程度佳，服务计划基本完整，各项服务标准基本合理得7分；</w:t>
            </w:r>
          </w:p>
          <w:p>
            <w:pPr>
              <w:rPr>
                <w:rFonts w:ascii="宋体" w:hAnsi="宋体" w:cs="宋体"/>
                <w:sz w:val="22"/>
                <w:szCs w:val="18"/>
              </w:rPr>
            </w:pPr>
            <w:r>
              <w:rPr>
                <w:rFonts w:hint="eastAsia" w:ascii="宋体" w:hAnsi="宋体" w:cs="宋体"/>
                <w:sz w:val="22"/>
                <w:szCs w:val="18"/>
              </w:rPr>
              <w:t>服务要求响应程度一般，服务计划有欠缺，各项服务标准不够细化，部分满足采购需求，得4分；</w:t>
            </w:r>
          </w:p>
          <w:p>
            <w:pPr>
              <w:rPr>
                <w:rFonts w:ascii="宋体" w:hAnsi="宋体" w:cs="宋体"/>
                <w:sz w:val="22"/>
                <w:szCs w:val="18"/>
              </w:rPr>
            </w:pPr>
            <w:r>
              <w:rPr>
                <w:rFonts w:hint="eastAsia" w:ascii="宋体" w:hAnsi="宋体" w:cs="宋体"/>
                <w:sz w:val="22"/>
                <w:szCs w:val="18"/>
              </w:rPr>
              <w:t>服务要求响应程度差，服务计划不完整，各项服务无细化标准，不满足招标需求，得1分；</w:t>
            </w:r>
          </w:p>
          <w:p>
            <w:pPr>
              <w:rPr>
                <w:rFonts w:ascii="宋体" w:hAnsi="宋体" w:cs="宋体"/>
                <w:sz w:val="22"/>
                <w:szCs w:val="18"/>
              </w:rPr>
            </w:pPr>
            <w:r>
              <w:rPr>
                <w:rFonts w:hint="eastAsia" w:ascii="宋体" w:hAnsi="宋体" w:cs="宋体"/>
                <w:sz w:val="22"/>
                <w:szCs w:val="18"/>
              </w:rPr>
              <w:t>未提供服务方案得0分。</w:t>
            </w:r>
          </w:p>
        </w:tc>
        <w:tc>
          <w:tcPr>
            <w:tcW w:w="736" w:type="pct"/>
          </w:tcPr>
          <w:p>
            <w:pPr>
              <w:jc w:val="center"/>
              <w:rPr>
                <w:rFonts w:ascii="宋体" w:hAnsi="宋体" w:cs="宋体"/>
                <w:kern w:val="20"/>
                <w:sz w:val="22"/>
                <w:szCs w:val="18"/>
              </w:rPr>
            </w:pPr>
            <w:r>
              <w:rPr>
                <w:rFonts w:hint="eastAsia" w:ascii="宋体" w:hAnsi="宋体" w:cs="宋体"/>
                <w:kern w:val="20"/>
                <w:sz w:val="22"/>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tcPr>
          <w:p>
            <w:pPr>
              <w:jc w:val="center"/>
              <w:rPr>
                <w:rFonts w:ascii="宋体" w:hAnsi="宋体" w:cs="宋体"/>
                <w:sz w:val="22"/>
                <w:szCs w:val="18"/>
              </w:rPr>
            </w:pPr>
          </w:p>
        </w:tc>
        <w:tc>
          <w:tcPr>
            <w:tcW w:w="950" w:type="pct"/>
          </w:tcPr>
          <w:p>
            <w:pPr>
              <w:jc w:val="center"/>
              <w:rPr>
                <w:rFonts w:ascii="宋体" w:hAnsi="宋体" w:cs="宋体"/>
                <w:kern w:val="20"/>
                <w:sz w:val="22"/>
                <w:szCs w:val="18"/>
              </w:rPr>
            </w:pPr>
            <w:r>
              <w:rPr>
                <w:rFonts w:hint="eastAsia" w:ascii="宋体" w:hAnsi="宋体" w:cs="宋体"/>
                <w:kern w:val="20"/>
                <w:sz w:val="22"/>
                <w:szCs w:val="18"/>
              </w:rPr>
              <w:t>拟投入人员情况</w:t>
            </w:r>
          </w:p>
        </w:tc>
        <w:tc>
          <w:tcPr>
            <w:tcW w:w="2788" w:type="pct"/>
          </w:tcPr>
          <w:p>
            <w:pPr>
              <w:rPr>
                <w:rFonts w:ascii="宋体" w:hAnsi="宋体" w:cs="宋体"/>
                <w:sz w:val="22"/>
                <w:szCs w:val="18"/>
              </w:rPr>
            </w:pPr>
            <w:r>
              <w:rPr>
                <w:rFonts w:hint="eastAsia" w:ascii="宋体" w:hAnsi="宋体" w:cs="宋体"/>
                <w:sz w:val="22"/>
                <w:szCs w:val="18"/>
              </w:rPr>
              <w:t>人员配置水平高，数量充足结构合理，专业资质齐全，稳定性有保障：9分；</w:t>
            </w:r>
          </w:p>
          <w:p>
            <w:pPr>
              <w:rPr>
                <w:rFonts w:ascii="宋体" w:hAnsi="宋体" w:cs="宋体"/>
                <w:sz w:val="22"/>
                <w:szCs w:val="18"/>
              </w:rPr>
            </w:pPr>
            <w:r>
              <w:rPr>
                <w:rFonts w:hint="eastAsia" w:ascii="宋体" w:hAnsi="宋体" w:cs="宋体"/>
                <w:sz w:val="22"/>
                <w:szCs w:val="18"/>
              </w:rPr>
              <w:t>人员配置水平较好，数量较多结构基本合理，专业资质情况较好，经验有欠缺：6分；</w:t>
            </w:r>
          </w:p>
          <w:p>
            <w:pPr>
              <w:rPr>
                <w:rFonts w:ascii="宋体" w:hAnsi="宋体" w:cs="宋体"/>
                <w:sz w:val="22"/>
                <w:szCs w:val="18"/>
              </w:rPr>
            </w:pPr>
            <w:r>
              <w:rPr>
                <w:rFonts w:hint="eastAsia" w:ascii="宋体" w:hAnsi="宋体" w:cs="宋体"/>
                <w:sz w:val="22"/>
                <w:szCs w:val="18"/>
              </w:rPr>
              <w:t>人员配置水平一般，数量较多结构不够合理，专业资质有欠缺：3分；</w:t>
            </w:r>
          </w:p>
          <w:p>
            <w:pPr>
              <w:rPr>
                <w:rFonts w:ascii="宋体" w:hAnsi="宋体" w:cs="宋体"/>
                <w:sz w:val="22"/>
                <w:szCs w:val="18"/>
              </w:rPr>
            </w:pPr>
            <w:r>
              <w:rPr>
                <w:rFonts w:hint="eastAsia" w:ascii="宋体" w:hAnsi="宋体" w:cs="宋体"/>
                <w:sz w:val="22"/>
                <w:szCs w:val="18"/>
              </w:rPr>
              <w:t>人员配置水平较差，数量少结构不够合理，专业资质情况较差：1分；</w:t>
            </w:r>
          </w:p>
          <w:p>
            <w:pPr>
              <w:rPr>
                <w:rFonts w:ascii="宋体" w:hAnsi="宋体" w:cs="宋体"/>
                <w:sz w:val="22"/>
                <w:szCs w:val="18"/>
              </w:rPr>
            </w:pPr>
            <w:r>
              <w:rPr>
                <w:rFonts w:hint="eastAsia" w:ascii="宋体" w:hAnsi="宋体" w:cs="宋体"/>
                <w:sz w:val="22"/>
                <w:szCs w:val="18"/>
              </w:rPr>
              <w:t>未提供相关材料或完全不满足采购需求得0分。</w:t>
            </w:r>
          </w:p>
        </w:tc>
        <w:tc>
          <w:tcPr>
            <w:tcW w:w="736" w:type="pct"/>
          </w:tcPr>
          <w:p>
            <w:pPr>
              <w:jc w:val="center"/>
              <w:rPr>
                <w:rFonts w:ascii="宋体" w:hAnsi="宋体" w:cs="宋体"/>
                <w:kern w:val="20"/>
                <w:sz w:val="22"/>
                <w:szCs w:val="18"/>
              </w:rPr>
            </w:pPr>
            <w:r>
              <w:rPr>
                <w:rFonts w:hint="eastAsia" w:ascii="宋体" w:hAnsi="宋体" w:cs="宋体"/>
                <w:kern w:val="20"/>
                <w:sz w:val="22"/>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vMerge w:val="continue"/>
          </w:tcPr>
          <w:p>
            <w:pPr>
              <w:jc w:val="center"/>
              <w:rPr>
                <w:rFonts w:ascii="宋体" w:hAnsi="宋体" w:cs="宋体"/>
                <w:sz w:val="22"/>
                <w:szCs w:val="18"/>
              </w:rPr>
            </w:pPr>
          </w:p>
        </w:tc>
        <w:tc>
          <w:tcPr>
            <w:tcW w:w="950" w:type="pct"/>
          </w:tcPr>
          <w:p>
            <w:pPr>
              <w:jc w:val="center"/>
              <w:rPr>
                <w:rFonts w:ascii="宋体" w:hAnsi="宋体" w:cs="宋体"/>
                <w:kern w:val="20"/>
                <w:sz w:val="22"/>
                <w:szCs w:val="18"/>
              </w:rPr>
            </w:pPr>
            <w:r>
              <w:rPr>
                <w:rFonts w:hint="eastAsia" w:ascii="宋体" w:hAnsi="宋体" w:cs="宋体"/>
                <w:kern w:val="20"/>
                <w:sz w:val="22"/>
                <w:szCs w:val="18"/>
              </w:rPr>
              <w:t>应急方案评价</w:t>
            </w:r>
          </w:p>
        </w:tc>
        <w:tc>
          <w:tcPr>
            <w:tcW w:w="2788" w:type="pct"/>
          </w:tcPr>
          <w:p>
            <w:pPr>
              <w:rPr>
                <w:rFonts w:ascii="宋体" w:hAnsi="宋体" w:cs="宋体"/>
                <w:sz w:val="22"/>
                <w:szCs w:val="18"/>
              </w:rPr>
            </w:pPr>
            <w:r>
              <w:rPr>
                <w:rFonts w:hint="eastAsia" w:ascii="宋体" w:hAnsi="宋体" w:cs="宋体"/>
                <w:sz w:val="22"/>
                <w:szCs w:val="18"/>
              </w:rPr>
              <w:t>根据招标文件要求和投标技术响应情况，对供应商提供的应急方案进行评价。其中：</w:t>
            </w:r>
          </w:p>
          <w:p>
            <w:pPr>
              <w:rPr>
                <w:rFonts w:ascii="宋体" w:hAnsi="宋体" w:cs="宋体"/>
                <w:sz w:val="22"/>
                <w:szCs w:val="18"/>
              </w:rPr>
            </w:pPr>
            <w:r>
              <w:rPr>
                <w:rFonts w:hint="eastAsia" w:ascii="宋体" w:hAnsi="宋体" w:cs="宋体"/>
                <w:sz w:val="22"/>
                <w:szCs w:val="18"/>
              </w:rPr>
              <w:t xml:space="preserve">(1) 供应商提供的应急事件处理预案完整、具体，能完全满足招标文件要求的得 </w:t>
            </w:r>
            <w:r>
              <w:rPr>
                <w:rFonts w:hint="eastAsia" w:ascii="宋体" w:hAnsi="宋体" w:cs="宋体"/>
                <w:sz w:val="22"/>
                <w:szCs w:val="18"/>
                <w:lang w:val="en-US" w:eastAsia="zh-CN"/>
              </w:rPr>
              <w:t>10</w:t>
            </w:r>
            <w:r>
              <w:rPr>
                <w:rFonts w:hint="eastAsia" w:ascii="宋体" w:hAnsi="宋体" w:cs="宋体"/>
                <w:sz w:val="22"/>
                <w:szCs w:val="18"/>
              </w:rPr>
              <w:t xml:space="preserve"> 分；</w:t>
            </w:r>
          </w:p>
          <w:p>
            <w:pPr>
              <w:rPr>
                <w:rFonts w:ascii="宋体" w:hAnsi="宋体" w:cs="宋体"/>
                <w:sz w:val="22"/>
                <w:szCs w:val="18"/>
              </w:rPr>
            </w:pPr>
            <w:r>
              <w:rPr>
                <w:rFonts w:hint="eastAsia" w:ascii="宋体" w:hAnsi="宋体" w:cs="宋体"/>
                <w:sz w:val="22"/>
                <w:szCs w:val="18"/>
              </w:rPr>
              <w:t xml:space="preserve">(2) 供应商提供的应急事件处理预案不够完整、具体，只能基本满足招标文件要求的得 </w:t>
            </w:r>
            <w:r>
              <w:rPr>
                <w:rFonts w:hint="eastAsia" w:ascii="宋体" w:hAnsi="宋体" w:cs="宋体"/>
                <w:sz w:val="22"/>
                <w:szCs w:val="18"/>
                <w:lang w:val="en-US" w:eastAsia="zh-CN"/>
              </w:rPr>
              <w:t>7</w:t>
            </w:r>
            <w:r>
              <w:rPr>
                <w:rFonts w:hint="eastAsia" w:ascii="宋体" w:hAnsi="宋体" w:cs="宋体"/>
                <w:sz w:val="22"/>
                <w:szCs w:val="18"/>
              </w:rPr>
              <w:t xml:space="preserve"> 分；</w:t>
            </w:r>
          </w:p>
          <w:p>
            <w:pPr>
              <w:rPr>
                <w:rFonts w:hint="eastAsia" w:ascii="宋体" w:hAnsi="宋体" w:cs="宋体"/>
                <w:sz w:val="22"/>
                <w:szCs w:val="18"/>
              </w:rPr>
            </w:pPr>
            <w:r>
              <w:rPr>
                <w:rFonts w:hint="eastAsia" w:ascii="宋体" w:hAnsi="宋体" w:cs="宋体"/>
                <w:sz w:val="22"/>
                <w:szCs w:val="18"/>
              </w:rPr>
              <w:t xml:space="preserve">(3) 供应商提供的应急事件处理预案不够完整、具体，只能部分满足招标文件要求的得 </w:t>
            </w:r>
            <w:r>
              <w:rPr>
                <w:rFonts w:hint="eastAsia" w:ascii="宋体" w:hAnsi="宋体" w:cs="宋体"/>
                <w:sz w:val="22"/>
                <w:szCs w:val="18"/>
                <w:lang w:val="en-US" w:eastAsia="zh-CN"/>
              </w:rPr>
              <w:t>4</w:t>
            </w:r>
            <w:r>
              <w:rPr>
                <w:rFonts w:hint="eastAsia" w:ascii="宋体" w:hAnsi="宋体" w:cs="宋体"/>
                <w:sz w:val="22"/>
                <w:szCs w:val="18"/>
              </w:rPr>
              <w:t xml:space="preserve"> 分；</w:t>
            </w:r>
          </w:p>
          <w:p>
            <w:pPr>
              <w:pStyle w:val="2"/>
              <w:rPr>
                <w:rFonts w:hint="default" w:eastAsia="宋体"/>
                <w:lang w:val="en-US" w:eastAsia="zh-CN"/>
              </w:rPr>
            </w:pPr>
            <w:r>
              <w:rPr>
                <w:rFonts w:hint="eastAsia" w:cs="宋体"/>
                <w:sz w:val="22"/>
                <w:szCs w:val="18"/>
                <w:lang w:eastAsia="zh-CN"/>
              </w:rPr>
              <w:t>（</w:t>
            </w:r>
            <w:r>
              <w:rPr>
                <w:rFonts w:hint="eastAsia" w:cs="宋体"/>
                <w:sz w:val="22"/>
                <w:szCs w:val="18"/>
                <w:lang w:val="en-US" w:eastAsia="zh-CN"/>
              </w:rPr>
              <w:t>4</w:t>
            </w:r>
            <w:r>
              <w:rPr>
                <w:rFonts w:hint="eastAsia" w:cs="宋体"/>
                <w:sz w:val="22"/>
                <w:szCs w:val="18"/>
                <w:lang w:eastAsia="zh-CN"/>
              </w:rPr>
              <w:t>）</w:t>
            </w:r>
            <w:r>
              <w:rPr>
                <w:rFonts w:hint="eastAsia" w:cs="宋体"/>
                <w:sz w:val="22"/>
                <w:szCs w:val="18"/>
                <w:lang w:val="en-US" w:eastAsia="zh-CN"/>
              </w:rPr>
              <w:t>供应商提供的应急事件处理预案过于简单，不满足招标文件要求得1分；</w:t>
            </w:r>
          </w:p>
          <w:p>
            <w:pPr>
              <w:rPr>
                <w:rFonts w:ascii="宋体" w:hAnsi="宋体" w:cs="宋体"/>
                <w:sz w:val="22"/>
                <w:szCs w:val="18"/>
              </w:rPr>
            </w:pPr>
            <w:r>
              <w:rPr>
                <w:rFonts w:hint="eastAsia" w:ascii="宋体" w:hAnsi="宋体" w:cs="宋体"/>
                <w:sz w:val="22"/>
                <w:szCs w:val="18"/>
              </w:rPr>
              <w:t>(</w:t>
            </w:r>
            <w:r>
              <w:rPr>
                <w:rFonts w:hint="eastAsia" w:ascii="宋体" w:hAnsi="宋体" w:cs="宋体"/>
                <w:sz w:val="22"/>
                <w:szCs w:val="18"/>
                <w:lang w:val="en-US" w:eastAsia="zh-CN"/>
              </w:rPr>
              <w:t>5</w:t>
            </w:r>
            <w:r>
              <w:rPr>
                <w:rFonts w:hint="eastAsia" w:ascii="宋体" w:hAnsi="宋体" w:cs="宋体"/>
                <w:sz w:val="22"/>
                <w:szCs w:val="18"/>
              </w:rPr>
              <w:t>) 未提供应急事件处理预案的得 0 分。</w:t>
            </w:r>
          </w:p>
        </w:tc>
        <w:tc>
          <w:tcPr>
            <w:tcW w:w="736" w:type="pct"/>
          </w:tcPr>
          <w:p>
            <w:pPr>
              <w:jc w:val="center"/>
              <w:rPr>
                <w:rFonts w:ascii="宋体" w:hAnsi="宋体" w:cs="宋体"/>
                <w:kern w:val="20"/>
                <w:sz w:val="22"/>
                <w:szCs w:val="18"/>
                <w:lang w:val="zh-CN"/>
              </w:rPr>
            </w:pPr>
            <w:r>
              <w:rPr>
                <w:rFonts w:hint="eastAsia" w:ascii="宋体" w:hAnsi="宋体" w:cs="宋体"/>
                <w:kern w:val="20"/>
                <w:sz w:val="22"/>
                <w:szCs w:val="18"/>
                <w:lang w:val="en-US" w:eastAsia="zh-CN"/>
              </w:rPr>
              <w:t>10</w:t>
            </w:r>
          </w:p>
        </w:tc>
      </w:tr>
    </w:tbl>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4" w:name="_Toc29413"/>
      <w:bookmarkStart w:id="665"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4"/>
      <w:bookmarkEnd w:id="665"/>
    </w:p>
    <w:p>
      <w:pPr>
        <w:pStyle w:val="5"/>
        <w:rPr>
          <w:rFonts w:ascii="宋体" w:hAnsi="宋体" w:eastAsia="宋体"/>
          <w:sz w:val="28"/>
        </w:rPr>
      </w:pPr>
      <w:r>
        <w:rPr>
          <w:rFonts w:hint="eastAsia" w:ascii="宋体" w:hAnsi="宋体" w:eastAsia="宋体"/>
          <w:sz w:val="28"/>
        </w:rPr>
        <w:t>第一部分：项目一览表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139"/>
        <w:gridCol w:w="2551"/>
        <w:gridCol w:w="204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pPr>
              <w:spacing w:line="360" w:lineRule="auto"/>
              <w:jc w:val="center"/>
              <w:rPr>
                <w:rFonts w:ascii="宋体" w:hAnsi="宋体"/>
                <w:b/>
                <w:bCs/>
                <w:szCs w:val="21"/>
              </w:rPr>
            </w:pPr>
            <w:r>
              <w:rPr>
                <w:rFonts w:hint="eastAsia" w:ascii="宋体" w:hAnsi="宋体"/>
                <w:b/>
                <w:bCs/>
                <w:szCs w:val="21"/>
              </w:rPr>
              <w:t>包号</w:t>
            </w:r>
          </w:p>
        </w:tc>
        <w:tc>
          <w:tcPr>
            <w:tcW w:w="668" w:type="pct"/>
            <w:vAlign w:val="center"/>
          </w:tcPr>
          <w:p>
            <w:pPr>
              <w:spacing w:line="360" w:lineRule="auto"/>
              <w:jc w:val="center"/>
              <w:rPr>
                <w:rFonts w:ascii="宋体" w:hAnsi="宋体"/>
                <w:b/>
                <w:bCs/>
                <w:szCs w:val="21"/>
              </w:rPr>
            </w:pPr>
            <w:r>
              <w:rPr>
                <w:rFonts w:hint="eastAsia" w:ascii="宋体" w:hAnsi="宋体"/>
                <w:b/>
                <w:bCs/>
                <w:szCs w:val="21"/>
              </w:rPr>
              <w:t>采购内容</w:t>
            </w:r>
          </w:p>
        </w:tc>
        <w:tc>
          <w:tcPr>
            <w:tcW w:w="1497" w:type="pct"/>
            <w:vAlign w:val="center"/>
          </w:tcPr>
          <w:p>
            <w:pPr>
              <w:spacing w:line="360" w:lineRule="auto"/>
              <w:jc w:val="center"/>
              <w:rPr>
                <w:rFonts w:ascii="宋体" w:hAnsi="宋体"/>
                <w:b/>
                <w:bCs/>
                <w:szCs w:val="21"/>
              </w:rPr>
            </w:pPr>
            <w:r>
              <w:rPr>
                <w:rFonts w:hint="eastAsia" w:ascii="宋体" w:hAnsi="宋体"/>
                <w:b/>
                <w:bCs/>
                <w:szCs w:val="21"/>
              </w:rPr>
              <w:t>数量</w:t>
            </w:r>
          </w:p>
        </w:tc>
        <w:tc>
          <w:tcPr>
            <w:tcW w:w="1198" w:type="pct"/>
            <w:vAlign w:val="center"/>
          </w:tcPr>
          <w:p>
            <w:pPr>
              <w:spacing w:line="360" w:lineRule="auto"/>
              <w:jc w:val="center"/>
              <w:rPr>
                <w:rFonts w:ascii="宋体" w:hAnsi="宋体"/>
                <w:b/>
                <w:bCs/>
                <w:szCs w:val="21"/>
              </w:rPr>
            </w:pPr>
            <w:r>
              <w:rPr>
                <w:rFonts w:hint="eastAsia" w:ascii="宋体" w:hAnsi="宋体"/>
                <w:b/>
                <w:bCs/>
                <w:szCs w:val="21"/>
              </w:rPr>
              <w:t>预算（万元）</w:t>
            </w:r>
          </w:p>
        </w:tc>
        <w:tc>
          <w:tcPr>
            <w:tcW w:w="1235" w:type="pct"/>
            <w:vAlign w:val="center"/>
          </w:tcPr>
          <w:p>
            <w:pPr>
              <w:spacing w:line="360" w:lineRule="auto"/>
              <w:jc w:val="center"/>
              <w:rPr>
                <w:rFonts w:ascii="宋体" w:hAnsi="宋体"/>
                <w:b/>
                <w:bCs/>
                <w:szCs w:val="21"/>
              </w:rPr>
            </w:pPr>
            <w:r>
              <w:rPr>
                <w:rFonts w:hint="eastAsia" w:ascii="宋体" w:hAnsi="宋体"/>
                <w:b/>
                <w:bCs/>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02" w:type="pct"/>
            <w:shd w:val="clear" w:color="000000" w:fill="FFFFFF"/>
            <w:vAlign w:val="center"/>
          </w:tcPr>
          <w:p>
            <w:pPr>
              <w:spacing w:line="360" w:lineRule="auto"/>
              <w:jc w:val="center"/>
              <w:rPr>
                <w:rFonts w:ascii="宋体" w:hAnsi="宋体"/>
                <w:szCs w:val="21"/>
              </w:rPr>
            </w:pPr>
            <w:r>
              <w:rPr>
                <w:rFonts w:hint="eastAsia" w:ascii="宋体" w:hAnsi="宋体"/>
                <w:szCs w:val="21"/>
              </w:rPr>
              <w:t>1</w:t>
            </w:r>
          </w:p>
        </w:tc>
        <w:tc>
          <w:tcPr>
            <w:tcW w:w="668" w:type="pct"/>
            <w:shd w:val="clear" w:color="000000" w:fill="FFFFFF"/>
            <w:vAlign w:val="center"/>
          </w:tcPr>
          <w:p>
            <w:pPr>
              <w:spacing w:line="360" w:lineRule="auto"/>
              <w:jc w:val="center"/>
              <w:rPr>
                <w:rFonts w:ascii="宋体" w:hAnsi="宋体"/>
                <w:szCs w:val="21"/>
              </w:rPr>
            </w:pPr>
            <w:r>
              <w:rPr>
                <w:rFonts w:hint="eastAsia" w:ascii="宋体" w:hAnsi="宋体"/>
                <w:szCs w:val="21"/>
              </w:rPr>
              <w:t>6.5G互联网专线接入服务</w:t>
            </w:r>
          </w:p>
        </w:tc>
        <w:tc>
          <w:tcPr>
            <w:tcW w:w="1497" w:type="pct"/>
            <w:shd w:val="clear" w:color="000000" w:fill="FFFFFF"/>
            <w:vAlign w:val="center"/>
          </w:tcPr>
          <w:p>
            <w:pPr>
              <w:spacing w:line="360" w:lineRule="auto"/>
              <w:jc w:val="center"/>
              <w:rPr>
                <w:rFonts w:ascii="宋体" w:hAnsi="宋体"/>
                <w:szCs w:val="21"/>
              </w:rPr>
            </w:pPr>
            <w:r>
              <w:rPr>
                <w:rFonts w:hint="eastAsia" w:ascii="宋体" w:hAnsi="宋体"/>
                <w:szCs w:val="21"/>
              </w:rPr>
              <w:t>1项</w:t>
            </w:r>
          </w:p>
        </w:tc>
        <w:tc>
          <w:tcPr>
            <w:tcW w:w="1198" w:type="pct"/>
            <w:shd w:val="clear" w:color="000000" w:fill="FFFFFF"/>
            <w:vAlign w:val="center"/>
          </w:tcPr>
          <w:p>
            <w:pPr>
              <w:spacing w:line="300" w:lineRule="auto"/>
              <w:jc w:val="center"/>
              <w:rPr>
                <w:rFonts w:ascii="宋体" w:hAnsi="宋体"/>
                <w:szCs w:val="21"/>
              </w:rPr>
            </w:pPr>
            <w:r>
              <w:rPr>
                <w:rFonts w:hint="eastAsia" w:ascii="宋体" w:hAnsi="宋体"/>
                <w:szCs w:val="21"/>
              </w:rPr>
              <w:t>99.6</w:t>
            </w:r>
          </w:p>
        </w:tc>
        <w:tc>
          <w:tcPr>
            <w:tcW w:w="1235" w:type="pct"/>
            <w:shd w:val="clear" w:color="000000" w:fill="FFFFFF"/>
            <w:vAlign w:val="center"/>
          </w:tcPr>
          <w:p>
            <w:pPr>
              <w:spacing w:line="300" w:lineRule="auto"/>
              <w:jc w:val="center"/>
              <w:rPr>
                <w:rFonts w:ascii="宋体" w:hAnsi="宋体"/>
                <w:szCs w:val="21"/>
              </w:rPr>
            </w:pPr>
            <w:r>
              <w:rPr>
                <w:rFonts w:hint="eastAsia" w:ascii="宋体" w:hAnsi="宋体"/>
                <w:szCs w:val="21"/>
              </w:rPr>
              <w:t>服务期限1年，至2025年8月31日前</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”（如有）为实质性条款，不满足的将被视为无效响应予以拒绝。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5"/>
        <w:rPr>
          <w:rFonts w:ascii="宋体" w:hAnsi="宋体" w:eastAsia="宋体"/>
        </w:rPr>
      </w:pPr>
      <w:r>
        <w:rPr>
          <w:rFonts w:hint="eastAsia" w:ascii="宋体" w:hAnsi="宋体" w:eastAsia="宋体"/>
        </w:rPr>
        <w:t>第二部分：服务需求</w:t>
      </w:r>
    </w:p>
    <w:p>
      <w:pPr>
        <w:spacing w:line="360" w:lineRule="auto"/>
        <w:jc w:val="left"/>
        <w:rPr>
          <w:b/>
          <w:bCs/>
          <w:sz w:val="24"/>
        </w:rPr>
      </w:pPr>
      <w:bookmarkStart w:id="666" w:name="_Toc29306"/>
      <w:r>
        <w:rPr>
          <w:rFonts w:hint="eastAsia"/>
          <w:b/>
          <w:bCs/>
          <w:sz w:val="24"/>
        </w:rPr>
        <w:t>一、带宽要求</w:t>
      </w:r>
    </w:p>
    <w:p>
      <w:pPr>
        <w:spacing w:line="360" w:lineRule="auto"/>
        <w:jc w:val="left"/>
        <w:rPr>
          <w:sz w:val="24"/>
        </w:rPr>
      </w:pPr>
      <w:r>
        <w:rPr>
          <w:rFonts w:hint="eastAsia"/>
          <w:sz w:val="24"/>
        </w:rPr>
        <w:t>1、提供标准专线接入互联网带宽≥6.5Gbps。</w:t>
      </w:r>
    </w:p>
    <w:p>
      <w:pPr>
        <w:spacing w:line="360" w:lineRule="auto"/>
        <w:jc w:val="left"/>
        <w:rPr>
          <w:b/>
          <w:bCs/>
          <w:sz w:val="24"/>
        </w:rPr>
      </w:pPr>
      <w:r>
        <w:rPr>
          <w:rFonts w:hint="eastAsia"/>
          <w:b/>
          <w:bCs/>
          <w:sz w:val="24"/>
        </w:rPr>
        <w:t>二、IP地址要求</w:t>
      </w:r>
    </w:p>
    <w:p>
      <w:pPr>
        <w:spacing w:line="360" w:lineRule="auto"/>
        <w:jc w:val="left"/>
        <w:rPr>
          <w:sz w:val="24"/>
        </w:rPr>
      </w:pPr>
      <w:r>
        <w:rPr>
          <w:rFonts w:hint="eastAsia"/>
          <w:sz w:val="24"/>
        </w:rPr>
        <w:t>1、提供能使用的全球可以访问的公网连续IPv4地址个数≥3个C，ipv6地址不少于56位，所提供IP地址须为北京本地电信级运营商所提供的地址。其IP地址不得做二次转换，并在今后有需求时，可作适当扩充。</w:t>
      </w:r>
    </w:p>
    <w:p>
      <w:pPr>
        <w:spacing w:line="360" w:lineRule="auto"/>
        <w:jc w:val="left"/>
        <w:rPr>
          <w:b/>
          <w:bCs/>
          <w:sz w:val="24"/>
        </w:rPr>
      </w:pPr>
      <w:r>
        <w:rPr>
          <w:rFonts w:hint="eastAsia"/>
          <w:b/>
          <w:bCs/>
          <w:sz w:val="24"/>
        </w:rPr>
        <w:t>三、链路要求</w:t>
      </w:r>
    </w:p>
    <w:p>
      <w:pPr>
        <w:spacing w:line="360" w:lineRule="auto"/>
        <w:jc w:val="left"/>
        <w:rPr>
          <w:sz w:val="24"/>
        </w:rPr>
      </w:pPr>
      <w:r>
        <w:rPr>
          <w:rFonts w:hint="eastAsia"/>
          <w:sz w:val="24"/>
        </w:rPr>
        <w:t>1、除控制总带宽之外，不再对网络协议做额外控制。</w:t>
      </w:r>
    </w:p>
    <w:p>
      <w:pPr>
        <w:spacing w:line="360" w:lineRule="auto"/>
        <w:jc w:val="left"/>
        <w:rPr>
          <w:sz w:val="24"/>
        </w:rPr>
      </w:pPr>
      <w:r>
        <w:rPr>
          <w:rFonts w:hint="eastAsia"/>
          <w:sz w:val="24"/>
        </w:rPr>
        <w:t>2、采用光纤专线直接接入校园网络中心机房，且进入校园后的光缆须全部入地。</w:t>
      </w:r>
    </w:p>
    <w:p>
      <w:pPr>
        <w:spacing w:line="360" w:lineRule="auto"/>
        <w:jc w:val="left"/>
        <w:rPr>
          <w:sz w:val="24"/>
        </w:rPr>
      </w:pPr>
      <w:r>
        <w:rPr>
          <w:rFonts w:hint="eastAsia"/>
          <w:sz w:val="24"/>
        </w:rPr>
        <w:t>3、提供的互联网接入必须独享、不再复用，且为双向全线速专线，网络可用99.99%。</w:t>
      </w:r>
    </w:p>
    <w:p>
      <w:pPr>
        <w:spacing w:line="360" w:lineRule="auto"/>
        <w:jc w:val="left"/>
        <w:rPr>
          <w:sz w:val="24"/>
        </w:rPr>
      </w:pPr>
      <w:r>
        <w:rPr>
          <w:rFonts w:hint="eastAsia"/>
          <w:sz w:val="24"/>
        </w:rPr>
        <w:t>4、采用光纤专线直接接入校园网络中心机房，且进入校园后的光缆须全部入地。</w:t>
      </w:r>
    </w:p>
    <w:p>
      <w:pPr>
        <w:spacing w:line="360" w:lineRule="auto"/>
        <w:jc w:val="left"/>
        <w:rPr>
          <w:sz w:val="24"/>
        </w:rPr>
      </w:pPr>
      <w:r>
        <w:rPr>
          <w:rFonts w:hint="eastAsia"/>
          <w:sz w:val="24"/>
        </w:rPr>
        <w:t>5、从学校出口设备到该接入商骨干节点以最短路由接入（不大于3跳），并满足今后带宽容量升级的需求。校方路由设备无超载情况下检测从学校到骨干网延时≤10ms。</w:t>
      </w:r>
    </w:p>
    <w:p>
      <w:pPr>
        <w:spacing w:line="360" w:lineRule="auto"/>
        <w:jc w:val="left"/>
        <w:rPr>
          <w:sz w:val="24"/>
        </w:rPr>
      </w:pPr>
      <w:r>
        <w:rPr>
          <w:rFonts w:hint="eastAsia"/>
          <w:sz w:val="24"/>
        </w:rPr>
        <w:t>6、从学校网络设备端口到服务提供商局端网络设备网络丢包率≤1‰ 。</w:t>
      </w:r>
    </w:p>
    <w:p>
      <w:pPr>
        <w:spacing w:line="360" w:lineRule="auto"/>
        <w:jc w:val="left"/>
        <w:rPr>
          <w:b/>
          <w:bCs/>
          <w:sz w:val="24"/>
        </w:rPr>
      </w:pPr>
      <w:r>
        <w:rPr>
          <w:rFonts w:hint="eastAsia"/>
          <w:b/>
          <w:bCs/>
          <w:sz w:val="24"/>
        </w:rPr>
        <w:t>四、售后服务要求：</w:t>
      </w:r>
    </w:p>
    <w:p>
      <w:pPr>
        <w:spacing w:line="360" w:lineRule="auto"/>
        <w:jc w:val="left"/>
        <w:rPr>
          <w:sz w:val="24"/>
        </w:rPr>
      </w:pPr>
      <w:r>
        <w:rPr>
          <w:rFonts w:hint="eastAsia"/>
          <w:sz w:val="24"/>
        </w:rPr>
        <w:t>1、提供 7×24 小时维护和服务，并提供响应时间在4小时内的响应服务。</w:t>
      </w:r>
    </w:p>
    <w:p>
      <w:pPr>
        <w:spacing w:line="360" w:lineRule="auto"/>
        <w:jc w:val="left"/>
        <w:rPr>
          <w:sz w:val="24"/>
        </w:rPr>
      </w:pPr>
      <w:r>
        <w:rPr>
          <w:rFonts w:hint="eastAsia"/>
          <w:sz w:val="24"/>
        </w:rPr>
        <w:t>2、提供互联网专线的直接运行维护人员的联系方式，一旦变更应当及时通知用户。</w:t>
      </w:r>
    </w:p>
    <w:p>
      <w:pPr>
        <w:spacing w:line="360" w:lineRule="auto"/>
        <w:jc w:val="left"/>
        <w:rPr>
          <w:b/>
          <w:bCs/>
          <w:sz w:val="24"/>
        </w:rPr>
      </w:pPr>
      <w:r>
        <w:rPr>
          <w:rFonts w:hint="eastAsia"/>
          <w:b/>
          <w:bCs/>
          <w:sz w:val="24"/>
        </w:rPr>
        <w:t>五、验收标准：</w:t>
      </w:r>
    </w:p>
    <w:p>
      <w:pPr>
        <w:pStyle w:val="3"/>
        <w:ind w:firstLine="0"/>
      </w:pPr>
      <w:r>
        <w:rPr>
          <w:rFonts w:hint="eastAsia"/>
          <w:lang w:val="en-US" w:eastAsia="zh-CN"/>
        </w:rPr>
        <w:t>线路正常使用</w:t>
      </w:r>
      <w:r>
        <w:rPr>
          <w:rFonts w:hint="eastAsia"/>
        </w:rPr>
        <w:t>，服务满足采购文件</w:t>
      </w:r>
      <w:r>
        <w:rPr>
          <w:rFonts w:hint="eastAsia"/>
          <w:lang w:val="en-US" w:eastAsia="zh-CN"/>
        </w:rPr>
        <w:t>要求</w:t>
      </w:r>
      <w:r>
        <w:rPr>
          <w:rFonts w:hint="eastAsia"/>
        </w:rPr>
        <w:t>和响应文件的</w:t>
      </w:r>
      <w:r>
        <w:rPr>
          <w:rFonts w:hint="eastAsia"/>
          <w:lang w:val="en-US" w:eastAsia="zh-CN"/>
        </w:rPr>
        <w:t>承诺</w:t>
      </w:r>
      <w:r>
        <w:rPr>
          <w:rFonts w:hint="eastAsia"/>
        </w:rPr>
        <w:t>。</w:t>
      </w:r>
    </w:p>
    <w:p>
      <w:pPr>
        <w:rPr>
          <w:rFonts w:ascii="宋体" w:hAnsi="宋体"/>
          <w:b/>
          <w:sz w:val="36"/>
          <w:szCs w:val="36"/>
        </w:rPr>
      </w:pPr>
      <w:r>
        <w:rPr>
          <w:rFonts w:ascii="宋体" w:hAnsi="宋体"/>
          <w:b/>
          <w:sz w:val="36"/>
          <w:szCs w:val="36"/>
        </w:rPr>
        <w:br w:type="page"/>
      </w:r>
    </w:p>
    <w:p>
      <w:pPr>
        <w:pStyle w:val="4"/>
        <w:rPr>
          <w:rFonts w:hAnsi="宋体"/>
          <w:kern w:val="2"/>
          <w:sz w:val="36"/>
          <w:szCs w:val="36"/>
        </w:rPr>
      </w:pPr>
      <w:bookmarkStart w:id="667" w:name="_Toc21751"/>
      <w:r>
        <w:rPr>
          <w:rFonts w:hAnsi="宋体"/>
          <w:kern w:val="2"/>
          <w:sz w:val="36"/>
          <w:szCs w:val="36"/>
        </w:rPr>
        <w:t>第</w:t>
      </w:r>
      <w:r>
        <w:rPr>
          <w:rFonts w:hint="eastAsia" w:hAnsi="宋体"/>
          <w:kern w:val="2"/>
          <w:sz w:val="36"/>
          <w:szCs w:val="36"/>
        </w:rPr>
        <w:t>五</w:t>
      </w:r>
      <w:r>
        <w:rPr>
          <w:rFonts w:hAnsi="宋体"/>
          <w:kern w:val="2"/>
          <w:sz w:val="36"/>
          <w:szCs w:val="36"/>
        </w:rPr>
        <w:t>章  拟签订的合同文本</w:t>
      </w:r>
      <w:bookmarkEnd w:id="666"/>
      <w:bookmarkEnd w:id="667"/>
    </w:p>
    <w:p>
      <w:pPr>
        <w:jc w:val="center"/>
        <w:rPr>
          <w:rFonts w:ascii="宋体" w:hAnsi="宋体"/>
        </w:rPr>
      </w:pPr>
      <w:r>
        <w:rPr>
          <w:rFonts w:hint="eastAsia" w:ascii="宋体" w:hAnsi="宋体"/>
        </w:rPr>
        <w:t>（以实际签订为准）</w:t>
      </w:r>
    </w:p>
    <w:p>
      <w:pPr>
        <w:spacing w:before="312" w:beforeLines="100" w:after="312" w:afterLines="100" w:line="360" w:lineRule="auto"/>
        <w:jc w:val="center"/>
        <w:rPr>
          <w:rFonts w:ascii="宋体" w:hAnsi="宋体" w:cs="宋体"/>
          <w:b/>
          <w:sz w:val="32"/>
          <w:szCs w:val="32"/>
        </w:rPr>
      </w:pPr>
      <w:r>
        <w:rPr>
          <w:rFonts w:hint="eastAsia" w:ascii="宋体" w:hAnsi="宋体" w:cs="宋体"/>
          <w:b/>
          <w:sz w:val="32"/>
          <w:szCs w:val="32"/>
        </w:rPr>
        <w:t>互联网专线业务合作协议</w:t>
      </w:r>
    </w:p>
    <w:p>
      <w:pPr>
        <w:spacing w:line="360" w:lineRule="auto"/>
        <w:jc w:val="left"/>
        <w:rPr>
          <w:rFonts w:ascii="宋体" w:hAnsi="宋体" w:cs="宋体"/>
          <w:sz w:val="24"/>
          <w:szCs w:val="24"/>
        </w:rPr>
      </w:pPr>
      <w:r>
        <w:rPr>
          <w:rFonts w:hint="eastAsia" w:ascii="宋体" w:hAnsi="宋体" w:cs="宋体"/>
          <w:sz w:val="24"/>
          <w:szCs w:val="24"/>
        </w:rPr>
        <w:t>甲方：                            （以下简称甲方）</w:t>
      </w:r>
    </w:p>
    <w:p>
      <w:pPr>
        <w:spacing w:line="360" w:lineRule="auto"/>
        <w:jc w:val="left"/>
        <w:rPr>
          <w:rFonts w:ascii="宋体" w:hAnsi="宋体" w:cs="宋体"/>
          <w:sz w:val="24"/>
          <w:szCs w:val="24"/>
        </w:rPr>
      </w:pPr>
      <w:r>
        <w:rPr>
          <w:rFonts w:hint="eastAsia" w:ascii="宋体" w:hAnsi="宋体" w:cs="宋体"/>
          <w:sz w:val="24"/>
          <w:szCs w:val="24"/>
        </w:rPr>
        <w:t>乙方：                            （以下简称乙方）</w:t>
      </w:r>
    </w:p>
    <w:p>
      <w:pPr>
        <w:spacing w:line="360" w:lineRule="auto"/>
        <w:jc w:val="left"/>
        <w:rPr>
          <w:rFonts w:ascii="宋体" w:hAnsi="宋体" w:cs="宋体"/>
          <w:b/>
          <w:bCs/>
          <w:sz w:val="24"/>
          <w:szCs w:val="24"/>
        </w:rPr>
      </w:pPr>
      <w:r>
        <w:rPr>
          <w:rFonts w:hint="eastAsia" w:ascii="宋体" w:hAnsi="宋体" w:cs="宋体"/>
          <w:b/>
          <w:bCs/>
          <w:sz w:val="24"/>
          <w:szCs w:val="24"/>
        </w:rPr>
        <w:t>一、 总则</w:t>
      </w:r>
    </w:p>
    <w:p>
      <w:pPr>
        <w:spacing w:line="360" w:lineRule="auto"/>
        <w:jc w:val="left"/>
        <w:rPr>
          <w:rFonts w:ascii="宋体" w:hAnsi="宋体" w:cs="宋体"/>
          <w:sz w:val="24"/>
          <w:szCs w:val="24"/>
        </w:rPr>
      </w:pPr>
      <w:r>
        <w:rPr>
          <w:rFonts w:hint="eastAsia" w:ascii="宋体" w:hAnsi="宋体" w:cs="宋体"/>
          <w:sz w:val="24"/>
          <w:szCs w:val="24"/>
        </w:rPr>
        <w:t>甲乙双方本着平等自愿的原则，就乙方为甲方提供业务服务事宜，特签订本协议供双方信守。</w:t>
      </w:r>
    </w:p>
    <w:p>
      <w:pPr>
        <w:spacing w:line="360" w:lineRule="auto"/>
        <w:jc w:val="left"/>
        <w:rPr>
          <w:rFonts w:ascii="宋体" w:hAnsi="宋体" w:cs="宋体"/>
          <w:b/>
          <w:bCs/>
          <w:sz w:val="24"/>
          <w:szCs w:val="24"/>
        </w:rPr>
      </w:pPr>
      <w:r>
        <w:rPr>
          <w:rFonts w:hint="eastAsia" w:ascii="宋体" w:hAnsi="宋体" w:cs="宋体"/>
          <w:b/>
          <w:bCs/>
          <w:sz w:val="24"/>
          <w:szCs w:val="24"/>
        </w:rPr>
        <w:t>二、 甲方权利和义务</w:t>
      </w:r>
    </w:p>
    <w:p>
      <w:pPr>
        <w:spacing w:line="360" w:lineRule="auto"/>
        <w:jc w:val="left"/>
        <w:rPr>
          <w:rFonts w:ascii="宋体" w:hAnsi="宋体" w:cs="宋体"/>
          <w:sz w:val="24"/>
          <w:szCs w:val="24"/>
        </w:rPr>
      </w:pPr>
      <w:r>
        <w:rPr>
          <w:rFonts w:hint="eastAsia" w:ascii="宋体" w:hAnsi="宋体" w:cs="宋体"/>
          <w:sz w:val="24"/>
          <w:szCs w:val="24"/>
        </w:rPr>
        <w:t>1.甲方办理业务时必须提供真实准确的业务登记信息、联系人、联系电话以及乙方业务受理规定必须的真实有效的单位和个人证件，并配合乙方核实登记资料。甲方如变更名称、账户、通讯地址、联系人等相关信息，应在变更前将变更后的相关信息及时通知乙方。</w:t>
      </w:r>
    </w:p>
    <w:p>
      <w:pPr>
        <w:spacing w:line="360" w:lineRule="auto"/>
        <w:jc w:val="left"/>
        <w:rPr>
          <w:rFonts w:ascii="宋体" w:hAnsi="宋体" w:cs="宋体"/>
          <w:sz w:val="24"/>
          <w:szCs w:val="24"/>
        </w:rPr>
      </w:pPr>
      <w:r>
        <w:rPr>
          <w:rFonts w:hint="eastAsia" w:ascii="宋体" w:hAnsi="宋体" w:cs="宋体"/>
          <w:sz w:val="24"/>
          <w:szCs w:val="24"/>
        </w:rPr>
        <w:t>2.甲方应按照乙方提供的使用说明正确使用或操作业务，妥善保管用户名、密码等信息，因甲方使用不当或被他人盗用所导致的损失，由甲方自行承担责任并赔偿。</w:t>
      </w:r>
    </w:p>
    <w:p>
      <w:pPr>
        <w:spacing w:line="360" w:lineRule="auto"/>
        <w:jc w:val="left"/>
        <w:rPr>
          <w:rFonts w:ascii="宋体" w:hAnsi="宋体" w:cs="宋体"/>
          <w:sz w:val="24"/>
          <w:szCs w:val="24"/>
        </w:rPr>
      </w:pPr>
      <w:r>
        <w:rPr>
          <w:rFonts w:hint="eastAsia" w:ascii="宋体" w:hAnsi="宋体" w:cs="宋体"/>
          <w:sz w:val="24"/>
          <w:szCs w:val="24"/>
        </w:rPr>
        <w:t>3.甲方有权按照法律法规规定和/或本协议约定终止或解除本协议项下的部分或全部业务，甲方终止或解除本协议项下一项或多项业务的，不影响本协议项下其他业务条款的效力。</w:t>
      </w:r>
    </w:p>
    <w:p>
      <w:pPr>
        <w:spacing w:line="360" w:lineRule="auto"/>
        <w:jc w:val="left"/>
        <w:rPr>
          <w:rFonts w:ascii="宋体" w:hAnsi="宋体" w:cs="宋体"/>
          <w:sz w:val="24"/>
          <w:szCs w:val="24"/>
        </w:rPr>
      </w:pPr>
      <w:r>
        <w:rPr>
          <w:rFonts w:hint="eastAsia" w:ascii="宋体" w:hAnsi="宋体" w:cs="宋体"/>
          <w:sz w:val="24"/>
          <w:szCs w:val="24"/>
        </w:rPr>
        <w:t>4.甲方向乙方申请开通本协议项下各项业务前应确保获得合法授权，保证该项业务依法合规，如甲方未经合法授权申请开通业务所造成的任何损失及法律责任全部由甲方自行承担。</w:t>
      </w:r>
    </w:p>
    <w:p>
      <w:pPr>
        <w:spacing w:line="360" w:lineRule="auto"/>
        <w:jc w:val="left"/>
        <w:rPr>
          <w:rFonts w:ascii="宋体" w:hAnsi="宋体" w:cs="宋体"/>
          <w:sz w:val="24"/>
          <w:szCs w:val="24"/>
        </w:rPr>
      </w:pPr>
      <w:r>
        <w:rPr>
          <w:rFonts w:hint="eastAsia" w:ascii="宋体" w:hAnsi="宋体" w:cs="宋体"/>
          <w:sz w:val="24"/>
          <w:szCs w:val="24"/>
        </w:rPr>
        <w:t>5.对产权属于乙方但布放在甲方办公区域的终端设备及相关配件，乙方依法提供三包服务，甲方应正确使用和妥善保管，未经过乙方授权同意的情况下不得替换；对于甲方人为破坏或遗失的情况，由甲方自行承担相关费用。本协议终止时，甲方应将乙方提供的终端设备及相关配件归还乙方，如有遗失或损坏，甲方应按照乙方附件约定价格予以赔偿。</w:t>
      </w:r>
    </w:p>
    <w:p>
      <w:pPr>
        <w:spacing w:line="360" w:lineRule="auto"/>
        <w:jc w:val="left"/>
        <w:rPr>
          <w:rFonts w:ascii="宋体" w:hAnsi="宋体" w:cs="宋体"/>
          <w:sz w:val="24"/>
          <w:szCs w:val="24"/>
        </w:rPr>
      </w:pPr>
      <w:r>
        <w:rPr>
          <w:rFonts w:hint="eastAsia" w:ascii="宋体" w:hAnsi="宋体" w:cs="宋体"/>
          <w:sz w:val="24"/>
          <w:szCs w:val="24"/>
        </w:rPr>
        <w:t>6.甲方的通信自由和通信秘密不受侵犯，乙方对甲方的客户资料和通信信息负有保密义务。但甲方和甲方成员的用户信息和数据在下述情况下部分或全部被披露的，乙方不承担任何责任，不构成侵犯他人通信自由和通信秘密权利，不构成违反保密义务：（1）经甲方同意，向第三方披露；（2）根据法律法规的有关规定，或者行政、司法机关的要求，向第三方或者行政、司法机关披露；（3）如果甲方出现违反中国有关法律法规的情况，依法需要向第三方披露；（4）为提供甲方所要求的软件或服务，而必须和第三方分享甲方和甲方成员的用户信息和数据。</w:t>
      </w:r>
    </w:p>
    <w:p>
      <w:pPr>
        <w:spacing w:line="360" w:lineRule="auto"/>
        <w:jc w:val="left"/>
        <w:rPr>
          <w:rFonts w:ascii="宋体" w:hAnsi="宋体" w:cs="宋体"/>
          <w:b/>
          <w:bCs/>
          <w:sz w:val="24"/>
          <w:szCs w:val="24"/>
        </w:rPr>
      </w:pPr>
      <w:r>
        <w:rPr>
          <w:rFonts w:hint="eastAsia" w:ascii="宋体" w:hAnsi="宋体" w:cs="宋体"/>
          <w:b/>
          <w:bCs/>
          <w:sz w:val="24"/>
          <w:szCs w:val="24"/>
        </w:rPr>
        <w:t>三、 乙方的权利和义务</w:t>
      </w:r>
    </w:p>
    <w:p>
      <w:pPr>
        <w:spacing w:line="360" w:lineRule="auto"/>
        <w:jc w:val="left"/>
        <w:rPr>
          <w:rFonts w:ascii="宋体" w:hAnsi="宋体" w:cs="宋体"/>
          <w:sz w:val="24"/>
          <w:szCs w:val="24"/>
        </w:rPr>
      </w:pPr>
      <w:r>
        <w:rPr>
          <w:rFonts w:hint="eastAsia" w:ascii="宋体" w:hAnsi="宋体" w:cs="宋体"/>
          <w:sz w:val="24"/>
          <w:szCs w:val="24"/>
        </w:rPr>
        <w:t>1.乙方提供的具体服务标准须满足工信部颁布的《电信服务规范》，保证甲方使用的通信业务安全畅通。</w:t>
      </w:r>
    </w:p>
    <w:p>
      <w:pPr>
        <w:spacing w:line="360" w:lineRule="auto"/>
        <w:jc w:val="left"/>
        <w:rPr>
          <w:rFonts w:ascii="宋体" w:hAnsi="宋体" w:cs="宋体"/>
          <w:sz w:val="24"/>
          <w:szCs w:val="24"/>
        </w:rPr>
      </w:pPr>
      <w:r>
        <w:rPr>
          <w:rFonts w:hint="eastAsia" w:ascii="宋体" w:hAnsi="宋体" w:cs="宋体"/>
          <w:sz w:val="24"/>
          <w:szCs w:val="24"/>
        </w:rPr>
        <w:t>2.因甲方违反法律法规或本协议约定，乙方依法或依据本协议约定终止向甲方提供本协议项下服务的，乙方有权释放甲方所订购服务占用的资源，由此带来的数据丢失等损失全部由甲方自行承担。如因甲方违约行为，使乙方遭受任何损失、受到其他用户、任何第三方的索赔或任何行政管理部门的处罚，甲方应对乙方、其他用户或相关第三方的实际损失进行全额赔偿。</w:t>
      </w:r>
    </w:p>
    <w:p>
      <w:pPr>
        <w:spacing w:line="360" w:lineRule="auto"/>
        <w:jc w:val="left"/>
        <w:rPr>
          <w:rFonts w:ascii="宋体" w:hAnsi="宋体" w:cs="宋体"/>
          <w:sz w:val="24"/>
          <w:szCs w:val="24"/>
        </w:rPr>
      </w:pPr>
      <w:r>
        <w:rPr>
          <w:rFonts w:hint="eastAsia" w:ascii="宋体" w:hAnsi="宋体" w:cs="宋体"/>
          <w:sz w:val="24"/>
          <w:szCs w:val="24"/>
        </w:rPr>
        <w:t>3.甲方可通过客户经理或者客户服务热线进行业务咨询和故障申告。乙方需按照本合同约定的具体业务承诺期限内解决因乙方原因造成的故障。</w:t>
      </w:r>
    </w:p>
    <w:p>
      <w:pPr>
        <w:spacing w:line="360" w:lineRule="auto"/>
        <w:jc w:val="left"/>
        <w:rPr>
          <w:rFonts w:ascii="宋体" w:hAnsi="宋体" w:cs="宋体"/>
          <w:sz w:val="24"/>
          <w:szCs w:val="24"/>
        </w:rPr>
      </w:pPr>
      <w:r>
        <w:rPr>
          <w:rFonts w:hint="eastAsia" w:ascii="宋体" w:hAnsi="宋体" w:cs="宋体"/>
          <w:sz w:val="24"/>
          <w:szCs w:val="24"/>
        </w:rPr>
        <w:t>4.为技术升级、服务体系升级、或因经营策略调整或配合国家重大技术、法律法规、政府指令等变化，乙方不保证永久的提供某种服务，在终止该种服务前，乙方将尽最大努力且提前以一种或多种方式（包括但不限于网站公告、营业网点公告、短彩信、电子邮件等）进行事先通知；如遇紧急突发情况，乙方可以立即停止提供本协议项下的服务，但应及时向甲方发送通知。甲方同意，乙方对因采取上述措施产生的后果不承担任何责任。</w:t>
      </w:r>
    </w:p>
    <w:p>
      <w:pPr>
        <w:widowControl/>
        <w:numPr>
          <w:ilvl w:val="0"/>
          <w:numId w:val="11"/>
        </w:numPr>
        <w:spacing w:line="360" w:lineRule="auto"/>
        <w:jc w:val="left"/>
        <w:rPr>
          <w:rFonts w:ascii="宋体" w:hAnsi="宋体" w:cs="宋体"/>
          <w:b/>
          <w:bCs/>
          <w:sz w:val="24"/>
          <w:szCs w:val="24"/>
        </w:rPr>
      </w:pPr>
      <w:r>
        <w:rPr>
          <w:rFonts w:hint="eastAsia" w:ascii="宋体" w:hAnsi="宋体" w:cs="宋体"/>
          <w:b/>
          <w:bCs/>
          <w:sz w:val="24"/>
          <w:szCs w:val="24"/>
        </w:rPr>
        <w:t>知识产权</w:t>
      </w:r>
    </w:p>
    <w:p>
      <w:pPr>
        <w:spacing w:line="360" w:lineRule="auto"/>
        <w:jc w:val="left"/>
        <w:rPr>
          <w:rFonts w:ascii="宋体" w:hAnsi="宋体" w:cs="宋体"/>
          <w:sz w:val="24"/>
          <w:szCs w:val="24"/>
        </w:rPr>
      </w:pPr>
      <w:r>
        <w:rPr>
          <w:rFonts w:hint="eastAsia" w:ascii="宋体" w:hAnsi="宋体" w:cs="宋体"/>
          <w:sz w:val="24"/>
          <w:szCs w:val="24"/>
        </w:rPr>
        <w:t>1.甲方应保证提交给乙方的素材、对乙方服务的使用及使用本协议项下业务所产生的成果未侵犯任何第三方的合法权益。如有第三方基于侵犯版权、侵犯第三人之权益或违反中国法律法规或其他适用的法律等原因而向乙方提起索赔、诉讼或可能向其提起诉讼，则甲方有责任出具相关知识产权证明材料，并应赔偿乙方因此承担的费用或损失，并使乙方完全免责。</w:t>
      </w:r>
    </w:p>
    <w:p>
      <w:pPr>
        <w:spacing w:line="360" w:lineRule="auto"/>
        <w:jc w:val="left"/>
        <w:rPr>
          <w:rFonts w:ascii="宋体" w:hAnsi="宋体" w:cs="宋体"/>
          <w:sz w:val="24"/>
          <w:szCs w:val="24"/>
        </w:rPr>
      </w:pPr>
      <w:r>
        <w:rPr>
          <w:rFonts w:hint="eastAsia" w:ascii="宋体" w:hAnsi="宋体" w:cs="宋体"/>
          <w:sz w:val="24"/>
          <w:szCs w:val="24"/>
        </w:rPr>
        <w:t>2.本协议项下乙方提供业务和服务有关的著作权、商标权、专利权、商业秘密等知识产权，以及与该等业务和服务相关的所有信息内容（包括但不限于文字、图片、音频、视频、图表、界面设计、版面框架、有关数据或电子文档等）均受法律法规保护，乙方和/或其关联公司依法享有上述相关知识产权，未经乙方或相关权利人书面同意，甲方和/或其关联公司不得为任何商业或非商业目的自行或许可任何第三方复制、传播、实施、利用、转让上述知识产权。</w:t>
      </w:r>
    </w:p>
    <w:p>
      <w:pPr>
        <w:spacing w:line="360" w:lineRule="auto"/>
        <w:jc w:val="left"/>
        <w:rPr>
          <w:rFonts w:ascii="宋体" w:hAnsi="宋体" w:cs="宋体"/>
          <w:b/>
          <w:bCs/>
          <w:sz w:val="24"/>
          <w:szCs w:val="24"/>
        </w:rPr>
      </w:pPr>
      <w:r>
        <w:rPr>
          <w:rFonts w:hint="eastAsia" w:ascii="宋体" w:hAnsi="宋体" w:cs="宋体"/>
          <w:b/>
          <w:bCs/>
          <w:sz w:val="24"/>
          <w:szCs w:val="24"/>
        </w:rPr>
        <w:t>五、 信息安全责任条款</w:t>
      </w:r>
    </w:p>
    <w:p>
      <w:pPr>
        <w:spacing w:line="360" w:lineRule="auto"/>
        <w:jc w:val="left"/>
        <w:rPr>
          <w:rFonts w:ascii="宋体" w:hAnsi="宋体" w:cs="宋体"/>
          <w:sz w:val="24"/>
          <w:szCs w:val="24"/>
        </w:rPr>
      </w:pPr>
      <w:r>
        <w:rPr>
          <w:rFonts w:hint="eastAsia" w:ascii="宋体" w:hAnsi="宋体" w:cs="宋体"/>
          <w:sz w:val="24"/>
          <w:szCs w:val="24"/>
        </w:rPr>
        <w:t>甲方使用乙方提供的本协议项下业务时，保证遵守以下各项信息安全规定，如违反规定，将接受处罚直至承担法律责任：</w:t>
      </w:r>
    </w:p>
    <w:p>
      <w:pPr>
        <w:spacing w:line="360" w:lineRule="auto"/>
        <w:jc w:val="left"/>
        <w:rPr>
          <w:rFonts w:ascii="宋体" w:hAnsi="宋体" w:cs="宋体"/>
          <w:sz w:val="24"/>
          <w:szCs w:val="24"/>
        </w:rPr>
      </w:pPr>
      <w:r>
        <w:rPr>
          <w:rFonts w:hint="eastAsia" w:ascii="宋体" w:hAnsi="宋体" w:cs="宋体"/>
          <w:sz w:val="24"/>
          <w:szCs w:val="24"/>
        </w:rPr>
        <w:t>1.遵守国家有关法律、行政法规和管理规章，严格执行信息安全、实名制管理等相关规定。</w:t>
      </w:r>
    </w:p>
    <w:p>
      <w:pPr>
        <w:spacing w:line="360" w:lineRule="auto"/>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.甲方在使用互联网业务时应该遵守国家的有关法律、行政法规、行政规章和乙方的有关规定，严格执行信息安全管理规定。</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甲方不得利用互联网违规制作、查阅、复制、发布、传播任何含有下列内容之一的信息：(1)危害国家统一、主权和领土完整的；(2)泄露国家秘密、危害国家安全或者损害国家荣誉和利益的；(3)煽动民族仇恨、民族歧视，破坏民族团结，或者侵害民族风俗、习惯的；(4)宣扬邪教、迷信、宗教极端思想的；(5)散布谣言、涉暴恐音视频，扰乱社会秩序，破坏社会稳定的；(6)宣扬淫秽、赌博、暴力或者传授暴恐犯罪技能等教唆犯罪的；(7)攻击党和政府，侮辱或者诽谤他人，侵害他人合法权益的；(8)危害社会公德或者民族优秀文化传统的；(9)有法律、行政法规和国家规定禁止的其他内容的。若发现此类型信息，须及时向主管部门报告。</w:t>
      </w:r>
    </w:p>
    <w:p>
      <w:p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甲方必须对在乙方接入的业务网站、即时通信工具、网盘、视频等进行全面检查、逐一过滤，彻底清理涉暴恐音视频等有害信息，关闭传播恐怖宣传视频的注册账户，建立清理暴恐音视频工作台账，并采取必要手段加强网站、平台内容监测、审核、拦截，一经发现涉暴恐音视频等有害信息，立即清理，并及时上报国家相关部门。</w:t>
      </w:r>
    </w:p>
    <w:p>
      <w:pPr>
        <w:spacing w:line="360" w:lineRule="auto"/>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.甲方在使用互联网业务时，应遵守互联网的国际惯例，不得向他人发动恶意攻击、不得向他人发送恶意的、挑衅性的文件和商业广告。甲方须管理所属的内部网络，防止病毒传播对互联网和他人造成影响。</w:t>
      </w:r>
    </w:p>
    <w:p>
      <w:pPr>
        <w:spacing w:line="360" w:lineRule="auto"/>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.甲方须遵守乙方相关管理规定，保证所提供业务内容的安全性与稳定性，不对乙方通信网络、相关业务平台造成危害。</w:t>
      </w:r>
    </w:p>
    <w:p>
      <w:pPr>
        <w:spacing w:line="360" w:lineRule="auto"/>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方还应承担如下责任：（1）向所属用户宣传国家主管部门有关使用互联网的法规和规定。（2）建立健全的使用者档案，加强对使用者的管理、教育工作。（3）建立健全的信息安全管理制度和技术保障措施。（4）接受相关主管部门的管理、监督和检查，为相关主管部门提供技术支持。（5） 单位的各级主管人员有责任教育、监督本单位职工严格遵守以上条款。（6）严格执行电信业务实名登记制度，准确提供并主动更新登记信息。如登记信息发生改变，主动告知乙方。</w:t>
      </w:r>
    </w:p>
    <w:p>
      <w:pPr>
        <w:spacing w:line="360" w:lineRule="auto"/>
        <w:jc w:val="left"/>
        <w:rPr>
          <w:rFonts w:ascii="宋体" w:hAnsi="宋体" w:cs="宋体"/>
          <w:b/>
          <w:bCs/>
          <w:sz w:val="24"/>
          <w:szCs w:val="24"/>
        </w:rPr>
      </w:pPr>
      <w:r>
        <w:rPr>
          <w:rFonts w:hint="eastAsia" w:ascii="宋体" w:hAnsi="宋体" w:cs="宋体"/>
          <w:b/>
          <w:bCs/>
          <w:sz w:val="24"/>
          <w:szCs w:val="24"/>
        </w:rPr>
        <w:t xml:space="preserve">六、保密条款 </w:t>
      </w:r>
    </w:p>
    <w:p>
      <w:pPr>
        <w:spacing w:line="360" w:lineRule="auto"/>
        <w:jc w:val="left"/>
        <w:rPr>
          <w:rFonts w:ascii="宋体" w:hAnsi="宋体" w:cs="宋体"/>
          <w:sz w:val="24"/>
          <w:szCs w:val="24"/>
        </w:rPr>
      </w:pPr>
      <w:r>
        <w:rPr>
          <w:rFonts w:hint="eastAsia" w:ascii="宋体" w:hAnsi="宋体" w:cs="宋体"/>
          <w:sz w:val="24"/>
          <w:szCs w:val="24"/>
        </w:rPr>
        <w:t>1.“保密信息”是指本协议拥有信息的一方（“提供方”）根据本协议向另一方（“接受方”）提供的信息，或接受方在本协议履行过程中从提供方处获知的信息。保密信息包括但不限于：技术信息、商业信息、商业秘密、文件、程序、计划、技术、图表、模型、参数、数据、标准、专有技术、业务或业务运作方法和其他保密信息，本协议的条款和与本协议有关的其他信息，本协议履行过程中形成的所有信息、数据、资料、意见、建议等。</w:t>
      </w:r>
    </w:p>
    <w:p>
      <w:pPr>
        <w:spacing w:line="360" w:lineRule="auto"/>
        <w:jc w:val="left"/>
        <w:rPr>
          <w:rFonts w:ascii="宋体" w:hAnsi="宋体" w:cs="宋体"/>
          <w:sz w:val="24"/>
          <w:szCs w:val="24"/>
        </w:rPr>
      </w:pPr>
      <w:r>
        <w:rPr>
          <w:rFonts w:hint="eastAsia" w:ascii="宋体" w:hAnsi="宋体" w:cs="宋体"/>
          <w:sz w:val="24"/>
          <w:szCs w:val="24"/>
        </w:rPr>
        <w:t>2.保密信息只能由接受方及其人员为本协议目的而使用。除非本协议另有约定，对于提供方提供的任何保密信息，未经提供方事先书面同意，接受方及其知悉保密信息的有关人员均不得直接或间接地以任何方式提供或披露给任何第三方。但是，乙方为本协议目的向其关联方（包括乙方的关联公司及其分支机构）披露保密信息不受本条约束。</w:t>
      </w:r>
    </w:p>
    <w:p>
      <w:pPr>
        <w:spacing w:line="360" w:lineRule="auto"/>
        <w:jc w:val="left"/>
        <w:rPr>
          <w:rFonts w:ascii="宋体" w:hAnsi="宋体" w:cs="宋体"/>
          <w:sz w:val="24"/>
          <w:szCs w:val="24"/>
        </w:rPr>
      </w:pPr>
      <w:r>
        <w:rPr>
          <w:rFonts w:hint="eastAsia" w:ascii="宋体" w:hAnsi="宋体" w:cs="宋体"/>
          <w:sz w:val="24"/>
          <w:szCs w:val="24"/>
        </w:rPr>
        <w:t>3.双方不得向任何人透露用户的信息、资料以及交易记录，除国家法律、行政法规另有规定外，双方均有权拒绝除用户本人以外的任何单位或个人的查询；同时，双方应尽合理努力将电子支付交易数据以安全方式保存，并防止其在公共、私人或内部网络上传输时被擅自查看或非法截取。</w:t>
      </w:r>
    </w:p>
    <w:p>
      <w:pPr>
        <w:spacing w:line="360" w:lineRule="auto"/>
        <w:jc w:val="left"/>
        <w:rPr>
          <w:rFonts w:ascii="宋体" w:hAnsi="宋体" w:cs="宋体"/>
          <w:sz w:val="24"/>
          <w:szCs w:val="24"/>
        </w:rPr>
      </w:pPr>
      <w:r>
        <w:rPr>
          <w:rFonts w:hint="eastAsia" w:ascii="宋体" w:hAnsi="宋体" w:cs="宋体"/>
          <w:sz w:val="24"/>
          <w:szCs w:val="24"/>
        </w:rPr>
        <w:t>4.接受方的律师、会计师、承包商和顾问为提供专业协助而需要了解保密信息时，接受方可向其披露保密信息，但是，其应要求上述人员签订保密协议或按照有关职业道德标准履行保密义务。接受方应向提供方承担因己方聘请的上述专业顾问违反保密约定而给提供方造成的任何损失。</w:t>
      </w:r>
    </w:p>
    <w:p>
      <w:pPr>
        <w:spacing w:line="360" w:lineRule="auto"/>
        <w:jc w:val="left"/>
        <w:rPr>
          <w:rFonts w:ascii="宋体" w:hAnsi="宋体" w:cs="宋体"/>
          <w:sz w:val="24"/>
          <w:szCs w:val="24"/>
        </w:rPr>
      </w:pPr>
      <w:r>
        <w:rPr>
          <w:rFonts w:hint="eastAsia" w:ascii="宋体" w:hAnsi="宋体" w:cs="宋体"/>
          <w:sz w:val="24"/>
          <w:szCs w:val="24"/>
        </w:rPr>
        <w:t>5.如相关政府部门或监管机构要求接受方披露任何保密信息，接受方可在该政府部门或机构要求的范围内做出披露而无需承担本协议项下的保密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w:t>
      </w:r>
    </w:p>
    <w:p>
      <w:pPr>
        <w:spacing w:line="360" w:lineRule="auto"/>
        <w:jc w:val="left"/>
        <w:rPr>
          <w:rFonts w:ascii="宋体" w:hAnsi="宋体" w:cs="宋体"/>
          <w:sz w:val="24"/>
          <w:szCs w:val="24"/>
        </w:rPr>
      </w:pPr>
      <w:r>
        <w:rPr>
          <w:rFonts w:hint="eastAsia" w:ascii="宋体" w:hAnsi="宋体" w:cs="宋体"/>
          <w:sz w:val="24"/>
          <w:szCs w:val="24"/>
        </w:rPr>
        <w:t>6.双方应严格遵守保密条款之约定，严格履行保密义务，直至有关保密信息合法公开之时止。本协议或其任何条款的终止、中止、失效、无效均不影响本保密条款的有效性及对甲乙双方的约束力。</w:t>
      </w:r>
    </w:p>
    <w:p>
      <w:pPr>
        <w:spacing w:line="360" w:lineRule="auto"/>
        <w:jc w:val="left"/>
        <w:rPr>
          <w:rFonts w:ascii="宋体" w:hAnsi="宋体" w:cs="宋体"/>
          <w:sz w:val="24"/>
          <w:szCs w:val="24"/>
        </w:rPr>
      </w:pPr>
      <w:r>
        <w:rPr>
          <w:rFonts w:hint="eastAsia" w:ascii="宋体" w:hAnsi="宋体" w:cs="宋体"/>
          <w:sz w:val="24"/>
          <w:szCs w:val="24"/>
        </w:rPr>
        <w:t>7.由于保密信息接受方未履行保密义务给提供方造成损失的，接受方应当赔偿由此给提供方造成的损失。</w:t>
      </w:r>
    </w:p>
    <w:p>
      <w:pPr>
        <w:spacing w:line="360" w:lineRule="auto"/>
        <w:jc w:val="left"/>
        <w:rPr>
          <w:rFonts w:ascii="宋体" w:hAnsi="宋体" w:cs="宋体"/>
          <w:sz w:val="24"/>
          <w:szCs w:val="24"/>
        </w:rPr>
      </w:pPr>
      <w:r>
        <w:rPr>
          <w:rFonts w:hint="eastAsia" w:ascii="宋体" w:hAnsi="宋体" w:cs="宋体"/>
          <w:sz w:val="24"/>
          <w:szCs w:val="24"/>
        </w:rPr>
        <w:t>8.甲乙双方及其各自下属各级单位，对于签订和履行本协议以及具体的业务协议的过程中所获知的任何对方的保密信息（包括但不限于技术信息、商业信息、商业秘密、专有技术、各类IP地址信息、业务或业务运作方法、资费方案，本协议条款和与本协议有关的其他信息，本协议履行过程中形成的任何信息、数据、资料、意见、建议等），除法律法规另有规定外，非为本协议目的，未经对方事先书面同意，任何一方均不得直接或间接地以任何方式向任何第三方提供或披露保密信息。</w:t>
      </w:r>
    </w:p>
    <w:p>
      <w:pPr>
        <w:widowControl/>
        <w:numPr>
          <w:ilvl w:val="0"/>
          <w:numId w:val="12"/>
        </w:numPr>
        <w:spacing w:line="360" w:lineRule="auto"/>
        <w:jc w:val="left"/>
        <w:rPr>
          <w:rFonts w:ascii="宋体" w:hAnsi="宋体" w:cs="宋体"/>
          <w:b/>
          <w:bCs/>
          <w:sz w:val="24"/>
          <w:szCs w:val="24"/>
        </w:rPr>
      </w:pPr>
      <w:r>
        <w:rPr>
          <w:rFonts w:hint="eastAsia" w:ascii="宋体" w:hAnsi="宋体" w:cs="宋体"/>
          <w:b/>
          <w:bCs/>
          <w:sz w:val="24"/>
          <w:szCs w:val="24"/>
        </w:rPr>
        <w:t>计费和结算标准</w:t>
      </w:r>
    </w:p>
    <w:p>
      <w:pPr>
        <w:spacing w:line="360" w:lineRule="auto"/>
        <w:jc w:val="left"/>
        <w:rPr>
          <w:rFonts w:ascii="宋体" w:hAnsi="宋体" w:cs="宋体"/>
          <w:sz w:val="24"/>
          <w:szCs w:val="24"/>
        </w:rPr>
      </w:pPr>
      <w:r>
        <w:rPr>
          <w:rFonts w:hint="eastAsia" w:ascii="宋体" w:hAnsi="宋体" w:cs="宋体"/>
          <w:sz w:val="24"/>
          <w:szCs w:val="24"/>
        </w:rPr>
        <w:t>1.在本协议履行期内，乙方按照国家授权的资费部门规定的资费标准向甲方收取业务费用。若政府部门进行资费标准调整，双方按照新资费标准执行，有关资费优惠事宜，双方另行协商，并签署补充协议。如遇国家税率政策变更，对于合同未履行完毕的部分，在原标的不含税（单）价不变的基础上，按照新税率重新计算标的含税（单）价/合同总价，并且继续履行，后续不再另行签订补充协议。</w:t>
      </w:r>
    </w:p>
    <w:p>
      <w:pPr>
        <w:spacing w:line="360" w:lineRule="auto"/>
        <w:jc w:val="left"/>
        <w:rPr>
          <w:rFonts w:ascii="宋体" w:hAnsi="宋体" w:cs="宋体"/>
          <w:sz w:val="24"/>
          <w:szCs w:val="24"/>
        </w:rPr>
      </w:pPr>
      <w:r>
        <w:rPr>
          <w:rFonts w:hint="eastAsia" w:ascii="宋体" w:hAnsi="宋体" w:cs="宋体"/>
          <w:sz w:val="24"/>
          <w:szCs w:val="24"/>
        </w:rPr>
        <w:t>2.本协议项下各项业务服务期限、业务费用及计费周期以签署的附件业务协议约定为准。</w:t>
      </w:r>
    </w:p>
    <w:p>
      <w:pPr>
        <w:spacing w:line="360" w:lineRule="auto"/>
        <w:jc w:val="left"/>
        <w:rPr>
          <w:rFonts w:ascii="宋体" w:hAnsi="宋体" w:cs="宋体"/>
          <w:sz w:val="24"/>
          <w:szCs w:val="24"/>
        </w:rPr>
      </w:pPr>
      <w:r>
        <w:rPr>
          <w:rFonts w:hint="eastAsia" w:ascii="宋体" w:hAnsi="宋体" w:cs="宋体"/>
          <w:sz w:val="24"/>
          <w:szCs w:val="24"/>
        </w:rPr>
        <w:t>3.甲方如未按时交纳业务费用，乙方有权暂停为甲方提供业务服务，遵照《中华人民共和国电信条例》第三章第三十四条规定，自甲方欠费之日起至甲方付清欠费之日止每日按全部欠费金额的3‰向甲方加收违约金。</w:t>
      </w:r>
    </w:p>
    <w:p>
      <w:pPr>
        <w:spacing w:line="360" w:lineRule="auto"/>
        <w:jc w:val="left"/>
        <w:rPr>
          <w:rFonts w:ascii="宋体" w:hAnsi="宋体" w:cs="宋体"/>
          <w:sz w:val="24"/>
          <w:szCs w:val="24"/>
        </w:rPr>
      </w:pPr>
      <w:r>
        <w:rPr>
          <w:rFonts w:hint="eastAsia" w:ascii="宋体" w:hAnsi="宋体" w:cs="宋体"/>
          <w:sz w:val="24"/>
          <w:szCs w:val="24"/>
        </w:rPr>
        <w:t>4.本协议下所签订的业务如无特殊要求，采用后付费方式。如子业务有特殊需求，则以子协议规则为准，且不影响其他业务的付费方式。</w:t>
      </w:r>
    </w:p>
    <w:p>
      <w:pPr>
        <w:spacing w:line="360" w:lineRule="auto"/>
        <w:jc w:val="left"/>
        <w:rPr>
          <w:rFonts w:ascii="宋体" w:hAnsi="宋体" w:cs="宋体"/>
          <w:b/>
          <w:bCs/>
          <w:sz w:val="24"/>
          <w:szCs w:val="24"/>
        </w:rPr>
      </w:pPr>
      <w:r>
        <w:rPr>
          <w:rFonts w:hint="eastAsia" w:ascii="宋体" w:hAnsi="宋体" w:cs="宋体"/>
          <w:b/>
          <w:bCs/>
          <w:sz w:val="24"/>
          <w:szCs w:val="24"/>
        </w:rPr>
        <w:t>八、 争议的解决</w:t>
      </w:r>
    </w:p>
    <w:p>
      <w:pPr>
        <w:spacing w:line="360" w:lineRule="auto"/>
        <w:jc w:val="left"/>
        <w:rPr>
          <w:rFonts w:ascii="宋体" w:hAnsi="宋体" w:cs="宋体"/>
          <w:sz w:val="24"/>
          <w:szCs w:val="24"/>
        </w:rPr>
      </w:pPr>
      <w:r>
        <w:rPr>
          <w:rFonts w:hint="eastAsia" w:ascii="宋体" w:hAnsi="宋体" w:cs="宋体"/>
          <w:sz w:val="24"/>
          <w:szCs w:val="24"/>
        </w:rPr>
        <w:t>对于因本协议履行而发生的任何争议，双方应首先通过友好协商解决，经双方协商一致，另行签署协议。协商不成的，任何一方有权提交乙方所在地人民法院进行诉讼。除正在诉讼的争议事项外，双方应继续行使其本协议项下的其余权利，并履行其本协议项下的其它义务。</w:t>
      </w:r>
    </w:p>
    <w:p>
      <w:pPr>
        <w:spacing w:line="360" w:lineRule="auto"/>
        <w:jc w:val="left"/>
        <w:rPr>
          <w:rFonts w:ascii="宋体" w:hAnsi="宋体" w:cs="宋体"/>
          <w:b/>
          <w:bCs/>
          <w:sz w:val="24"/>
          <w:szCs w:val="24"/>
        </w:rPr>
      </w:pPr>
      <w:r>
        <w:rPr>
          <w:rFonts w:hint="eastAsia" w:ascii="宋体" w:hAnsi="宋体" w:cs="宋体"/>
          <w:b/>
          <w:bCs/>
          <w:sz w:val="24"/>
          <w:szCs w:val="24"/>
        </w:rPr>
        <w:t>九、 违约责任</w:t>
      </w:r>
    </w:p>
    <w:p>
      <w:pPr>
        <w:spacing w:line="360" w:lineRule="auto"/>
        <w:jc w:val="left"/>
        <w:rPr>
          <w:rFonts w:ascii="宋体" w:hAnsi="宋体" w:cs="宋体"/>
          <w:sz w:val="24"/>
          <w:szCs w:val="24"/>
        </w:rPr>
      </w:pPr>
      <w:r>
        <w:rPr>
          <w:rFonts w:hint="eastAsia" w:ascii="宋体" w:hAnsi="宋体" w:cs="宋体"/>
          <w:sz w:val="24"/>
          <w:szCs w:val="24"/>
        </w:rPr>
        <w:t>1.任何一方未履行本协议项下的任何一项条款均视为违约。任何一方在收到对方的具体说明违约的书面通知后，如确认违约行为的实际存在，则应在二十日内对违约行为予以纠正并书面通知对方，如认为违约行为不存在，则应在二十日内向对方提出书面异议或说明，在此情况下，甲乙双方可以就此问题进行协商，协商不成的，按本协议争议解决条款解决，违约方应承担因自己的违约行为而给守约方造成的损失。本协议另有约定者，从其约定。</w:t>
      </w:r>
    </w:p>
    <w:p>
      <w:pPr>
        <w:spacing w:line="360" w:lineRule="auto"/>
        <w:jc w:val="left"/>
        <w:rPr>
          <w:rFonts w:ascii="宋体" w:hAnsi="宋体" w:cs="宋体"/>
          <w:sz w:val="24"/>
          <w:szCs w:val="24"/>
        </w:rPr>
      </w:pPr>
      <w:r>
        <w:rPr>
          <w:rFonts w:hint="eastAsia" w:ascii="宋体" w:hAnsi="宋体" w:cs="宋体"/>
          <w:sz w:val="24"/>
          <w:szCs w:val="24"/>
        </w:rPr>
        <w:t>2.甲乙双方任何一方不履行本协议项下的义务或履行义务不符合约定的，非违约方有权要求违约方承担继续履行、采取补救措施、支付违约金等违约责任。乙方对本协议项下所承担的违约金及赔偿总额之和不超过甲方向乙方实际支付费用的总和。</w:t>
      </w:r>
    </w:p>
    <w:p>
      <w:pPr>
        <w:spacing w:line="360" w:lineRule="auto"/>
        <w:jc w:val="left"/>
        <w:rPr>
          <w:rFonts w:ascii="宋体" w:hAnsi="宋体" w:cs="宋体"/>
          <w:b/>
          <w:bCs/>
          <w:sz w:val="24"/>
          <w:szCs w:val="24"/>
        </w:rPr>
      </w:pPr>
      <w:r>
        <w:rPr>
          <w:rFonts w:hint="eastAsia" w:ascii="宋体" w:hAnsi="宋体" w:cs="宋体"/>
          <w:b/>
          <w:bCs/>
          <w:sz w:val="24"/>
          <w:szCs w:val="24"/>
        </w:rPr>
        <w:t>十、 免责条款</w:t>
      </w:r>
    </w:p>
    <w:p>
      <w:pPr>
        <w:spacing w:line="360" w:lineRule="auto"/>
        <w:jc w:val="left"/>
        <w:rPr>
          <w:rFonts w:ascii="宋体" w:hAnsi="宋体" w:cs="宋体"/>
          <w:sz w:val="24"/>
          <w:szCs w:val="24"/>
        </w:rPr>
      </w:pPr>
      <w:r>
        <w:rPr>
          <w:rFonts w:hint="eastAsia" w:ascii="宋体" w:hAnsi="宋体" w:cs="宋体"/>
          <w:sz w:val="24"/>
          <w:szCs w:val="24"/>
        </w:rPr>
        <w:t>1.因不可抗力（包括但不限于地震、洪水等自然灾害、战争、社会异常事件及政府行为等）造成一方遭受经济损失或致使本协议不能履行或不能完全履行的，双方均不承担违约责任。因不可抗力事件导致的后果、费用和损失由双方各自承担己方后果、费用和损失。</w:t>
      </w:r>
    </w:p>
    <w:p>
      <w:pPr>
        <w:spacing w:line="360" w:lineRule="auto"/>
        <w:jc w:val="left"/>
        <w:rPr>
          <w:rFonts w:ascii="宋体" w:hAnsi="宋体" w:cs="宋体"/>
          <w:sz w:val="24"/>
          <w:szCs w:val="24"/>
        </w:rPr>
      </w:pPr>
      <w:r>
        <w:rPr>
          <w:rFonts w:hint="eastAsia" w:ascii="宋体" w:hAnsi="宋体" w:cs="宋体"/>
          <w:sz w:val="24"/>
          <w:szCs w:val="24"/>
        </w:rPr>
        <w:t>2.如果不可抗力事件的影响持续达30日或以上时，双方应根据该事件对本协议履行的影响程度协商对本协议的修改或终止。如在一方发出协商书面通知之日起十（10）日内双方无法就此达成一致，任何一方均有权解除本合同而无需承担违约责任。</w:t>
      </w:r>
    </w:p>
    <w:p>
      <w:pPr>
        <w:spacing w:line="360" w:lineRule="auto"/>
        <w:jc w:val="left"/>
        <w:rPr>
          <w:rFonts w:ascii="宋体" w:hAnsi="宋体" w:cs="宋体"/>
          <w:sz w:val="24"/>
          <w:szCs w:val="24"/>
        </w:rPr>
      </w:pPr>
      <w:r>
        <w:rPr>
          <w:rFonts w:hint="eastAsia" w:ascii="宋体" w:hAnsi="宋体" w:cs="宋体"/>
          <w:sz w:val="24"/>
          <w:szCs w:val="24"/>
        </w:rPr>
        <w:t>3.如因乙方难以避免、难以排除的技术或网络故障或第三方原因造成甲方无法使用本协议服务的，不视为乙方违约，但乙方将尽力争取在最短时间内解决，对此双方无异议。</w:t>
      </w:r>
    </w:p>
    <w:p>
      <w:pPr>
        <w:widowControl/>
        <w:numPr>
          <w:ilvl w:val="0"/>
          <w:numId w:val="13"/>
        </w:numPr>
        <w:spacing w:line="360" w:lineRule="auto"/>
        <w:jc w:val="left"/>
        <w:rPr>
          <w:rFonts w:ascii="宋体" w:hAnsi="宋体" w:cs="宋体"/>
          <w:b/>
          <w:bCs/>
          <w:sz w:val="24"/>
          <w:szCs w:val="24"/>
        </w:rPr>
      </w:pPr>
      <w:r>
        <w:rPr>
          <w:rFonts w:hint="eastAsia" w:ascii="宋体" w:hAnsi="宋体" w:cs="宋体"/>
          <w:b/>
          <w:bCs/>
          <w:sz w:val="24"/>
          <w:szCs w:val="24"/>
        </w:rPr>
        <w:t>通知与送达</w:t>
      </w:r>
    </w:p>
    <w:p>
      <w:pPr>
        <w:spacing w:line="360" w:lineRule="auto"/>
        <w:jc w:val="left"/>
        <w:rPr>
          <w:rFonts w:ascii="宋体" w:hAnsi="宋体" w:cs="宋体"/>
          <w:sz w:val="24"/>
          <w:szCs w:val="24"/>
        </w:rPr>
      </w:pPr>
      <w:r>
        <w:rPr>
          <w:rFonts w:hint="eastAsia" w:ascii="宋体" w:hAnsi="宋体" w:cs="宋体"/>
          <w:sz w:val="24"/>
          <w:szCs w:val="24"/>
        </w:rPr>
        <w:t>1.根据本协议需要发出的全部通知，均须采取书面形式，以专人递送、特快专递、传真、挂号信件等物理方式或电子邮件、网页公告、站内信、手机短信等电子方式发出。如使用专人递送的，接收人签收之日视为送达；如使用传真方式发出的，以发件方发送后打印出的发送确认单所示时间视为送达；如使用挂号信件或特快专递邮寄的，特快专递或挂号信件的交寄日以邮戳为准，送达日期为交邮后的第三个自然日即视为送达；如以电子邮件、网页公告、站内信、手机短信等电子方式发出的，该等通知于发送之日视为已送达收件人。</w:t>
      </w:r>
    </w:p>
    <w:p>
      <w:pPr>
        <w:spacing w:line="360" w:lineRule="auto"/>
        <w:jc w:val="left"/>
        <w:rPr>
          <w:rFonts w:ascii="宋体" w:hAnsi="宋体" w:cs="宋体"/>
          <w:sz w:val="24"/>
          <w:szCs w:val="24"/>
        </w:rPr>
      </w:pPr>
      <w:r>
        <w:rPr>
          <w:rFonts w:hint="eastAsia" w:ascii="宋体" w:hAnsi="宋体" w:cs="宋体"/>
          <w:sz w:val="24"/>
          <w:szCs w:val="24"/>
        </w:rPr>
        <w:t>2.通知采取物理方式发出的，发出方应按接收方在本协议或附件中所列的联系地址发出。如双方中任何一方的地址有变更时，须在变更前10日以书面形式通知对方。因不可归于乙方的原因（包括但不限于电子邮件地址、手机号码、联系地址等不准确或无效、信息传输障碍等）导致甲方未在前述视为送达之日收到相关告知、通知及协议的，乙方不承担任何责任。</w:t>
      </w:r>
    </w:p>
    <w:p>
      <w:pPr>
        <w:widowControl/>
        <w:numPr>
          <w:ilvl w:val="0"/>
          <w:numId w:val="13"/>
        </w:numPr>
        <w:spacing w:line="360" w:lineRule="auto"/>
        <w:jc w:val="left"/>
        <w:rPr>
          <w:rFonts w:ascii="宋体" w:hAnsi="宋体" w:cs="宋体"/>
          <w:b/>
          <w:bCs/>
          <w:sz w:val="24"/>
          <w:szCs w:val="24"/>
        </w:rPr>
      </w:pPr>
      <w:r>
        <w:rPr>
          <w:rFonts w:hint="eastAsia" w:ascii="宋体" w:hAnsi="宋体" w:cs="宋体"/>
          <w:b/>
          <w:bCs/>
          <w:sz w:val="24"/>
          <w:szCs w:val="24"/>
        </w:rPr>
        <w:t>协议的生效和终止</w:t>
      </w:r>
    </w:p>
    <w:p>
      <w:pPr>
        <w:spacing w:line="360" w:lineRule="auto"/>
        <w:jc w:val="left"/>
        <w:rPr>
          <w:rFonts w:ascii="宋体" w:hAnsi="宋体" w:cs="宋体"/>
          <w:sz w:val="24"/>
          <w:szCs w:val="24"/>
        </w:rPr>
      </w:pPr>
      <w:r>
        <w:rPr>
          <w:rFonts w:hint="eastAsia" w:ascii="宋体" w:hAnsi="宋体" w:cs="宋体"/>
          <w:sz w:val="24"/>
          <w:szCs w:val="24"/>
        </w:rPr>
        <w:t>1.本协议项下各项业务约定的服务期限届满时，如甲乙双方均无异议，则按附件业务协议约定的该项业务服务期限顺延、顺延次数若无注明为不限。任何一方如在确定的服务期限届满前30日书面通知对方不再顺延具体业务服务期限，则服务到期且双方结清费用后该项业务协议终止。</w:t>
      </w:r>
    </w:p>
    <w:p>
      <w:pPr>
        <w:spacing w:line="360" w:lineRule="auto"/>
        <w:jc w:val="left"/>
        <w:rPr>
          <w:rFonts w:ascii="宋体" w:hAnsi="宋体" w:cs="宋体"/>
          <w:sz w:val="24"/>
          <w:szCs w:val="24"/>
        </w:rPr>
      </w:pPr>
      <w:r>
        <w:rPr>
          <w:rFonts w:hint="eastAsia" w:ascii="宋体" w:hAnsi="宋体" w:cs="宋体"/>
          <w:sz w:val="24"/>
          <w:szCs w:val="24"/>
        </w:rPr>
        <w:t>2.甲方在本协议约定的业务办理过程中，通过营业厅、官方网站或客户端等方式提交的并经乙方受理确认的业务申请单/订购单（甲方确认同意的订购页面）等各类表单、业务协议等，均构成本协议不可分割的组成部分，与本协议具有同等法律效力。</w:t>
      </w:r>
    </w:p>
    <w:p>
      <w:pPr>
        <w:spacing w:line="360" w:lineRule="auto"/>
        <w:jc w:val="left"/>
        <w:rPr>
          <w:rFonts w:ascii="宋体" w:hAnsi="宋体" w:cs="宋体"/>
          <w:sz w:val="24"/>
          <w:szCs w:val="24"/>
        </w:rPr>
      </w:pPr>
      <w:r>
        <w:rPr>
          <w:rFonts w:hint="eastAsia" w:ascii="宋体" w:hAnsi="宋体" w:cs="宋体"/>
          <w:sz w:val="24"/>
          <w:szCs w:val="24"/>
        </w:rPr>
        <w:t>3.除法律法规明确规定、主管部门要求或双方另有约定外，甲方应在服务期满或终止服务日期前做好数据备份工作，服务期满或终止服务后乙方将删除所有用户业务数据，包括所有缓存或者备份的副本。甲方提前退订服务的，乙方将于退订成功后立即删除所有用户业务数据，包括所有缓存或者备份的副本。用户业务数据一经删除，即不可恢复，甲方应在上述期限届满或退订服务前自行做好数据备份工作，因未及时备份数据所产生的一切后果由甲方自行承担。</w:t>
      </w:r>
    </w:p>
    <w:p>
      <w:pPr>
        <w:spacing w:line="360" w:lineRule="auto"/>
        <w:jc w:val="left"/>
        <w:rPr>
          <w:rFonts w:ascii="宋体" w:hAnsi="宋体" w:cs="宋体"/>
          <w:sz w:val="24"/>
          <w:szCs w:val="24"/>
        </w:rPr>
      </w:pPr>
      <w:r>
        <w:rPr>
          <w:rFonts w:hint="eastAsia" w:ascii="宋体" w:hAnsi="宋体" w:cs="宋体"/>
          <w:sz w:val="24"/>
          <w:szCs w:val="24"/>
        </w:rPr>
        <w:t>4.本合同的任何条款或规定，如被有权机构判定为无效或不可执行，不应影响本合同其他条款或规定的效力或可执行性，也不应影响该条款或规定在其他情形下的效力或可执行性。</w:t>
      </w:r>
    </w:p>
    <w:p>
      <w:pPr>
        <w:spacing w:line="360" w:lineRule="auto"/>
        <w:jc w:val="left"/>
        <w:rPr>
          <w:rFonts w:ascii="宋体" w:hAnsi="宋体" w:cs="宋体"/>
          <w:sz w:val="24"/>
          <w:szCs w:val="24"/>
        </w:rPr>
      </w:pPr>
      <w:r>
        <w:rPr>
          <w:rFonts w:hint="eastAsia" w:ascii="宋体" w:hAnsi="宋体" w:cs="宋体"/>
          <w:sz w:val="24"/>
          <w:szCs w:val="24"/>
        </w:rPr>
        <w:t>5.本协议未尽事宜按《中华人民共和国电信条例》、《北京市电话通信业务入网服务合同》及国家相关法律法规执行。</w:t>
      </w:r>
    </w:p>
    <w:p>
      <w:pPr>
        <w:spacing w:line="360" w:lineRule="auto"/>
        <w:jc w:val="left"/>
        <w:rPr>
          <w:rFonts w:ascii="宋体" w:hAnsi="宋体" w:cs="宋体"/>
          <w:sz w:val="24"/>
          <w:szCs w:val="24"/>
        </w:rPr>
      </w:pPr>
      <w:r>
        <w:rPr>
          <w:rFonts w:hint="eastAsia" w:ascii="宋体" w:hAnsi="宋体" w:cs="宋体"/>
          <w:sz w:val="24"/>
          <w:szCs w:val="24"/>
        </w:rPr>
        <w:t>6.本协议自双方法定代表人/负责人或授权代表签字并加盖公章或合同专用章之日起生效，如双方签署时间不一致，自较迟的签署日起生效。协议将保持其效力直至双方已完全履行合同项下的所有义务并且双方之间的所有付款和索赔已结清。</w:t>
      </w:r>
    </w:p>
    <w:p>
      <w:pPr>
        <w:widowControl/>
        <w:numPr>
          <w:ilvl w:val="0"/>
          <w:numId w:val="14"/>
        </w:numPr>
        <w:spacing w:line="360" w:lineRule="auto"/>
        <w:jc w:val="left"/>
        <w:rPr>
          <w:rFonts w:ascii="宋体" w:hAnsi="宋体" w:cs="宋体"/>
          <w:sz w:val="24"/>
          <w:szCs w:val="24"/>
        </w:rPr>
      </w:pPr>
      <w:r>
        <w:rPr>
          <w:rFonts w:hint="eastAsia" w:ascii="宋体" w:hAnsi="宋体" w:cs="宋体"/>
          <w:sz w:val="24"/>
          <w:szCs w:val="24"/>
        </w:rPr>
        <w:t>本协议一式两份，双方各执壹份，具有同等法律效力。</w:t>
      </w:r>
    </w:p>
    <w:p>
      <w:pPr>
        <w:widowControl/>
        <w:numPr>
          <w:ilvl w:val="0"/>
          <w:numId w:val="13"/>
        </w:numPr>
        <w:spacing w:line="360" w:lineRule="auto"/>
        <w:jc w:val="left"/>
        <w:rPr>
          <w:rFonts w:ascii="宋体" w:hAnsi="宋体" w:cs="宋体"/>
          <w:b/>
          <w:bCs/>
          <w:sz w:val="24"/>
          <w:szCs w:val="24"/>
        </w:rPr>
      </w:pPr>
      <w:r>
        <w:rPr>
          <w:rFonts w:hint="eastAsia" w:ascii="宋体" w:hAnsi="宋体" w:cs="宋体"/>
          <w:b/>
          <w:bCs/>
          <w:sz w:val="24"/>
          <w:szCs w:val="24"/>
        </w:rPr>
        <w:t>其它</w:t>
      </w:r>
    </w:p>
    <w:p>
      <w:pPr>
        <w:spacing w:line="360" w:lineRule="auto"/>
        <w:jc w:val="left"/>
        <w:rPr>
          <w:rFonts w:ascii="宋体" w:hAnsi="宋体" w:cs="宋体"/>
          <w:sz w:val="24"/>
          <w:szCs w:val="24"/>
        </w:rPr>
      </w:pPr>
      <w:r>
        <w:rPr>
          <w:rFonts w:hint="eastAsia" w:ascii="宋体" w:hAnsi="宋体" w:cs="宋体"/>
          <w:sz w:val="24"/>
          <w:szCs w:val="24"/>
        </w:rPr>
        <w:t>1.本协议下所有业务协议及其附件、登记单、业务信息表等文件规定的条款与要求均作为协议不可分割的组成部分，甲乙双方指代一致，与协议正文具有同等法律效力。</w:t>
      </w:r>
    </w:p>
    <w:p>
      <w:pPr>
        <w:widowControl/>
        <w:numPr>
          <w:ilvl w:val="0"/>
          <w:numId w:val="13"/>
        </w:numPr>
        <w:spacing w:line="360" w:lineRule="auto"/>
        <w:jc w:val="left"/>
        <w:rPr>
          <w:rFonts w:ascii="宋体" w:hAnsi="宋体" w:cs="宋体"/>
          <w:b/>
          <w:bCs/>
          <w:sz w:val="24"/>
          <w:szCs w:val="24"/>
        </w:rPr>
      </w:pPr>
      <w:r>
        <w:rPr>
          <w:rFonts w:hint="eastAsia" w:ascii="宋体" w:hAnsi="宋体" w:cs="宋体"/>
          <w:b/>
          <w:bCs/>
          <w:sz w:val="24"/>
          <w:szCs w:val="24"/>
        </w:rPr>
        <w:t>甲乙方信息</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22" w:type="dxa"/>
            <w:gridSpan w:val="2"/>
            <w:shd w:val="clear" w:color="auto" w:fill="A5A5A5"/>
            <w:noWrap w:val="0"/>
            <w:vAlign w:val="top"/>
          </w:tcPr>
          <w:p>
            <w:pPr>
              <w:spacing w:line="360" w:lineRule="auto"/>
              <w:jc w:val="center"/>
              <w:rPr>
                <w:rFonts w:ascii="宋体" w:hAnsi="宋体" w:cs="宋体"/>
                <w:sz w:val="24"/>
                <w:szCs w:val="24"/>
              </w:rPr>
            </w:pPr>
            <w:r>
              <w:rPr>
                <w:rFonts w:hint="eastAsia" w:ascii="宋体" w:hAnsi="宋体" w:cs="宋体"/>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8522" w:type="dxa"/>
            <w:gridSpan w:val="2"/>
            <w:noWrap w:val="0"/>
            <w:vAlign w:val="top"/>
          </w:tcPr>
          <w:p>
            <w:pPr>
              <w:spacing w:line="360" w:lineRule="auto"/>
              <w:jc w:val="left"/>
              <w:rPr>
                <w:rFonts w:ascii="宋体" w:hAnsi="宋体" w:cs="宋体"/>
                <w:sz w:val="24"/>
                <w:szCs w:val="24"/>
              </w:rPr>
            </w:pPr>
            <w:r>
              <w:rPr>
                <w:rFonts w:hint="eastAsia" w:ascii="宋体" w:hAnsi="宋体" w:cs="宋体"/>
                <w:sz w:val="24"/>
                <w:szCs w:val="24"/>
              </w:rPr>
              <w:t>一、甲方信息</w:t>
            </w:r>
          </w:p>
          <w:p>
            <w:pPr>
              <w:spacing w:line="360" w:lineRule="auto"/>
              <w:jc w:val="left"/>
              <w:rPr>
                <w:rFonts w:ascii="宋体" w:hAnsi="宋体" w:cs="宋体"/>
                <w:sz w:val="24"/>
                <w:szCs w:val="24"/>
              </w:rPr>
            </w:pPr>
            <w:r>
              <w:rPr>
                <w:rFonts w:hint="eastAsia" w:ascii="宋体" w:hAnsi="宋体" w:cs="宋体"/>
                <w:sz w:val="24"/>
                <w:szCs w:val="24"/>
              </w:rPr>
              <w:t>甲方经办人：                        甲方经办人证件名称：</w:t>
            </w:r>
          </w:p>
          <w:p>
            <w:pPr>
              <w:spacing w:line="360" w:lineRule="auto"/>
              <w:jc w:val="left"/>
              <w:rPr>
                <w:rFonts w:ascii="宋体" w:hAnsi="宋体" w:cs="宋体"/>
                <w:sz w:val="24"/>
                <w:szCs w:val="24"/>
              </w:rPr>
            </w:pPr>
            <w:r>
              <w:rPr>
                <w:rFonts w:hint="eastAsia" w:ascii="宋体" w:hAnsi="宋体" w:cs="宋体"/>
                <w:sz w:val="24"/>
                <w:szCs w:val="24"/>
              </w:rPr>
              <w:t>甲方经办人证件号码：                通信地址及邮编：</w:t>
            </w:r>
          </w:p>
          <w:p>
            <w:pPr>
              <w:spacing w:line="360" w:lineRule="auto"/>
              <w:jc w:val="left"/>
              <w:rPr>
                <w:rFonts w:ascii="宋体" w:hAnsi="宋体" w:cs="宋体"/>
                <w:sz w:val="24"/>
                <w:szCs w:val="24"/>
              </w:rPr>
            </w:pPr>
            <w:r>
              <w:rPr>
                <w:rFonts w:hint="eastAsia" w:ascii="宋体" w:hAnsi="宋体" w:cs="宋体"/>
                <w:sz w:val="24"/>
                <w:szCs w:val="24"/>
              </w:rPr>
              <w:t>经办人联系方式：</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甲方开户银行及行号：                 甲方开户账号：</w:t>
            </w:r>
          </w:p>
          <w:p>
            <w:pPr>
              <w:spacing w:line="360" w:lineRule="auto"/>
              <w:jc w:val="left"/>
              <w:rPr>
                <w:rFonts w:ascii="宋体" w:hAnsi="宋体" w:cs="宋体"/>
                <w:sz w:val="24"/>
                <w:szCs w:val="24"/>
              </w:rPr>
            </w:pPr>
            <w:r>
              <w:rPr>
                <w:rFonts w:hint="eastAsia" w:ascii="宋体" w:hAnsi="宋体" w:cs="宋体"/>
                <w:sz w:val="24"/>
                <w:szCs w:val="24"/>
              </w:rPr>
              <w:t>甲方开户户名：                       联系电话：</w:t>
            </w:r>
          </w:p>
          <w:p>
            <w:pPr>
              <w:spacing w:line="360" w:lineRule="auto"/>
              <w:jc w:val="left"/>
              <w:rPr>
                <w:rFonts w:ascii="宋体" w:hAnsi="宋体" w:cs="宋体"/>
                <w:sz w:val="24"/>
                <w:szCs w:val="24"/>
              </w:rPr>
            </w:pPr>
            <w:r>
              <w:rPr>
                <w:rFonts w:hint="eastAsia" w:ascii="宋体" w:hAnsi="宋体" w:cs="宋体"/>
                <w:sz w:val="24"/>
                <w:szCs w:val="24"/>
              </w:rPr>
              <w:t>甲方财务联系人：</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二、乙方信息</w:t>
            </w:r>
          </w:p>
          <w:p>
            <w:pPr>
              <w:spacing w:line="360" w:lineRule="auto"/>
              <w:jc w:val="left"/>
              <w:rPr>
                <w:rFonts w:ascii="宋体" w:hAnsi="宋体" w:cs="宋体"/>
                <w:sz w:val="24"/>
                <w:szCs w:val="24"/>
              </w:rPr>
            </w:pPr>
            <w:r>
              <w:rPr>
                <w:rFonts w:hint="eastAsia" w:ascii="宋体" w:hAnsi="宋体" w:cs="宋体"/>
                <w:sz w:val="24"/>
                <w:szCs w:val="24"/>
              </w:rPr>
              <w:t>乙方地址：                           乙方联系方式：</w:t>
            </w:r>
          </w:p>
          <w:p>
            <w:pPr>
              <w:spacing w:line="360" w:lineRule="auto"/>
              <w:jc w:val="left"/>
              <w:rPr>
                <w:rFonts w:ascii="宋体" w:hAnsi="宋体" w:cs="宋体"/>
                <w:sz w:val="24"/>
                <w:szCs w:val="24"/>
              </w:rPr>
            </w:pPr>
            <w:r>
              <w:rPr>
                <w:rFonts w:hint="eastAsia" w:ascii="宋体" w:hAnsi="宋体" w:cs="宋体"/>
                <w:sz w:val="24"/>
                <w:szCs w:val="24"/>
              </w:rPr>
              <w:t>乙方客户经理：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22" w:type="dxa"/>
            <w:gridSpan w:val="2"/>
            <w:shd w:val="clear" w:color="auto" w:fill="A5A5A5"/>
            <w:noWrap w:val="0"/>
            <w:vAlign w:val="top"/>
          </w:tcPr>
          <w:p>
            <w:pPr>
              <w:spacing w:line="360" w:lineRule="auto"/>
              <w:jc w:val="center"/>
              <w:rPr>
                <w:rFonts w:ascii="宋体" w:hAnsi="宋体" w:cs="宋体"/>
                <w:sz w:val="24"/>
                <w:szCs w:val="24"/>
              </w:rPr>
            </w:pPr>
            <w:r>
              <w:rPr>
                <w:rFonts w:hint="eastAsia" w:ascii="宋体" w:hAnsi="宋体" w:cs="宋体"/>
                <w:sz w:val="24"/>
                <w:szCs w:val="24"/>
              </w:rPr>
              <w:t>付费信息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522" w:type="dxa"/>
            <w:gridSpan w:val="2"/>
            <w:noWrap w:val="0"/>
            <w:vAlign w:val="top"/>
          </w:tcPr>
          <w:p>
            <w:pPr>
              <w:spacing w:line="360" w:lineRule="auto"/>
              <w:jc w:val="left"/>
              <w:rPr>
                <w:rFonts w:ascii="宋体" w:hAnsi="宋体" w:cs="宋体"/>
                <w:sz w:val="24"/>
                <w:szCs w:val="24"/>
              </w:rPr>
            </w:pPr>
            <w:r>
              <w:rPr>
                <w:rFonts w:hint="eastAsia" w:ascii="宋体" w:hAnsi="宋体" w:cs="宋体"/>
                <w:sz w:val="24"/>
                <w:szCs w:val="24"/>
              </w:rPr>
              <w:t>付费方式：</w:t>
            </w:r>
          </w:p>
          <w:p>
            <w:pPr>
              <w:spacing w:line="360" w:lineRule="auto"/>
              <w:jc w:val="left"/>
              <w:rPr>
                <w:rFonts w:ascii="宋体" w:hAnsi="宋体" w:cs="宋体"/>
                <w:sz w:val="24"/>
                <w:szCs w:val="24"/>
              </w:rPr>
            </w:pPr>
            <w:r>
              <w:rPr>
                <w:rFonts w:ascii="宋体" w:hAnsi="宋体"/>
                <w:sz w:val="24"/>
              </w:rPr>
              <w:t>□</w:t>
            </w:r>
            <w:r>
              <w:rPr>
                <w:rFonts w:hint="eastAsia" w:ascii="宋体" w:hAnsi="宋体" w:cs="宋体"/>
                <w:sz w:val="24"/>
                <w:szCs w:val="24"/>
              </w:rPr>
              <w:t xml:space="preserve">在线支付 </w:t>
            </w:r>
            <w:r>
              <w:rPr>
                <w:rFonts w:ascii="宋体" w:hAnsi="宋体"/>
                <w:sz w:val="24"/>
              </w:rPr>
              <w:t>□</w:t>
            </w:r>
            <w:r>
              <w:rPr>
                <w:rFonts w:hint="eastAsia" w:ascii="宋体" w:hAnsi="宋体" w:cs="宋体"/>
                <w:sz w:val="24"/>
                <w:szCs w:val="24"/>
              </w:rPr>
              <w:t xml:space="preserve">银行转账 </w:t>
            </w:r>
            <w:r>
              <w:rPr>
                <w:rFonts w:ascii="宋体" w:hAnsi="宋体"/>
                <w:sz w:val="24"/>
              </w:rPr>
              <w:t>□</w:t>
            </w:r>
            <w:r>
              <w:rPr>
                <w:rFonts w:hint="eastAsia" w:ascii="宋体" w:hAnsi="宋体" w:cs="宋体"/>
                <w:sz w:val="24"/>
                <w:szCs w:val="24"/>
              </w:rPr>
              <w:t xml:space="preserve">现金 </w:t>
            </w:r>
            <w:r>
              <w:rPr>
                <w:rFonts w:ascii="宋体" w:hAnsi="宋体"/>
                <w:sz w:val="24"/>
              </w:rPr>
              <w:t>□</w:t>
            </w:r>
            <w:r>
              <w:rPr>
                <w:rFonts w:hint="eastAsia" w:ascii="宋体" w:hAnsi="宋体" w:cs="宋体"/>
                <w:sz w:val="24"/>
                <w:szCs w:val="24"/>
              </w:rPr>
              <w:t xml:space="preserve">银行托收 </w:t>
            </w:r>
            <w:r>
              <w:rPr>
                <w:rFonts w:ascii="宋体" w:hAnsi="宋体"/>
                <w:sz w:val="24"/>
              </w:rPr>
              <w:t>□</w:t>
            </w:r>
            <w:r>
              <w:rPr>
                <w:rFonts w:hint="eastAsia" w:ascii="宋体" w:hAnsi="宋体" w:cs="宋体"/>
                <w:sz w:val="24"/>
                <w:szCs w:val="24"/>
              </w:rPr>
              <w:t>其它电汇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522" w:type="dxa"/>
            <w:gridSpan w:val="2"/>
            <w:shd w:val="clear" w:color="auto" w:fill="A5A5A5"/>
            <w:noWrap w:val="0"/>
            <w:vAlign w:val="top"/>
          </w:tcPr>
          <w:p>
            <w:pPr>
              <w:spacing w:line="360" w:lineRule="auto"/>
              <w:jc w:val="center"/>
              <w:rPr>
                <w:rFonts w:ascii="宋体" w:hAnsi="宋体" w:cs="宋体"/>
                <w:sz w:val="24"/>
                <w:szCs w:val="24"/>
              </w:rPr>
            </w:pPr>
            <w:r>
              <w:rPr>
                <w:rFonts w:hint="eastAsia" w:ascii="宋体" w:hAnsi="宋体" w:cs="宋体"/>
                <w:sz w:val="24"/>
                <w:szCs w:val="24"/>
              </w:rPr>
              <w:t>业务信息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61" w:type="dxa"/>
            <w:noWrap w:val="0"/>
            <w:vAlign w:val="top"/>
          </w:tcPr>
          <w:p>
            <w:pPr>
              <w:spacing w:line="360" w:lineRule="auto"/>
              <w:jc w:val="left"/>
              <w:rPr>
                <w:rFonts w:ascii="宋体" w:hAnsi="宋体" w:cs="宋体"/>
                <w:sz w:val="24"/>
                <w:szCs w:val="24"/>
              </w:rPr>
            </w:pPr>
            <w:r>
              <w:rPr>
                <w:rFonts w:hint="eastAsia" w:ascii="宋体" w:hAnsi="宋体" w:cs="宋体"/>
                <w:sz w:val="24"/>
                <w:szCs w:val="24"/>
              </w:rPr>
              <w:t>序号</w:t>
            </w:r>
          </w:p>
        </w:tc>
        <w:tc>
          <w:tcPr>
            <w:tcW w:w="4261" w:type="dxa"/>
            <w:noWrap w:val="0"/>
            <w:vAlign w:val="top"/>
          </w:tcPr>
          <w:p>
            <w:pPr>
              <w:autoSpaceDE w:val="0"/>
              <w:autoSpaceDN w:val="0"/>
              <w:spacing w:line="360" w:lineRule="auto"/>
              <w:jc w:val="left"/>
              <w:rPr>
                <w:rFonts w:ascii="宋体" w:hAnsi="宋体" w:cs="宋体"/>
                <w:sz w:val="24"/>
                <w:szCs w:val="24"/>
              </w:rPr>
            </w:pPr>
            <w:r>
              <w:rPr>
                <w:rFonts w:hint="eastAsia" w:ascii="宋体" w:hAnsi="宋体" w:cs="宋体"/>
                <w:color w:val="000000"/>
                <w:sz w:val="24"/>
                <w:szCs w:val="24"/>
              </w:rPr>
              <w:t>业务/产品名称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261" w:type="dxa"/>
            <w:noWrap w:val="0"/>
            <w:vAlign w:val="top"/>
          </w:tcPr>
          <w:p>
            <w:pPr>
              <w:spacing w:line="360" w:lineRule="auto"/>
              <w:jc w:val="left"/>
              <w:rPr>
                <w:rFonts w:ascii="宋体" w:hAnsi="宋体" w:cs="宋体"/>
                <w:sz w:val="24"/>
                <w:szCs w:val="24"/>
              </w:rPr>
            </w:pPr>
            <w:r>
              <w:rPr>
                <w:rFonts w:hint="eastAsia" w:ascii="宋体" w:hAnsi="宋体" w:cs="宋体"/>
                <w:sz w:val="24"/>
                <w:szCs w:val="24"/>
              </w:rPr>
              <w:t>1</w:t>
            </w:r>
          </w:p>
        </w:tc>
        <w:tc>
          <w:tcPr>
            <w:tcW w:w="4261" w:type="dxa"/>
            <w:noWrap w:val="0"/>
            <w:vAlign w:val="top"/>
          </w:tcPr>
          <w:p>
            <w:pPr>
              <w:autoSpaceDE w:val="0"/>
              <w:autoSpaceDN w:val="0"/>
              <w:spacing w:line="360" w:lineRule="auto"/>
              <w:jc w:val="left"/>
              <w:rPr>
                <w:rFonts w:ascii="宋体" w:hAnsi="宋体" w:cs="宋体"/>
                <w:sz w:val="24"/>
                <w:szCs w:val="24"/>
              </w:rPr>
            </w:pPr>
            <w:r>
              <w:rPr>
                <w:rFonts w:hint="eastAsia" w:ascii="宋体" w:hAnsi="宋体" w:cs="宋体"/>
                <w:color w:val="000000"/>
                <w:sz w:val="24"/>
                <w:szCs w:val="24"/>
              </w:rPr>
              <w:t>互联网专线产品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261" w:type="dxa"/>
            <w:noWrap w:val="0"/>
            <w:vAlign w:val="top"/>
          </w:tcPr>
          <w:p>
            <w:pPr>
              <w:spacing w:line="360" w:lineRule="auto"/>
              <w:jc w:val="left"/>
              <w:rPr>
                <w:rFonts w:ascii="宋体" w:hAnsi="宋体" w:cs="宋体"/>
                <w:sz w:val="24"/>
                <w:szCs w:val="24"/>
              </w:rPr>
            </w:pPr>
            <w:r>
              <w:rPr>
                <w:rFonts w:hint="eastAsia" w:ascii="宋体" w:hAnsi="宋体" w:cs="宋体"/>
                <w:sz w:val="24"/>
                <w:szCs w:val="24"/>
              </w:rPr>
              <w:t>2</w:t>
            </w:r>
          </w:p>
        </w:tc>
        <w:tc>
          <w:tcPr>
            <w:tcW w:w="4261" w:type="dxa"/>
            <w:noWrap w:val="0"/>
            <w:vAlign w:val="top"/>
          </w:tcPr>
          <w:p>
            <w:pPr>
              <w:autoSpaceDE w:val="0"/>
              <w:autoSpaceDN w:val="0"/>
              <w:spacing w:line="360" w:lineRule="auto"/>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22" w:type="dxa"/>
            <w:gridSpan w:val="2"/>
            <w:noWrap w:val="0"/>
            <w:vAlign w:val="top"/>
          </w:tcPr>
          <w:p>
            <w:pPr>
              <w:spacing w:line="360" w:lineRule="auto"/>
              <w:jc w:val="left"/>
              <w:rPr>
                <w:rFonts w:ascii="宋体" w:hAnsi="宋体" w:cs="宋体"/>
                <w:sz w:val="24"/>
                <w:szCs w:val="24"/>
              </w:rPr>
            </w:pPr>
            <w:r>
              <w:rPr>
                <w:rFonts w:hint="eastAsia" w:ascii="宋体" w:hAnsi="宋体" w:cs="宋体"/>
                <w:sz w:val="24"/>
                <w:szCs w:val="24"/>
              </w:rPr>
              <w:t>业务执行条款：</w:t>
            </w:r>
          </w:p>
          <w:p>
            <w:pPr>
              <w:spacing w:line="360" w:lineRule="auto"/>
              <w:jc w:val="left"/>
              <w:rPr>
                <w:rFonts w:ascii="宋体" w:hAnsi="宋体" w:cs="宋体"/>
                <w:sz w:val="24"/>
                <w:szCs w:val="24"/>
              </w:rPr>
            </w:pPr>
            <w:r>
              <w:rPr>
                <w:rFonts w:hint="eastAsia" w:ascii="宋体" w:hAnsi="宋体" w:cs="宋体"/>
                <w:sz w:val="24"/>
                <w:szCs w:val="24"/>
              </w:rPr>
              <w:t>1、上述业务/产品协议具体内容请见附件。</w:t>
            </w:r>
          </w:p>
        </w:tc>
      </w:tr>
    </w:tbl>
    <w:p>
      <w:pPr>
        <w:spacing w:line="360" w:lineRule="auto"/>
        <w:jc w:val="left"/>
        <w:rPr>
          <w:rFonts w:ascii="宋体" w:hAnsi="宋体" w:cs="宋体"/>
          <w:sz w:val="24"/>
          <w:szCs w:val="24"/>
        </w:rPr>
      </w:pPr>
    </w:p>
    <w:p>
      <w:pPr>
        <w:spacing w:before="312" w:beforeLines="100" w:after="312" w:afterLines="100" w:line="360" w:lineRule="auto"/>
        <w:jc w:val="center"/>
        <w:rPr>
          <w:rFonts w:ascii="宋体" w:hAnsi="宋体" w:cs="宋体"/>
          <w:b/>
          <w:sz w:val="32"/>
          <w:szCs w:val="32"/>
        </w:rPr>
      </w:pPr>
      <w:r>
        <w:rPr>
          <w:rFonts w:hint="eastAsia" w:ascii="宋体" w:hAnsi="宋体" w:cs="宋体"/>
          <w:b/>
          <w:sz w:val="32"/>
          <w:szCs w:val="32"/>
        </w:rPr>
        <w:t>互联网专线</w:t>
      </w:r>
    </w:p>
    <w:p>
      <w:pPr>
        <w:autoSpaceDE w:val="0"/>
        <w:autoSpaceDN w:val="0"/>
        <w:spacing w:line="360" w:lineRule="auto"/>
        <w:jc w:val="left"/>
        <w:rPr>
          <w:rFonts w:ascii="宋体" w:hAnsi="宋体" w:cs="宋体"/>
          <w:b/>
          <w:bCs/>
          <w:color w:val="000000"/>
          <w:spacing w:val="5"/>
          <w:sz w:val="24"/>
          <w:szCs w:val="24"/>
        </w:rPr>
      </w:pPr>
      <w:r>
        <w:rPr>
          <w:rFonts w:hint="eastAsia" w:ascii="宋体" w:hAnsi="宋体" w:cs="宋体"/>
          <w:b/>
          <w:bCs/>
          <w:color w:val="000000"/>
          <w:spacing w:val="5"/>
          <w:sz w:val="24"/>
          <w:szCs w:val="24"/>
        </w:rPr>
        <w:t>一、 业务内容</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1.业务定义：互联网专线业务属于乙方集客专线业务，其依托传输网络资源，通过传输电路连接CMNET，满足客户互联网访问与被访问。需求。</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2.业务类型：乙方为客户提供的互联网业务可细分为互联网专线、品质互联网专线、短期互联网专线、国际快线、BGP专线等。</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（1）互联网专线使用乙方分配的IP地址，通过静态IP路由方式接入CMNET，独享恒定传输速率的互联网接入及访问服务。</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（2）品质互联网专线在互联网专线的基础上为客户提供更高品质的网络质量和服务，且配置相应的专线运行服务报告和流量清洗服务。</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（3）短期互联网专线为客户提供短期（1个月内）互联网接入需求，按使用天数计费。</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（4）国际快线基于互联网网络和国际出入口独立通道，采用乙方分配的特定IP地址接入，为境内客户提供高质量国际互联网访问服务。</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（5）BGP专线为客户自带IP地址接入，将客户的自治系统（AS）通过边际网关协议（BGP）与乙方网络进行互联互通。按路由方式划分，BGP专线业务分为非穿透、国内穿透及全穿透。</w:t>
      </w:r>
    </w:p>
    <w:p>
      <w:pPr>
        <w:numPr>
          <w:ilvl w:val="0"/>
          <w:numId w:val="15"/>
        </w:num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使用范围：本地互联网接入。</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4.业务资费：上述业务资费均包括A：一次性费用，B：网络使用费。详细资费见北京乙方官方网站。</w:t>
      </w:r>
    </w:p>
    <w:p>
      <w:pPr>
        <w:autoSpaceDE w:val="0"/>
        <w:autoSpaceDN w:val="0"/>
        <w:spacing w:line="360" w:lineRule="auto"/>
        <w:jc w:val="left"/>
        <w:rPr>
          <w:rFonts w:ascii="宋体" w:hAnsi="宋体" w:cs="宋体"/>
          <w:b/>
          <w:bCs/>
          <w:color w:val="000000"/>
          <w:spacing w:val="5"/>
          <w:sz w:val="24"/>
          <w:szCs w:val="24"/>
        </w:rPr>
      </w:pPr>
      <w:r>
        <w:rPr>
          <w:rFonts w:hint="eastAsia" w:ascii="宋体" w:hAnsi="宋体" w:cs="宋体"/>
          <w:b/>
          <w:bCs/>
          <w:color w:val="000000"/>
          <w:spacing w:val="5"/>
          <w:sz w:val="24"/>
          <w:szCs w:val="24"/>
        </w:rPr>
        <w:t>二、 甲方权利和义务</w:t>
      </w:r>
    </w:p>
    <w:p>
      <w:pPr>
        <w:autoSpaceDE w:val="0"/>
        <w:autoSpaceDN w:val="0"/>
        <w:spacing w:line="360" w:lineRule="auto"/>
        <w:jc w:val="left"/>
        <w:rPr>
          <w:rFonts w:ascii="宋体" w:hAnsi="宋体" w:cs="宋体"/>
          <w:color w:val="000000"/>
          <w:spacing w:val="5"/>
          <w:sz w:val="24"/>
          <w:szCs w:val="24"/>
        </w:rPr>
      </w:pPr>
      <w:r>
        <w:rPr>
          <w:rFonts w:hint="eastAsia" w:ascii="宋体" w:hAnsi="宋体" w:cs="宋体"/>
          <w:color w:val="000000"/>
          <w:spacing w:val="5"/>
          <w:sz w:val="24"/>
          <w:szCs w:val="24"/>
        </w:rPr>
        <w:t>1.甲方可按需选择订购具体的互联网业务服务（请勾选下面的服务类型），填写对应业务的登记单，并享有乙方提供的相关服务。</w:t>
      </w:r>
    </w:p>
    <w:p>
      <w:pPr>
        <w:spacing w:line="360" w:lineRule="auto"/>
        <w:jc w:val="left"/>
        <w:rPr>
          <w:rFonts w:ascii="宋体" w:hAnsi="宋体" w:cs="宋体"/>
          <w:sz w:val="24"/>
          <w:szCs w:val="24"/>
        </w:rPr>
      </w:pPr>
      <w:r>
        <w:rPr>
          <w:rFonts w:hint="eastAsia" w:ascii="宋体" w:hAnsi="宋体" w:cs="宋体"/>
          <w:sz w:val="24"/>
          <w:szCs w:val="24"/>
        </w:rPr>
        <w:t>服务类型：</w:t>
      </w:r>
      <w:r>
        <w:rPr>
          <w:rFonts w:ascii="宋体" w:hAnsi="宋体"/>
          <w:sz w:val="24"/>
        </w:rPr>
        <w:t>□</w:t>
      </w:r>
      <w:r>
        <w:rPr>
          <w:rFonts w:hint="eastAsia" w:ascii="宋体" w:hAnsi="宋体" w:cs="宋体"/>
          <w:sz w:val="24"/>
          <w:szCs w:val="24"/>
        </w:rPr>
        <w:t>互联网专线</w:t>
      </w:r>
      <w:r>
        <w:rPr>
          <w:rFonts w:ascii="宋体" w:hAnsi="宋体"/>
          <w:sz w:val="24"/>
        </w:rPr>
        <w:t>□</w:t>
      </w:r>
      <w:r>
        <w:rPr>
          <w:rFonts w:hint="eastAsia" w:ascii="宋体" w:hAnsi="宋体" w:cs="宋体"/>
          <w:sz w:val="24"/>
          <w:szCs w:val="24"/>
        </w:rPr>
        <w:t>品质互联网专线</w:t>
      </w:r>
      <w:r>
        <w:rPr>
          <w:rFonts w:ascii="宋体" w:hAnsi="宋体"/>
          <w:sz w:val="24"/>
        </w:rPr>
        <w:t>□</w:t>
      </w:r>
      <w:r>
        <w:rPr>
          <w:rFonts w:hint="eastAsia" w:ascii="宋体" w:hAnsi="宋体" w:cs="宋体"/>
          <w:sz w:val="24"/>
          <w:szCs w:val="24"/>
        </w:rPr>
        <w:t>短期互联网专线</w:t>
      </w:r>
      <w:r>
        <w:rPr>
          <w:rFonts w:ascii="宋体" w:hAnsi="宋体"/>
          <w:sz w:val="24"/>
        </w:rPr>
        <w:t>□</w:t>
      </w:r>
      <w:r>
        <w:rPr>
          <w:rFonts w:hint="eastAsia" w:ascii="宋体" w:hAnsi="宋体" w:cs="宋体"/>
          <w:sz w:val="24"/>
          <w:szCs w:val="24"/>
        </w:rPr>
        <w:t>国际快线</w:t>
      </w:r>
      <w:r>
        <w:rPr>
          <w:rFonts w:ascii="宋体" w:hAnsi="宋体"/>
          <w:sz w:val="24"/>
        </w:rPr>
        <w:t>□</w:t>
      </w:r>
      <w:r>
        <w:rPr>
          <w:rFonts w:hint="eastAsia" w:ascii="宋体" w:hAnsi="宋体" w:cs="宋体"/>
          <w:sz w:val="24"/>
          <w:szCs w:val="24"/>
        </w:rPr>
        <w:t>BGP专线</w:t>
      </w:r>
    </w:p>
    <w:p>
      <w:pPr>
        <w:spacing w:line="360" w:lineRule="auto"/>
        <w:jc w:val="left"/>
        <w:rPr>
          <w:rFonts w:ascii="宋体" w:hAnsi="宋体" w:cs="宋体"/>
          <w:sz w:val="24"/>
          <w:szCs w:val="24"/>
        </w:rPr>
      </w:pPr>
      <w:r>
        <w:rPr>
          <w:rFonts w:hint="eastAsia" w:ascii="宋体" w:hAnsi="宋体" w:cs="宋体"/>
          <w:sz w:val="24"/>
          <w:szCs w:val="24"/>
        </w:rPr>
        <w:t>2.甲方以定单的形式向乙方书面提供开通的通达方向、速率、数量、技术要求、准确的接入地点、用途、要求开通时间、联系人、联系电话等信息。若甲方自带IP地址入网，须同时提供自有的公网AS号、自带的公网IP地址及必要的路由信息。</w:t>
      </w:r>
    </w:p>
    <w:p>
      <w:pPr>
        <w:spacing w:line="360" w:lineRule="auto"/>
        <w:jc w:val="left"/>
        <w:rPr>
          <w:rFonts w:ascii="宋体" w:hAnsi="宋体" w:cs="宋体"/>
          <w:sz w:val="24"/>
          <w:szCs w:val="24"/>
        </w:rPr>
      </w:pPr>
      <w:r>
        <w:rPr>
          <w:rFonts w:hint="eastAsia" w:ascii="宋体" w:hAnsi="宋体" w:cs="宋体"/>
          <w:sz w:val="24"/>
          <w:szCs w:val="24"/>
        </w:rPr>
        <w:t>3.甲方必须严格遵守乙方针对互联网业务的管理规定，在乙方根据业务要求实施相关建设工程时，甲方须无偿提供安装相应光纤、设备时所需要的甲方红线以内交接间、管道、沟槽、孔、洞等设施以及必要的施工条件。未经乙方许可，甲方不得擅自更换、拆、改、加装、移装乙方的互联网、设备。否则，乙方有权终止本协议，并有权要求甲方赔偿由此给乙方造成的损失。</w:t>
      </w:r>
    </w:p>
    <w:p>
      <w:pPr>
        <w:spacing w:line="360" w:lineRule="auto"/>
        <w:jc w:val="left"/>
        <w:rPr>
          <w:rFonts w:ascii="宋体" w:hAnsi="宋体" w:cs="宋体"/>
          <w:sz w:val="24"/>
          <w:szCs w:val="24"/>
        </w:rPr>
      </w:pPr>
      <w:r>
        <w:rPr>
          <w:rFonts w:hint="eastAsia" w:ascii="宋体" w:hAnsi="宋体" w:cs="宋体"/>
          <w:sz w:val="24"/>
          <w:szCs w:val="24"/>
        </w:rPr>
        <w:t>4.甲方将严格按照向乙方申请的互联网业务内容享受乙方提供的相应服务，不得擅自以任何形式向第三方提供互联网业务的使用权或改变租用性质，不得为第三方提供转接（穿透）服务，不得擅自利用互联网业务的便利条件从事专线以外的一切商业经营活动。如甲方从事的互联网业务超过其申请和乙方许可的范围(包括但不限于转租、专线不专用等)，乙方有权停止相关服务，由此产生的一切后果由甲方自行承担并赔偿给乙方造成的一切损失。</w:t>
      </w:r>
    </w:p>
    <w:p>
      <w:pPr>
        <w:spacing w:line="360" w:lineRule="auto"/>
        <w:jc w:val="left"/>
        <w:rPr>
          <w:rFonts w:ascii="宋体" w:hAnsi="宋体" w:cs="宋体"/>
          <w:sz w:val="24"/>
          <w:szCs w:val="24"/>
        </w:rPr>
      </w:pPr>
      <w:r>
        <w:rPr>
          <w:rFonts w:hint="eastAsia" w:ascii="宋体" w:hAnsi="宋体" w:cs="宋体"/>
          <w:sz w:val="24"/>
          <w:szCs w:val="24"/>
        </w:rPr>
        <w:t>5.甲方不得将乙方提供的相应业务及服务（包括但不限于带宽、IP地址等）转售或提供给清单客户使用，详细客户名单见《清单客户列表》。</w:t>
      </w:r>
    </w:p>
    <w:p>
      <w:pPr>
        <w:spacing w:line="360" w:lineRule="auto"/>
        <w:jc w:val="left"/>
        <w:rPr>
          <w:rFonts w:ascii="宋体" w:hAnsi="宋体" w:cs="宋体"/>
          <w:sz w:val="24"/>
          <w:szCs w:val="24"/>
        </w:rPr>
      </w:pPr>
      <w:r>
        <w:rPr>
          <w:rFonts w:hint="eastAsia" w:ascii="宋体" w:hAnsi="宋体" w:cs="宋体"/>
          <w:sz w:val="24"/>
          <w:szCs w:val="24"/>
        </w:rPr>
        <w:t>6.甲方可根据自身业务需要终止所签订的互联网业务，甲方退租互联网业务应提前30个工作日以书面形式通知乙方，以便乙方按照规定时间关闭</w:t>
      </w:r>
    </w:p>
    <w:p>
      <w:pPr>
        <w:spacing w:line="360" w:lineRule="auto"/>
        <w:jc w:val="left"/>
        <w:rPr>
          <w:rFonts w:ascii="宋体" w:hAnsi="宋体" w:cs="宋体"/>
          <w:sz w:val="24"/>
          <w:szCs w:val="24"/>
        </w:rPr>
      </w:pPr>
      <w:r>
        <w:rPr>
          <w:rFonts w:hint="eastAsia" w:ascii="宋体" w:hAnsi="宋体" w:cs="宋体"/>
          <w:sz w:val="24"/>
          <w:szCs w:val="24"/>
        </w:rPr>
        <w:t>电路。如因甲方申请时间与要求关闭时间之差小于上述要求，产生相关业务费用，甲方必须承担。</w:t>
      </w:r>
    </w:p>
    <w:p>
      <w:pPr>
        <w:spacing w:line="360" w:lineRule="auto"/>
        <w:jc w:val="left"/>
        <w:rPr>
          <w:rFonts w:ascii="宋体" w:hAnsi="宋体" w:cs="宋体"/>
          <w:sz w:val="24"/>
          <w:szCs w:val="24"/>
        </w:rPr>
      </w:pPr>
      <w:r>
        <w:rPr>
          <w:rFonts w:hint="eastAsia" w:ascii="宋体" w:hAnsi="宋体" w:cs="宋体"/>
          <w:sz w:val="24"/>
          <w:szCs w:val="24"/>
        </w:rPr>
        <w:t>7.甲方派专人负责做好本方入网的各项准备工作，包括入网前期的组织、协调工作：接入设备及机房内安装场地、配套设施（如电源、照明）的准备；保证入网各机构配合乙方的进网调测工作；调配和预留所在大楼内配线室至机房的通信线路；提供涉及入网实施工作的各机构项目负责人的联系方式。</w:t>
      </w:r>
    </w:p>
    <w:p>
      <w:pPr>
        <w:spacing w:line="360" w:lineRule="auto"/>
        <w:jc w:val="left"/>
        <w:rPr>
          <w:rFonts w:ascii="宋体" w:hAnsi="宋体" w:cs="宋体"/>
          <w:sz w:val="24"/>
          <w:szCs w:val="24"/>
        </w:rPr>
      </w:pPr>
      <w:r>
        <w:rPr>
          <w:rFonts w:hint="eastAsia" w:ascii="宋体" w:hAnsi="宋体" w:cs="宋体"/>
          <w:sz w:val="24"/>
          <w:szCs w:val="24"/>
        </w:rPr>
        <w:t>8.甲方若选择自带IP地址的入网方式，为保证业务可用性，甲方所租用带宽须不小于10M，IP地址数量不少于1个C，须遵循《IP地址资源核配协议》管理规定。</w:t>
      </w:r>
    </w:p>
    <w:p>
      <w:pPr>
        <w:spacing w:line="360" w:lineRule="auto"/>
        <w:jc w:val="left"/>
        <w:rPr>
          <w:rFonts w:ascii="宋体" w:hAnsi="宋体" w:cs="宋体"/>
          <w:sz w:val="24"/>
          <w:szCs w:val="24"/>
        </w:rPr>
      </w:pPr>
      <w:r>
        <w:rPr>
          <w:rFonts w:hint="eastAsia" w:ascii="宋体" w:hAnsi="宋体" w:cs="宋体"/>
          <w:sz w:val="24"/>
          <w:szCs w:val="24"/>
        </w:rPr>
        <w:t>9.甲方若拥有可通过互联网访问的网站，需依照工信部相关法令履行备案手续。甲方入网时若拥有网站和申请公网IP地址时，需填写《信息产业部ICP/IP地址信息备案表》，由乙方代为备案。若甲方在入网后，网站的任何备案信息发生变化或者有新增网站，应及时向乙方提交修改或补报相关信息。甲方若不能及时提供网站备案信息，乙方有权根据政府相关规章、政策停止其网络接入服务。</w:t>
      </w:r>
    </w:p>
    <w:p>
      <w:pPr>
        <w:spacing w:line="360" w:lineRule="auto"/>
        <w:jc w:val="left"/>
        <w:rPr>
          <w:rFonts w:ascii="宋体" w:hAnsi="宋体" w:cs="宋体"/>
          <w:sz w:val="24"/>
          <w:szCs w:val="24"/>
        </w:rPr>
      </w:pPr>
      <w:r>
        <w:rPr>
          <w:rFonts w:hint="eastAsia" w:ascii="宋体" w:hAnsi="宋体" w:cs="宋体"/>
          <w:sz w:val="24"/>
          <w:szCs w:val="24"/>
        </w:rPr>
        <w:t>10.甲方若拥有需要通过互联网被访问的网站，需按照工信部要求填写《网站信息登记表》，由乙方代为进行基础信息录入，同时必要时需配合乙方进行网络割接操作。若甲方未能提供准确基础数据或无法及时配合进行割接，乙方有权根据政府相关规章、政策停止或暂缓其网络接入服务。</w:t>
      </w:r>
    </w:p>
    <w:p>
      <w:pPr>
        <w:spacing w:line="360" w:lineRule="auto"/>
        <w:jc w:val="left"/>
        <w:rPr>
          <w:rFonts w:ascii="宋体" w:hAnsi="宋体" w:cs="宋体"/>
          <w:sz w:val="24"/>
          <w:szCs w:val="24"/>
        </w:rPr>
      </w:pPr>
      <w:r>
        <w:rPr>
          <w:rFonts w:hint="eastAsia" w:ascii="宋体" w:hAnsi="宋体" w:cs="宋体"/>
          <w:sz w:val="24"/>
          <w:szCs w:val="24"/>
        </w:rPr>
        <w:t>11.甲方不得将乙方提供的网络服务通过带宽汇聚等手段用于CDN、IDC服务，如有相关情况，乙方有权终止提供服务、解除合同、要求赔偿等直至承担法律责任。</w:t>
      </w:r>
    </w:p>
    <w:p>
      <w:pPr>
        <w:spacing w:line="360" w:lineRule="auto"/>
        <w:jc w:val="left"/>
        <w:rPr>
          <w:rFonts w:ascii="宋体" w:hAnsi="宋体" w:cs="宋体"/>
          <w:sz w:val="24"/>
          <w:szCs w:val="24"/>
        </w:rPr>
      </w:pPr>
      <w:r>
        <w:rPr>
          <w:rFonts w:hint="eastAsia" w:ascii="宋体" w:hAnsi="宋体" w:cs="宋体"/>
          <w:sz w:val="24"/>
          <w:szCs w:val="24"/>
        </w:rPr>
        <w:t>12.甲方承诺使用乙方的IP地址不从事虚拟货币勘探“挖矿”活动。否则，乙方将有权采取进一步措施，包括但不限于封堵IP地址、关停线路等。</w:t>
      </w:r>
    </w:p>
    <w:p>
      <w:pPr>
        <w:spacing w:line="360" w:lineRule="auto"/>
        <w:jc w:val="left"/>
        <w:rPr>
          <w:rFonts w:ascii="宋体" w:hAnsi="宋体" w:cs="宋体"/>
          <w:b/>
          <w:bCs/>
          <w:color w:val="000000"/>
          <w:spacing w:val="5"/>
          <w:sz w:val="24"/>
          <w:szCs w:val="24"/>
        </w:rPr>
      </w:pPr>
      <w:r>
        <w:rPr>
          <w:rFonts w:hint="eastAsia" w:ascii="宋体" w:hAnsi="宋体" w:cs="宋体"/>
          <w:b/>
          <w:bCs/>
          <w:color w:val="000000"/>
          <w:spacing w:val="5"/>
          <w:sz w:val="24"/>
          <w:szCs w:val="24"/>
        </w:rPr>
        <w:t>三、 乙方的权利和义务</w:t>
      </w:r>
    </w:p>
    <w:p>
      <w:pPr>
        <w:spacing w:line="360" w:lineRule="auto"/>
        <w:jc w:val="left"/>
        <w:rPr>
          <w:rFonts w:ascii="宋体" w:hAnsi="宋体" w:cs="宋体"/>
          <w:sz w:val="24"/>
          <w:szCs w:val="24"/>
        </w:rPr>
      </w:pPr>
      <w:r>
        <w:rPr>
          <w:rFonts w:hint="eastAsia" w:ascii="宋体" w:hAnsi="宋体" w:cs="宋体"/>
          <w:sz w:val="24"/>
          <w:szCs w:val="24"/>
        </w:rPr>
        <w:t>1.甲方在互联网业务开通后因自身原因（包括客户端设备未到货或未调通；客户端内部网络未调通等）提出退租或变更开通日期及业务类型时，乙方对此不承担责任，同时乙方根据实际开通日期正常收取一次性费用、网络使用费用。</w:t>
      </w:r>
    </w:p>
    <w:p>
      <w:pPr>
        <w:spacing w:line="360" w:lineRule="auto"/>
        <w:jc w:val="left"/>
        <w:rPr>
          <w:rFonts w:ascii="宋体" w:hAnsi="宋体" w:cs="宋体"/>
          <w:sz w:val="24"/>
          <w:szCs w:val="24"/>
        </w:rPr>
      </w:pPr>
      <w:r>
        <w:rPr>
          <w:rFonts w:hint="eastAsia" w:ascii="宋体" w:hAnsi="宋体" w:cs="宋体"/>
          <w:sz w:val="24"/>
          <w:szCs w:val="24"/>
        </w:rPr>
        <w:t>2.乙方为甲方提供各类互联网业务的咨询、组网建议等服务，并在甲方以后的网络扩容及网络升级中继续提供业务和技术支持。</w:t>
      </w:r>
    </w:p>
    <w:p>
      <w:pPr>
        <w:spacing w:line="360" w:lineRule="auto"/>
        <w:jc w:val="left"/>
        <w:rPr>
          <w:rFonts w:ascii="宋体" w:hAnsi="宋体" w:cs="宋体"/>
          <w:sz w:val="24"/>
          <w:szCs w:val="24"/>
        </w:rPr>
      </w:pPr>
      <w:r>
        <w:rPr>
          <w:rFonts w:hint="eastAsia" w:ascii="宋体" w:hAnsi="宋体" w:cs="宋体"/>
          <w:sz w:val="24"/>
          <w:szCs w:val="24"/>
        </w:rPr>
        <w:t>3.乙方对客户签约使用的互联网业务应依据相关规程和规范进行维护，甲方应给予必要的协助和配合。甲方在使用时如发现故障（非甲方网络或终端设备故障）可向乙方申告。</w:t>
      </w:r>
    </w:p>
    <w:p>
      <w:pPr>
        <w:spacing w:line="360" w:lineRule="auto"/>
        <w:jc w:val="left"/>
        <w:rPr>
          <w:rFonts w:ascii="宋体" w:hAnsi="宋体" w:cs="宋体"/>
          <w:b/>
          <w:bCs/>
          <w:color w:val="000000"/>
          <w:spacing w:val="5"/>
          <w:sz w:val="24"/>
          <w:szCs w:val="24"/>
        </w:rPr>
      </w:pPr>
      <w:r>
        <w:rPr>
          <w:rFonts w:hint="eastAsia" w:ascii="宋体" w:hAnsi="宋体" w:cs="宋体"/>
          <w:b/>
          <w:bCs/>
          <w:color w:val="000000"/>
          <w:spacing w:val="5"/>
          <w:sz w:val="24"/>
          <w:szCs w:val="24"/>
        </w:rPr>
        <w:t>四、 计费和结算标准</w:t>
      </w:r>
    </w:p>
    <w:p>
      <w:pPr>
        <w:spacing w:line="360" w:lineRule="auto"/>
        <w:jc w:val="left"/>
        <w:rPr>
          <w:rFonts w:ascii="宋体" w:hAnsi="宋体" w:cs="宋体"/>
          <w:sz w:val="24"/>
          <w:szCs w:val="24"/>
        </w:rPr>
      </w:pPr>
      <w:r>
        <w:rPr>
          <w:rFonts w:hint="eastAsia" w:ascii="宋体" w:hAnsi="宋体" w:cs="宋体"/>
          <w:sz w:val="24"/>
          <w:szCs w:val="24"/>
        </w:rPr>
        <w:t>1.甲方按照所签约订购的对应互联网业务的附件登记单缴纳一次性费用和网络使用费。其中一次性费用税率为9%；网络使用费税率为6%。</w:t>
      </w:r>
    </w:p>
    <w:p>
      <w:pPr>
        <w:spacing w:line="360" w:lineRule="auto"/>
        <w:jc w:val="left"/>
        <w:rPr>
          <w:rFonts w:ascii="宋体" w:hAnsi="宋体" w:cs="宋体"/>
          <w:sz w:val="24"/>
          <w:szCs w:val="24"/>
        </w:rPr>
      </w:pPr>
      <w:r>
        <w:rPr>
          <w:rFonts w:hint="eastAsia" w:ascii="宋体" w:hAnsi="宋体" w:cs="宋体"/>
          <w:sz w:val="24"/>
          <w:szCs w:val="24"/>
        </w:rPr>
        <w:t>2.互联网业务不可暂停，甲方取消业务后，如需要再开通业务，须再次缴纳一次性费用。</w:t>
      </w:r>
    </w:p>
    <w:p>
      <w:pPr>
        <w:spacing w:line="360" w:lineRule="auto"/>
        <w:jc w:val="left"/>
        <w:rPr>
          <w:rFonts w:ascii="宋体" w:hAnsi="宋体" w:cs="宋体"/>
          <w:sz w:val="24"/>
          <w:szCs w:val="24"/>
        </w:rPr>
      </w:pPr>
      <w:r>
        <w:rPr>
          <w:rFonts w:hint="eastAsia" w:ascii="宋体" w:hAnsi="宋体" w:cs="宋体"/>
          <w:sz w:val="24"/>
          <w:szCs w:val="24"/>
        </w:rPr>
        <w:t>3.网络使用费根据实际产品可按月、按季度、按半年、按年收取，以乙方业务开通回单时间作为起租日，开始收取费用。</w:t>
      </w:r>
    </w:p>
    <w:p>
      <w:pPr>
        <w:spacing w:line="360" w:lineRule="auto"/>
        <w:jc w:val="left"/>
        <w:rPr>
          <w:rFonts w:ascii="宋体" w:hAnsi="宋体" w:cs="宋体"/>
          <w:sz w:val="24"/>
          <w:szCs w:val="24"/>
        </w:rPr>
      </w:pPr>
      <w:r>
        <w:rPr>
          <w:rFonts w:hint="eastAsia" w:ascii="宋体" w:hAnsi="宋体" w:cs="宋体"/>
          <w:sz w:val="24"/>
          <w:szCs w:val="24"/>
        </w:rPr>
        <w:t>4.甲方如需变更带宽，需提前30日向乙方申请，自变更月次月开始按照新网络使用费计费。</w:t>
      </w:r>
    </w:p>
    <w:p>
      <w:pPr>
        <w:spacing w:line="360" w:lineRule="auto"/>
        <w:jc w:val="left"/>
        <w:rPr>
          <w:rFonts w:ascii="宋体" w:hAnsi="宋体" w:cs="宋体"/>
          <w:sz w:val="24"/>
          <w:szCs w:val="24"/>
        </w:rPr>
      </w:pPr>
      <w:r>
        <w:rPr>
          <w:rFonts w:hint="eastAsia" w:ascii="宋体" w:hAnsi="宋体" w:cs="宋体"/>
          <w:sz w:val="24"/>
          <w:szCs w:val="24"/>
        </w:rPr>
        <w:t>5.甲方应在出账当月5日至次月4日内与乙方结清所出账单的互联网业务的网络使用费。甲方任何一个计费周期的互联网业务费用在该计费周期结束后三个月尚未结清的，乙方有权终止本协议的执行，取消为甲方开通的互联网业务，并有权继续追索甲方所欠的全部费用及其违约金。</w:t>
      </w:r>
    </w:p>
    <w:p>
      <w:pPr>
        <w:spacing w:line="360" w:lineRule="auto"/>
        <w:jc w:val="left"/>
        <w:rPr>
          <w:rFonts w:ascii="宋体" w:hAnsi="宋体" w:cs="宋体"/>
          <w:b/>
          <w:bCs/>
          <w:color w:val="000000"/>
          <w:spacing w:val="5"/>
          <w:sz w:val="24"/>
          <w:szCs w:val="24"/>
        </w:rPr>
      </w:pPr>
      <w:r>
        <w:rPr>
          <w:rFonts w:hint="eastAsia" w:ascii="宋体" w:hAnsi="宋体" w:cs="宋体"/>
          <w:b/>
          <w:bCs/>
          <w:color w:val="000000"/>
          <w:spacing w:val="5"/>
          <w:sz w:val="24"/>
          <w:szCs w:val="24"/>
        </w:rPr>
        <w:t>五、 资费和优惠条款</w:t>
      </w:r>
    </w:p>
    <w:p>
      <w:pPr>
        <w:spacing w:line="360" w:lineRule="auto"/>
        <w:jc w:val="left"/>
        <w:rPr>
          <w:rFonts w:ascii="宋体" w:hAnsi="宋体" w:cs="宋体"/>
          <w:sz w:val="24"/>
          <w:szCs w:val="24"/>
        </w:rPr>
      </w:pPr>
      <w:r>
        <w:rPr>
          <w:rFonts w:hint="eastAsia" w:ascii="宋体" w:hAnsi="宋体" w:cs="宋体"/>
          <w:sz w:val="24"/>
          <w:szCs w:val="24"/>
        </w:rPr>
        <w:t>1.自甲方租用乙方专线的起租日起，甲方依照协议约定支付相关费用，甲方租用乙方的专线若发生欠费，不享受资费优惠。</w:t>
      </w:r>
    </w:p>
    <w:p>
      <w:pPr>
        <w:spacing w:line="360" w:lineRule="auto"/>
        <w:jc w:val="left"/>
        <w:rPr>
          <w:rFonts w:ascii="宋体" w:hAnsi="宋体" w:cs="宋体"/>
          <w:sz w:val="24"/>
          <w:szCs w:val="24"/>
        </w:rPr>
      </w:pPr>
      <w:r>
        <w:rPr>
          <w:rFonts w:hint="eastAsia" w:ascii="宋体" w:hAnsi="宋体" w:cs="宋体"/>
          <w:sz w:val="24"/>
          <w:szCs w:val="24"/>
        </w:rPr>
        <w:t>2.本协议有效期内，甲方退租已使用的专线，则甲方需补足该业务已享受的资费优惠。</w:t>
      </w:r>
    </w:p>
    <w:p>
      <w:pPr>
        <w:spacing w:line="360" w:lineRule="auto"/>
        <w:jc w:val="left"/>
        <w:rPr>
          <w:rFonts w:ascii="宋体" w:hAnsi="宋体" w:cs="宋体"/>
          <w:b/>
          <w:bCs/>
          <w:color w:val="000000"/>
          <w:spacing w:val="5"/>
          <w:sz w:val="24"/>
          <w:szCs w:val="24"/>
        </w:rPr>
      </w:pPr>
      <w:r>
        <w:rPr>
          <w:rFonts w:hint="eastAsia" w:ascii="宋体" w:hAnsi="宋体" w:cs="宋体"/>
          <w:b/>
          <w:bCs/>
          <w:color w:val="000000"/>
          <w:spacing w:val="5"/>
          <w:sz w:val="24"/>
          <w:szCs w:val="24"/>
        </w:rPr>
        <w:t>六、 违约责任</w:t>
      </w:r>
    </w:p>
    <w:p>
      <w:pPr>
        <w:spacing w:line="360" w:lineRule="auto"/>
        <w:jc w:val="left"/>
        <w:rPr>
          <w:rFonts w:ascii="宋体" w:hAnsi="宋体" w:cs="宋体"/>
          <w:sz w:val="24"/>
          <w:szCs w:val="24"/>
        </w:rPr>
      </w:pPr>
      <w:r>
        <w:rPr>
          <w:rFonts w:hint="eastAsia" w:ascii="宋体" w:hAnsi="宋体" w:cs="宋体"/>
          <w:sz w:val="24"/>
          <w:szCs w:val="24"/>
        </w:rPr>
        <w:t>1.乙方在租用期间负责专线的维护工作。甲方在使用时如发现故障（非甲方终端设备故障）可向乙方申告。如互联网专业务出现月累计24小时以上的中断（计划中断除外），经乙方检查故障点确属乙方网络范围内，乙方须对甲方进行相应的赔偿。每中断一日，乙方应向甲方支付的赔偿金额为网络使用费*12个月/365天(费用精确到小数点后面第2位,小数点后面第3位按四舍五入方法操作)。</w:t>
      </w:r>
    </w:p>
    <w:p>
      <w:pPr>
        <w:spacing w:line="360" w:lineRule="auto"/>
        <w:jc w:val="left"/>
        <w:rPr>
          <w:rFonts w:ascii="宋体" w:hAnsi="宋体" w:cs="宋体"/>
          <w:b/>
          <w:bCs/>
          <w:sz w:val="24"/>
          <w:szCs w:val="24"/>
        </w:rPr>
      </w:pPr>
      <w:r>
        <w:rPr>
          <w:rFonts w:hint="eastAsia" w:ascii="宋体" w:hAnsi="宋体" w:cs="宋体"/>
          <w:b/>
          <w:bCs/>
          <w:sz w:val="24"/>
          <w:szCs w:val="24"/>
        </w:rPr>
        <w:t>七、 协议的生效和终止</w:t>
      </w:r>
    </w:p>
    <w:p>
      <w:pPr>
        <w:spacing w:line="360" w:lineRule="auto"/>
        <w:jc w:val="left"/>
        <w:rPr>
          <w:rFonts w:ascii="宋体" w:hAnsi="宋体" w:cs="宋体"/>
          <w:sz w:val="24"/>
          <w:szCs w:val="24"/>
        </w:rPr>
      </w:pPr>
      <w:r>
        <w:rPr>
          <w:rFonts w:hint="eastAsia" w:ascii="宋体" w:hAnsi="宋体" w:cs="宋体"/>
          <w:sz w:val="24"/>
          <w:szCs w:val="24"/>
        </w:rPr>
        <w:t>1.本协议自双方法定代表人/负责人或授权代表签字并加盖公章或合同专用章之日起生效，本协议有效期为 1 年。在有效期满前三十(30)天，如任何一方未向对方提出终止或变更协议的要求，本协议自动展期 1 年。服务期限自具体开通之日起生效。上述展期不受次数限制。</w:t>
      </w:r>
    </w:p>
    <w:p>
      <w:pPr>
        <w:spacing w:line="360" w:lineRule="auto"/>
        <w:jc w:val="left"/>
        <w:rPr>
          <w:rFonts w:ascii="宋体" w:hAnsi="宋体" w:cs="宋体"/>
          <w:sz w:val="24"/>
          <w:szCs w:val="24"/>
        </w:rPr>
        <w:sectPr>
          <w:pgSz w:w="11906" w:h="16838"/>
          <w:pgMar w:top="1440" w:right="1800" w:bottom="1440" w:left="1800" w:header="851" w:footer="992" w:gutter="0"/>
          <w:cols w:space="720" w:num="1"/>
          <w:docGrid w:type="lines" w:linePitch="312" w:charSpace="0"/>
        </w:sectPr>
      </w:pPr>
    </w:p>
    <w:tbl>
      <w:tblPr>
        <w:tblStyle w:val="40"/>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638"/>
        <w:gridCol w:w="787"/>
        <w:gridCol w:w="163"/>
        <w:gridCol w:w="1062"/>
        <w:gridCol w:w="613"/>
        <w:gridCol w:w="525"/>
        <w:gridCol w:w="362"/>
        <w:gridCol w:w="613"/>
        <w:gridCol w:w="537"/>
        <w:gridCol w:w="138"/>
        <w:gridCol w:w="575"/>
        <w:gridCol w:w="90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469" w:type="dxa"/>
            <w:gridSpan w:val="14"/>
            <w:shd w:val="clear" w:color="auto" w:fill="A5A5A5"/>
            <w:noWrap w:val="0"/>
            <w:vAlign w:val="top"/>
          </w:tcPr>
          <w:p>
            <w:pPr>
              <w:jc w:val="center"/>
              <w:rPr>
                <w:rFonts w:ascii="宋体" w:hAnsi="宋体" w:cs="宋体"/>
                <w:szCs w:val="21"/>
              </w:rPr>
            </w:pPr>
            <w:r>
              <w:rPr>
                <w:rFonts w:hint="eastAsia" w:ascii="宋体" w:hAnsi="宋体" w:cs="宋体"/>
                <w:szCs w:val="21"/>
              </w:rPr>
              <w:t>业务信息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pPr>
              <w:jc w:val="left"/>
              <w:rPr>
                <w:rFonts w:ascii="宋体" w:hAnsi="宋体" w:cs="宋体"/>
                <w:sz w:val="16"/>
                <w:szCs w:val="16"/>
              </w:rPr>
            </w:pPr>
            <w:r>
              <w:rPr>
                <w:rFonts w:hint="eastAsia" w:ascii="宋体" w:hAnsi="宋体" w:cs="宋体"/>
                <w:sz w:val="16"/>
                <w:szCs w:val="16"/>
              </w:rPr>
              <w:t>申请内容</w:t>
            </w:r>
          </w:p>
        </w:tc>
        <w:tc>
          <w:tcPr>
            <w:tcW w:w="7688" w:type="dxa"/>
            <w:gridSpan w:val="13"/>
            <w:noWrap w:val="0"/>
            <w:vAlign w:val="top"/>
          </w:tcPr>
          <w:p>
            <w:pPr>
              <w:jc w:val="left"/>
              <w:rPr>
                <w:rFonts w:ascii="宋体" w:hAnsi="宋体"/>
                <w:b/>
                <w:sz w:val="15"/>
                <w:szCs w:val="13"/>
              </w:rPr>
            </w:pPr>
            <w:r>
              <w:rPr>
                <w:rFonts w:ascii="宋体" w:hAnsi="宋体"/>
                <w:sz w:val="24"/>
              </w:rPr>
              <w:t>□</w:t>
            </w:r>
            <w:r>
              <w:rPr>
                <w:rFonts w:hint="eastAsia" w:ascii="宋体" w:hAnsi="宋体" w:cs="宋体"/>
                <w:sz w:val="16"/>
                <w:szCs w:val="16"/>
              </w:rPr>
              <w:t xml:space="preserve">开通 </w:t>
            </w:r>
            <w:r>
              <w:rPr>
                <w:rFonts w:ascii="宋体" w:hAnsi="宋体"/>
                <w:sz w:val="24"/>
              </w:rPr>
              <w:t>□</w:t>
            </w:r>
            <w:r>
              <w:rPr>
                <w:rFonts w:hint="eastAsia" w:ascii="宋体" w:hAnsi="宋体" w:cs="宋体"/>
                <w:sz w:val="16"/>
                <w:szCs w:val="16"/>
              </w:rPr>
              <w:t xml:space="preserve">取消 </w:t>
            </w:r>
            <w:r>
              <w:rPr>
                <w:rFonts w:ascii="宋体" w:hAnsi="宋体"/>
                <w:sz w:val="24"/>
              </w:rPr>
              <w:t>□</w:t>
            </w:r>
            <w:r>
              <w:rPr>
                <w:rFonts w:hint="eastAsia" w:ascii="宋体" w:hAnsi="宋体" w:cs="宋体"/>
                <w:sz w:val="16"/>
                <w:szCs w:val="16"/>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pPr>
              <w:jc w:val="left"/>
              <w:rPr>
                <w:rFonts w:ascii="宋体" w:hAnsi="宋体" w:cs="宋体"/>
                <w:sz w:val="16"/>
                <w:szCs w:val="16"/>
              </w:rPr>
            </w:pPr>
            <w:r>
              <w:rPr>
                <w:rFonts w:hint="eastAsia" w:ascii="宋体" w:hAnsi="宋体" w:cs="宋体"/>
                <w:sz w:val="16"/>
                <w:szCs w:val="16"/>
              </w:rPr>
              <w:t>业务服务期</w:t>
            </w:r>
          </w:p>
        </w:tc>
        <w:tc>
          <w:tcPr>
            <w:tcW w:w="7688" w:type="dxa"/>
            <w:gridSpan w:val="13"/>
            <w:noWrap w:val="0"/>
            <w:vAlign w:val="top"/>
          </w:tcPr>
          <w:p>
            <w:pPr>
              <w:jc w:val="left"/>
              <w:rPr>
                <w:rFonts w:ascii="宋体" w:hAnsi="宋体" w:cs="宋体"/>
                <w:sz w:val="16"/>
                <w:szCs w:val="16"/>
              </w:rPr>
            </w:pPr>
            <w:r>
              <w:rPr>
                <w:rFonts w:hint="eastAsia" w:ascii="宋体" w:hAnsi="宋体" w:cs="宋体"/>
                <w:sz w:val="16"/>
                <w:szCs w:val="16"/>
              </w:rPr>
              <w:t>长期(1月以上)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9" w:type="dxa"/>
            <w:gridSpan w:val="14"/>
            <w:shd w:val="clear" w:color="auto" w:fill="A5A5A5"/>
            <w:noWrap w:val="0"/>
            <w:vAlign w:val="top"/>
          </w:tcPr>
          <w:p>
            <w:pPr>
              <w:jc w:val="center"/>
              <w:rPr>
                <w:rFonts w:ascii="宋体" w:hAnsi="宋体" w:cs="宋体"/>
                <w:sz w:val="16"/>
                <w:szCs w:val="16"/>
              </w:rPr>
            </w:pPr>
            <w:r>
              <w:rPr>
                <w:rFonts w:hint="eastAsia" w:ascii="宋体" w:hAnsi="宋体" w:cs="宋体"/>
                <w:sz w:val="16"/>
                <w:szCs w:val="16"/>
              </w:rPr>
              <w:t>线路信息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restart"/>
            <w:noWrap w:val="0"/>
            <w:vAlign w:val="top"/>
          </w:tcPr>
          <w:p>
            <w:pPr>
              <w:jc w:val="center"/>
              <w:rPr>
                <w:rFonts w:ascii="宋体" w:hAnsi="宋体" w:cs="宋体"/>
                <w:sz w:val="16"/>
                <w:szCs w:val="16"/>
              </w:rPr>
            </w:pPr>
          </w:p>
          <w:p>
            <w:pPr>
              <w:jc w:val="center"/>
              <w:rPr>
                <w:rFonts w:ascii="宋体" w:hAnsi="宋体" w:cs="宋体"/>
                <w:sz w:val="16"/>
                <w:szCs w:val="16"/>
              </w:rPr>
            </w:pPr>
          </w:p>
          <w:p>
            <w:pPr>
              <w:jc w:val="center"/>
              <w:rPr>
                <w:rFonts w:hint="eastAsia" w:ascii="宋体" w:hAnsi="宋体" w:cs="宋体"/>
                <w:sz w:val="16"/>
                <w:szCs w:val="16"/>
              </w:rPr>
            </w:pPr>
          </w:p>
          <w:p>
            <w:pPr>
              <w:jc w:val="center"/>
              <w:rPr>
                <w:rFonts w:ascii="宋体" w:hAnsi="宋体" w:cs="宋体"/>
                <w:sz w:val="16"/>
                <w:szCs w:val="16"/>
              </w:rPr>
            </w:pPr>
            <w:r>
              <w:rPr>
                <w:rFonts w:hint="eastAsia" w:ascii="宋体" w:hAnsi="宋体" w:cs="宋体"/>
                <w:sz w:val="16"/>
                <w:szCs w:val="16"/>
              </w:rPr>
              <w:t>线路【1】</w:t>
            </w: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宽带/速率</w:t>
            </w:r>
          </w:p>
        </w:tc>
        <w:tc>
          <w:tcPr>
            <w:tcW w:w="1675" w:type="dxa"/>
            <w:gridSpan w:val="2"/>
            <w:noWrap w:val="0"/>
            <w:vAlign w:val="top"/>
          </w:tcPr>
          <w:p>
            <w:pPr>
              <w:jc w:val="left"/>
              <w:rPr>
                <w:rFonts w:ascii="宋体" w:hAnsi="宋体" w:cs="宋体"/>
                <w:sz w:val="16"/>
                <w:szCs w:val="16"/>
              </w:rPr>
            </w:pPr>
          </w:p>
        </w:tc>
        <w:tc>
          <w:tcPr>
            <w:tcW w:w="887" w:type="dxa"/>
            <w:gridSpan w:val="2"/>
            <w:noWrap w:val="0"/>
            <w:vAlign w:val="top"/>
          </w:tcPr>
          <w:p>
            <w:pPr>
              <w:jc w:val="left"/>
              <w:rPr>
                <w:rFonts w:ascii="宋体" w:hAnsi="宋体" w:cs="宋体"/>
                <w:sz w:val="16"/>
                <w:szCs w:val="16"/>
              </w:rPr>
            </w:pPr>
            <w:r>
              <w:rPr>
                <w:rFonts w:hint="eastAsia" w:ascii="宋体" w:hAnsi="宋体" w:cs="宋体"/>
                <w:sz w:val="16"/>
                <w:szCs w:val="16"/>
              </w:rPr>
              <w:t>是否使用乙方DNS</w:t>
            </w:r>
          </w:p>
        </w:tc>
        <w:tc>
          <w:tcPr>
            <w:tcW w:w="3538" w:type="dxa"/>
            <w:gridSpan w:val="6"/>
            <w:noWrap w:val="0"/>
            <w:vAlign w:val="top"/>
          </w:tcPr>
          <w:p>
            <w:pPr>
              <w:jc w:val="left"/>
              <w:rPr>
                <w:rFonts w:ascii="宋体" w:hAnsi="宋体"/>
                <w:b/>
                <w:sz w:val="16"/>
                <w:szCs w:val="15"/>
              </w:rPr>
            </w:pPr>
            <w:r>
              <w:rPr>
                <w:rFonts w:ascii="宋体" w:hAnsi="宋体"/>
                <w:sz w:val="24"/>
              </w:rPr>
              <w:t>□</w:t>
            </w:r>
            <w:r>
              <w:rPr>
                <w:rFonts w:hint="eastAsia" w:ascii="宋体" w:hAnsi="宋体" w:cs="宋体"/>
                <w:sz w:val="16"/>
                <w:szCs w:val="16"/>
              </w:rPr>
              <w:t xml:space="preserve">是 </w:t>
            </w:r>
            <w:r>
              <w:rPr>
                <w:rFonts w:ascii="宋体" w:hAnsi="宋体"/>
                <w:sz w:val="24"/>
              </w:rPr>
              <w:t>□</w:t>
            </w:r>
            <w:r>
              <w:rPr>
                <w:rFonts w:hint="eastAsia" w:ascii="宋体" w:hAnsi="宋体" w:cs="宋体"/>
                <w:sz w:val="16"/>
                <w:szCs w:val="16"/>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noWrap w:val="0"/>
            <w:vAlign w:val="top"/>
          </w:tcPr>
          <w:p>
            <w:pPr>
              <w:jc w:val="left"/>
              <w:rPr>
                <w:rFonts w:ascii="宋体" w:hAnsi="宋体" w:cs="宋体"/>
                <w:sz w:val="16"/>
                <w:szCs w:val="16"/>
              </w:rPr>
            </w:pP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IPv4互联地址申请数量</w:t>
            </w:r>
          </w:p>
        </w:tc>
        <w:tc>
          <w:tcPr>
            <w:tcW w:w="1675" w:type="dxa"/>
            <w:gridSpan w:val="2"/>
            <w:noWrap w:val="0"/>
            <w:vAlign w:val="top"/>
          </w:tcPr>
          <w:p>
            <w:pPr>
              <w:jc w:val="left"/>
              <w:rPr>
                <w:rFonts w:ascii="宋体" w:hAnsi="宋体" w:cs="宋体"/>
                <w:sz w:val="16"/>
                <w:szCs w:val="16"/>
              </w:rPr>
            </w:pPr>
          </w:p>
        </w:tc>
        <w:tc>
          <w:tcPr>
            <w:tcW w:w="887" w:type="dxa"/>
            <w:gridSpan w:val="2"/>
            <w:noWrap w:val="0"/>
            <w:vAlign w:val="top"/>
          </w:tcPr>
          <w:p>
            <w:pPr>
              <w:jc w:val="left"/>
              <w:rPr>
                <w:rFonts w:ascii="宋体" w:hAnsi="宋体" w:cs="宋体"/>
                <w:sz w:val="16"/>
                <w:szCs w:val="16"/>
              </w:rPr>
            </w:pPr>
            <w:r>
              <w:rPr>
                <w:rFonts w:hint="eastAsia" w:ascii="宋体" w:hAnsi="宋体" w:cs="宋体"/>
                <w:sz w:val="16"/>
                <w:szCs w:val="16"/>
              </w:rPr>
              <w:t>IPv4用户地址申请数</w:t>
            </w:r>
          </w:p>
        </w:tc>
        <w:tc>
          <w:tcPr>
            <w:tcW w:w="3538" w:type="dxa"/>
            <w:gridSpan w:val="6"/>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noWrap w:val="0"/>
            <w:vAlign w:val="top"/>
          </w:tcPr>
          <w:p>
            <w:pPr>
              <w:jc w:val="left"/>
              <w:rPr>
                <w:rFonts w:ascii="宋体" w:hAnsi="宋体" w:cs="宋体"/>
                <w:sz w:val="16"/>
                <w:szCs w:val="16"/>
              </w:rPr>
            </w:pP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IPv6互联地址申请数量</w:t>
            </w:r>
          </w:p>
        </w:tc>
        <w:tc>
          <w:tcPr>
            <w:tcW w:w="1675" w:type="dxa"/>
            <w:gridSpan w:val="2"/>
            <w:noWrap w:val="0"/>
            <w:vAlign w:val="top"/>
          </w:tcPr>
          <w:p>
            <w:pPr>
              <w:jc w:val="left"/>
              <w:rPr>
                <w:rFonts w:ascii="宋体" w:hAnsi="宋体" w:cs="宋体"/>
                <w:sz w:val="16"/>
                <w:szCs w:val="16"/>
              </w:rPr>
            </w:pPr>
          </w:p>
        </w:tc>
        <w:tc>
          <w:tcPr>
            <w:tcW w:w="887" w:type="dxa"/>
            <w:gridSpan w:val="2"/>
            <w:noWrap w:val="0"/>
            <w:vAlign w:val="top"/>
          </w:tcPr>
          <w:p>
            <w:pPr>
              <w:jc w:val="left"/>
              <w:rPr>
                <w:rFonts w:ascii="宋体" w:hAnsi="宋体" w:cs="宋体"/>
                <w:sz w:val="16"/>
                <w:szCs w:val="16"/>
              </w:rPr>
            </w:pPr>
            <w:r>
              <w:rPr>
                <w:rFonts w:hint="eastAsia" w:ascii="宋体" w:hAnsi="宋体" w:cs="宋体"/>
                <w:sz w:val="16"/>
                <w:szCs w:val="16"/>
              </w:rPr>
              <w:t>IPv6用户地址申请数量</w:t>
            </w:r>
          </w:p>
        </w:tc>
        <w:tc>
          <w:tcPr>
            <w:tcW w:w="3538" w:type="dxa"/>
            <w:gridSpan w:val="6"/>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noWrap w:val="0"/>
            <w:vAlign w:val="top"/>
          </w:tcPr>
          <w:p>
            <w:pPr>
              <w:jc w:val="left"/>
              <w:rPr>
                <w:rFonts w:ascii="宋体" w:hAnsi="宋体" w:cs="宋体"/>
                <w:sz w:val="16"/>
                <w:szCs w:val="16"/>
              </w:rPr>
            </w:pP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接入方式</w:t>
            </w:r>
          </w:p>
        </w:tc>
        <w:tc>
          <w:tcPr>
            <w:tcW w:w="2562" w:type="dxa"/>
            <w:gridSpan w:val="4"/>
            <w:noWrap w:val="0"/>
            <w:vAlign w:val="top"/>
          </w:tcPr>
          <w:p>
            <w:pPr>
              <w:jc w:val="left"/>
              <w:rPr>
                <w:rFonts w:ascii="宋体" w:hAnsi="宋体" w:cs="宋体"/>
                <w:sz w:val="16"/>
                <w:szCs w:val="16"/>
              </w:rPr>
            </w:pPr>
            <w:r>
              <w:rPr>
                <w:rFonts w:ascii="宋体" w:hAnsi="宋体"/>
                <w:sz w:val="24"/>
              </w:rPr>
              <w:t>□</w:t>
            </w:r>
            <w:r>
              <w:rPr>
                <w:rFonts w:hint="eastAsia" w:ascii="宋体" w:hAnsi="宋体"/>
                <w:bCs/>
                <w:sz w:val="16"/>
                <w:szCs w:val="15"/>
              </w:rPr>
              <w:t xml:space="preserve">PTN </w:t>
            </w:r>
            <w:r>
              <w:rPr>
                <w:rFonts w:ascii="宋体" w:hAnsi="宋体"/>
                <w:sz w:val="24"/>
              </w:rPr>
              <w:t>□</w:t>
            </w:r>
            <w:r>
              <w:rPr>
                <w:rFonts w:hint="eastAsia" w:ascii="宋体" w:hAnsi="宋体"/>
                <w:bCs/>
                <w:sz w:val="16"/>
                <w:szCs w:val="15"/>
              </w:rPr>
              <w:t xml:space="preserve">OTN </w:t>
            </w:r>
            <w:r>
              <w:rPr>
                <w:rFonts w:ascii="宋体" w:hAnsi="宋体"/>
                <w:sz w:val="24"/>
              </w:rPr>
              <w:t>□</w:t>
            </w:r>
            <w:r>
              <w:rPr>
                <w:rFonts w:hint="eastAsia" w:ascii="宋体" w:hAnsi="宋体"/>
                <w:bCs/>
                <w:sz w:val="16"/>
                <w:szCs w:val="15"/>
              </w:rPr>
              <w:t xml:space="preserve">PON </w:t>
            </w:r>
            <w:r>
              <w:rPr>
                <w:rFonts w:ascii="宋体" w:hAnsi="宋体"/>
                <w:sz w:val="24"/>
              </w:rPr>
              <w:t>□</w:t>
            </w:r>
            <w:r>
              <w:rPr>
                <w:rFonts w:hint="eastAsia" w:ascii="宋体" w:hAnsi="宋体"/>
                <w:bCs/>
                <w:sz w:val="16"/>
                <w:szCs w:val="15"/>
              </w:rPr>
              <w:t>其他</w:t>
            </w:r>
          </w:p>
        </w:tc>
        <w:tc>
          <w:tcPr>
            <w:tcW w:w="1288" w:type="dxa"/>
            <w:gridSpan w:val="3"/>
            <w:noWrap w:val="0"/>
            <w:vAlign w:val="top"/>
          </w:tcPr>
          <w:p>
            <w:pPr>
              <w:jc w:val="left"/>
              <w:rPr>
                <w:rFonts w:ascii="宋体" w:hAnsi="宋体" w:cs="宋体"/>
                <w:sz w:val="16"/>
                <w:szCs w:val="16"/>
              </w:rPr>
            </w:pPr>
            <w:r>
              <w:rPr>
                <w:rFonts w:hint="eastAsia" w:ascii="宋体" w:hAnsi="宋体" w:cs="宋体"/>
                <w:sz w:val="16"/>
                <w:szCs w:val="16"/>
              </w:rPr>
              <w:t>接口类型</w:t>
            </w:r>
          </w:p>
        </w:tc>
        <w:tc>
          <w:tcPr>
            <w:tcW w:w="2250" w:type="dxa"/>
            <w:gridSpan w:val="3"/>
            <w:noWrap w:val="0"/>
            <w:vAlign w:val="top"/>
          </w:tcPr>
          <w:p>
            <w:pPr>
              <w:jc w:val="left"/>
              <w:rPr>
                <w:rFonts w:ascii="宋体" w:hAnsi="宋体" w:cs="宋体"/>
                <w:sz w:val="16"/>
                <w:szCs w:val="16"/>
              </w:rPr>
            </w:pPr>
            <w:r>
              <w:rPr>
                <w:rFonts w:ascii="宋体" w:hAnsi="宋体"/>
                <w:sz w:val="24"/>
              </w:rPr>
              <w:t>□</w:t>
            </w:r>
            <w:r>
              <w:rPr>
                <w:rFonts w:hint="eastAsia" w:ascii="宋体" w:hAnsi="宋体"/>
                <w:bCs/>
                <w:sz w:val="16"/>
                <w:szCs w:val="15"/>
              </w:rPr>
              <w:t xml:space="preserve">FE </w:t>
            </w:r>
            <w:r>
              <w:rPr>
                <w:rFonts w:ascii="宋体" w:hAnsi="宋体"/>
                <w:sz w:val="24"/>
              </w:rPr>
              <w:t>□</w:t>
            </w:r>
            <w:r>
              <w:rPr>
                <w:rFonts w:hint="eastAsia" w:ascii="宋体" w:hAnsi="宋体"/>
                <w:bCs/>
                <w:sz w:val="16"/>
                <w:szCs w:val="15"/>
              </w:rPr>
              <w:t xml:space="preserve">GE </w:t>
            </w:r>
            <w:r>
              <w:rPr>
                <w:rFonts w:ascii="宋体" w:hAnsi="宋体"/>
                <w:sz w:val="24"/>
              </w:rPr>
              <w:t>□</w:t>
            </w:r>
            <w:r>
              <w:rPr>
                <w:rFonts w:hint="eastAsia" w:ascii="宋体" w:hAnsi="宋体"/>
                <w:bCs/>
                <w:sz w:val="16"/>
                <w:szCs w:val="15"/>
              </w:rPr>
              <w:t xml:space="preserve">10GE </w:t>
            </w:r>
            <w:r>
              <w:rPr>
                <w:rFonts w:ascii="宋体" w:hAnsi="宋体"/>
                <w:sz w:val="24"/>
              </w:rPr>
              <w:t>□</w:t>
            </w:r>
            <w:r>
              <w:rPr>
                <w:rFonts w:hint="eastAsia" w:ascii="宋体" w:hAnsi="宋体"/>
                <w:bCs/>
                <w:sz w:val="16"/>
                <w:szCs w:val="15"/>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noWrap w:val="0"/>
            <w:vAlign w:val="top"/>
          </w:tcPr>
          <w:p>
            <w:pPr>
              <w:jc w:val="left"/>
              <w:rPr>
                <w:rFonts w:ascii="宋体" w:hAnsi="宋体" w:cs="宋体"/>
                <w:sz w:val="16"/>
                <w:szCs w:val="16"/>
              </w:rPr>
            </w:pP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开通常用端口（80、8080、443）</w:t>
            </w:r>
          </w:p>
        </w:tc>
        <w:tc>
          <w:tcPr>
            <w:tcW w:w="6100" w:type="dxa"/>
            <w:gridSpan w:val="10"/>
            <w:noWrap w:val="0"/>
            <w:vAlign w:val="top"/>
          </w:tcPr>
          <w:p>
            <w:pPr>
              <w:jc w:val="left"/>
              <w:rPr>
                <w:rFonts w:ascii="宋体" w:hAnsi="宋体" w:cs="宋体"/>
                <w:sz w:val="16"/>
                <w:szCs w:val="16"/>
              </w:rPr>
            </w:pPr>
            <w:r>
              <w:rPr>
                <w:rFonts w:ascii="宋体" w:hAnsi="宋体"/>
                <w:sz w:val="24"/>
              </w:rPr>
              <w:t>□</w:t>
            </w:r>
            <w:r>
              <w:rPr>
                <w:rFonts w:hint="eastAsia" w:ascii="宋体" w:hAnsi="宋体" w:cs="宋体"/>
                <w:sz w:val="16"/>
                <w:szCs w:val="16"/>
              </w:rPr>
              <w:t xml:space="preserve">是 </w:t>
            </w:r>
            <w:r>
              <w:rPr>
                <w:rFonts w:ascii="宋体" w:hAnsi="宋体"/>
                <w:sz w:val="24"/>
              </w:rPr>
              <w:t>□</w:t>
            </w:r>
            <w:r>
              <w:rPr>
                <w:rFonts w:hint="eastAsia" w:ascii="宋体" w:hAnsi="宋体" w:cs="宋体"/>
                <w:sz w:val="16"/>
                <w:szCs w:val="16"/>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noWrap w:val="0"/>
            <w:vAlign w:val="top"/>
          </w:tcPr>
          <w:p>
            <w:pPr>
              <w:jc w:val="left"/>
              <w:rPr>
                <w:rFonts w:ascii="宋体" w:hAnsi="宋体" w:cs="宋体"/>
                <w:sz w:val="16"/>
                <w:szCs w:val="16"/>
              </w:rPr>
            </w:pP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装机地址</w:t>
            </w:r>
          </w:p>
        </w:tc>
        <w:tc>
          <w:tcPr>
            <w:tcW w:w="6100" w:type="dxa"/>
            <w:gridSpan w:val="10"/>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noWrap w:val="0"/>
            <w:vAlign w:val="top"/>
          </w:tcPr>
          <w:p>
            <w:pPr>
              <w:jc w:val="left"/>
              <w:rPr>
                <w:rFonts w:ascii="宋体" w:hAnsi="宋体" w:cs="宋体"/>
                <w:sz w:val="16"/>
                <w:szCs w:val="16"/>
              </w:rPr>
            </w:pPr>
          </w:p>
        </w:tc>
        <w:tc>
          <w:tcPr>
            <w:tcW w:w="1588" w:type="dxa"/>
            <w:gridSpan w:val="3"/>
            <w:noWrap w:val="0"/>
            <w:vAlign w:val="top"/>
          </w:tcPr>
          <w:p>
            <w:pPr>
              <w:jc w:val="left"/>
              <w:rPr>
                <w:rFonts w:ascii="宋体" w:hAnsi="宋体" w:cs="宋体"/>
                <w:sz w:val="16"/>
                <w:szCs w:val="16"/>
              </w:rPr>
            </w:pPr>
            <w:r>
              <w:rPr>
                <w:rFonts w:hint="eastAsia" w:ascii="宋体" w:hAnsi="宋体" w:cs="宋体"/>
                <w:sz w:val="16"/>
                <w:szCs w:val="16"/>
              </w:rPr>
              <w:t>装机联系人</w:t>
            </w:r>
          </w:p>
        </w:tc>
        <w:tc>
          <w:tcPr>
            <w:tcW w:w="2562" w:type="dxa"/>
            <w:gridSpan w:val="4"/>
            <w:noWrap w:val="0"/>
            <w:vAlign w:val="top"/>
          </w:tcPr>
          <w:p>
            <w:pPr>
              <w:jc w:val="left"/>
              <w:rPr>
                <w:rFonts w:ascii="宋体" w:hAnsi="宋体" w:cs="宋体"/>
                <w:sz w:val="16"/>
                <w:szCs w:val="16"/>
              </w:rPr>
            </w:pPr>
          </w:p>
        </w:tc>
        <w:tc>
          <w:tcPr>
            <w:tcW w:w="1288" w:type="dxa"/>
            <w:gridSpan w:val="3"/>
            <w:noWrap w:val="0"/>
            <w:vAlign w:val="top"/>
          </w:tcPr>
          <w:p>
            <w:pPr>
              <w:jc w:val="left"/>
              <w:rPr>
                <w:rFonts w:ascii="宋体" w:hAnsi="宋体" w:cs="宋体"/>
                <w:sz w:val="16"/>
                <w:szCs w:val="16"/>
              </w:rPr>
            </w:pPr>
            <w:r>
              <w:rPr>
                <w:rFonts w:hint="eastAsia" w:ascii="宋体" w:hAnsi="宋体" w:cs="宋体"/>
                <w:sz w:val="16"/>
                <w:szCs w:val="16"/>
              </w:rPr>
              <w:t>联系电话</w:t>
            </w:r>
          </w:p>
        </w:tc>
        <w:tc>
          <w:tcPr>
            <w:tcW w:w="2250" w:type="dxa"/>
            <w:gridSpan w:val="3"/>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9" w:type="dxa"/>
            <w:gridSpan w:val="14"/>
            <w:shd w:val="clear" w:color="auto" w:fill="A5A5A5"/>
            <w:noWrap w:val="0"/>
            <w:vAlign w:val="top"/>
          </w:tcPr>
          <w:p>
            <w:pPr>
              <w:jc w:val="center"/>
              <w:rPr>
                <w:rFonts w:ascii="宋体" w:hAnsi="宋体" w:cs="宋体"/>
                <w:sz w:val="16"/>
                <w:szCs w:val="16"/>
              </w:rPr>
            </w:pPr>
            <w:r>
              <w:rPr>
                <w:rFonts w:hint="eastAsia" w:ascii="宋体" w:hAnsi="宋体" w:cs="宋体"/>
                <w:sz w:val="16"/>
                <w:szCs w:val="16"/>
              </w:rPr>
              <w:t>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9" w:type="dxa"/>
            <w:gridSpan w:val="14"/>
            <w:noWrap w:val="0"/>
            <w:vAlign w:val="top"/>
          </w:tcPr>
          <w:p>
            <w:pPr>
              <w:tabs>
                <w:tab w:val="left" w:pos="2474"/>
              </w:tabs>
              <w:jc w:val="left"/>
              <w:rPr>
                <w:rFonts w:ascii="宋体" w:hAnsi="宋体" w:cs="宋体"/>
                <w:sz w:val="16"/>
                <w:szCs w:val="16"/>
              </w:rPr>
            </w:pPr>
            <w:r>
              <w:rPr>
                <w:rFonts w:hint="eastAsia" w:ascii="宋体" w:hAnsi="宋体" w:cs="宋体"/>
                <w:sz w:val="16"/>
                <w:szCs w:val="16"/>
              </w:rPr>
              <w:t>A、一次性费用（单位：元）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4" w:type="dxa"/>
            <w:gridSpan w:val="6"/>
            <w:noWrap w:val="0"/>
            <w:vAlign w:val="top"/>
          </w:tcPr>
          <w:p>
            <w:pPr>
              <w:jc w:val="left"/>
              <w:rPr>
                <w:rFonts w:ascii="宋体" w:hAnsi="宋体" w:cs="宋体"/>
                <w:sz w:val="16"/>
                <w:szCs w:val="16"/>
              </w:rPr>
            </w:pPr>
            <w:r>
              <w:rPr>
                <w:rFonts w:hint="eastAsia" w:ascii="宋体" w:hAnsi="宋体" w:cs="宋体"/>
                <w:sz w:val="16"/>
                <w:szCs w:val="16"/>
              </w:rPr>
              <w:t>线路编号</w:t>
            </w:r>
          </w:p>
        </w:tc>
        <w:tc>
          <w:tcPr>
            <w:tcW w:w="3650" w:type="dxa"/>
            <w:gridSpan w:val="7"/>
            <w:noWrap w:val="0"/>
            <w:vAlign w:val="top"/>
          </w:tcPr>
          <w:p>
            <w:pPr>
              <w:jc w:val="left"/>
              <w:rPr>
                <w:rFonts w:ascii="宋体" w:hAnsi="宋体" w:cs="宋体"/>
                <w:sz w:val="16"/>
                <w:szCs w:val="16"/>
              </w:rPr>
            </w:pPr>
            <w:r>
              <w:rPr>
                <w:rFonts w:hint="eastAsia" w:ascii="宋体" w:hAnsi="宋体" w:cs="宋体"/>
                <w:sz w:val="16"/>
                <w:szCs w:val="16"/>
              </w:rPr>
              <w:t>单价（含税）</w:t>
            </w:r>
          </w:p>
        </w:tc>
        <w:tc>
          <w:tcPr>
            <w:tcW w:w="775" w:type="dxa"/>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44" w:type="dxa"/>
            <w:gridSpan w:val="6"/>
            <w:noWrap w:val="0"/>
            <w:vAlign w:val="top"/>
          </w:tcPr>
          <w:p>
            <w:pPr>
              <w:jc w:val="left"/>
              <w:rPr>
                <w:rFonts w:ascii="宋体" w:hAnsi="宋体" w:cs="宋体"/>
                <w:sz w:val="16"/>
                <w:szCs w:val="16"/>
              </w:rPr>
            </w:pPr>
            <w:r>
              <w:rPr>
                <w:rFonts w:hint="eastAsia" w:ascii="宋体" w:hAnsi="宋体" w:cs="宋体"/>
                <w:sz w:val="16"/>
                <w:szCs w:val="16"/>
              </w:rPr>
              <w:t>线路1</w:t>
            </w:r>
          </w:p>
        </w:tc>
        <w:tc>
          <w:tcPr>
            <w:tcW w:w="3650" w:type="dxa"/>
            <w:gridSpan w:val="7"/>
            <w:noWrap w:val="0"/>
            <w:vAlign w:val="top"/>
          </w:tcPr>
          <w:p>
            <w:pPr>
              <w:jc w:val="left"/>
              <w:rPr>
                <w:rFonts w:ascii="宋体" w:hAnsi="宋体" w:cs="宋体"/>
                <w:sz w:val="16"/>
                <w:szCs w:val="16"/>
              </w:rPr>
            </w:pPr>
            <w:r>
              <w:rPr>
                <w:rFonts w:hint="eastAsia" w:ascii="宋体" w:hAnsi="宋体" w:cs="宋体"/>
                <w:sz w:val="16"/>
                <w:szCs w:val="16"/>
              </w:rPr>
              <w:t>0</w:t>
            </w:r>
          </w:p>
        </w:tc>
        <w:tc>
          <w:tcPr>
            <w:tcW w:w="775" w:type="dxa"/>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469" w:type="dxa"/>
            <w:gridSpan w:val="14"/>
            <w:noWrap w:val="0"/>
            <w:vAlign w:val="top"/>
          </w:tcPr>
          <w:p>
            <w:pPr>
              <w:jc w:val="left"/>
              <w:rPr>
                <w:rFonts w:ascii="宋体" w:hAnsi="宋体" w:cs="宋体"/>
                <w:sz w:val="16"/>
                <w:szCs w:val="16"/>
              </w:rPr>
            </w:pPr>
            <w:r>
              <w:rPr>
                <w:rFonts w:hint="eastAsia" w:ascii="宋体" w:hAnsi="宋体" w:cs="宋体"/>
                <w:sz w:val="16"/>
                <w:szCs w:val="16"/>
              </w:rPr>
              <w:t>一次性费用人民币总价（大写/小写）：0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9" w:type="dxa"/>
            <w:gridSpan w:val="14"/>
            <w:noWrap w:val="0"/>
            <w:vAlign w:val="top"/>
          </w:tcPr>
          <w:p>
            <w:pPr>
              <w:jc w:val="left"/>
              <w:rPr>
                <w:rFonts w:ascii="宋体" w:hAnsi="宋体" w:cs="宋体"/>
                <w:sz w:val="16"/>
                <w:szCs w:val="16"/>
              </w:rPr>
            </w:pPr>
            <w:r>
              <w:rPr>
                <w:rFonts w:hint="eastAsia" w:ascii="宋体" w:hAnsi="宋体" w:cs="宋体"/>
                <w:sz w:val="16"/>
                <w:szCs w:val="16"/>
              </w:rPr>
              <w:t>B．网络使用费（单位:元/</w:t>
            </w:r>
            <w:r>
              <w:rPr>
                <w:rFonts w:ascii="宋体" w:hAnsi="宋体"/>
                <w:sz w:val="24"/>
              </w:rPr>
              <w:t>□</w:t>
            </w:r>
            <w:r>
              <w:rPr>
                <w:rFonts w:hint="eastAsia" w:ascii="宋体" w:hAnsi="宋体" w:cs="宋体"/>
                <w:sz w:val="16"/>
                <w:szCs w:val="16"/>
              </w:rPr>
              <w:t>月</w:t>
            </w:r>
            <w:r>
              <w:rPr>
                <w:rFonts w:ascii="宋体" w:hAnsi="宋体"/>
                <w:sz w:val="24"/>
              </w:rPr>
              <w:t>□</w:t>
            </w:r>
            <w:r>
              <w:rPr>
                <w:rFonts w:hint="eastAsia" w:ascii="宋体" w:hAnsi="宋体" w:cs="宋体"/>
                <w:sz w:val="16"/>
                <w:szCs w:val="16"/>
              </w:rPr>
              <w:t>季度</w:t>
            </w:r>
            <w:r>
              <w:rPr>
                <w:rFonts w:ascii="宋体" w:hAnsi="宋体"/>
                <w:sz w:val="24"/>
              </w:rPr>
              <w:t>□</w:t>
            </w:r>
            <w:r>
              <w:rPr>
                <w:rFonts w:hint="eastAsia" w:ascii="宋体" w:hAnsi="宋体" w:cs="宋体"/>
                <w:sz w:val="16"/>
                <w:szCs w:val="16"/>
              </w:rPr>
              <w:t>半年</w:t>
            </w:r>
            <w:r>
              <w:rPr>
                <w:rFonts w:ascii="宋体" w:hAnsi="宋体"/>
                <w:sz w:val="24"/>
              </w:rPr>
              <w:t>□</w:t>
            </w:r>
            <w:r>
              <w:rPr>
                <w:rFonts w:hint="eastAsia" w:ascii="宋体" w:hAnsi="宋体" w:cs="宋体"/>
                <w:sz w:val="16"/>
                <w:szCs w:val="16"/>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pPr>
              <w:jc w:val="left"/>
              <w:rPr>
                <w:rFonts w:ascii="宋体" w:hAnsi="宋体" w:cs="宋体"/>
                <w:sz w:val="16"/>
                <w:szCs w:val="16"/>
              </w:rPr>
            </w:pPr>
            <w:r>
              <w:rPr>
                <w:rFonts w:hint="eastAsia" w:ascii="宋体" w:hAnsi="宋体" w:cs="宋体"/>
                <w:color w:val="000000"/>
                <w:sz w:val="16"/>
                <w:szCs w:val="16"/>
              </w:rPr>
              <w:t>线路编号</w:t>
            </w:r>
          </w:p>
        </w:tc>
        <w:tc>
          <w:tcPr>
            <w:tcW w:w="638" w:type="dxa"/>
            <w:noWrap w:val="0"/>
            <w:vAlign w:val="top"/>
          </w:tcPr>
          <w:p>
            <w:pPr>
              <w:jc w:val="left"/>
              <w:rPr>
                <w:rFonts w:ascii="宋体" w:hAnsi="宋体" w:cs="宋体"/>
                <w:sz w:val="16"/>
                <w:szCs w:val="16"/>
              </w:rPr>
            </w:pPr>
            <w:r>
              <w:rPr>
                <w:rFonts w:hint="eastAsia" w:ascii="宋体" w:hAnsi="宋体" w:cs="宋体"/>
                <w:color w:val="000000"/>
                <w:sz w:val="16"/>
                <w:szCs w:val="16"/>
              </w:rPr>
              <w:t>接入速率</w:t>
            </w:r>
          </w:p>
        </w:tc>
        <w:tc>
          <w:tcPr>
            <w:tcW w:w="787" w:type="dxa"/>
            <w:noWrap w:val="0"/>
            <w:vAlign w:val="top"/>
          </w:tcPr>
          <w:p>
            <w:pPr>
              <w:jc w:val="left"/>
              <w:rPr>
                <w:rFonts w:ascii="宋体" w:hAnsi="宋体" w:cs="宋体"/>
                <w:sz w:val="16"/>
                <w:szCs w:val="16"/>
              </w:rPr>
            </w:pPr>
            <w:r>
              <w:rPr>
                <w:rFonts w:hint="eastAsia" w:ascii="宋体" w:hAnsi="宋体" w:cs="宋体"/>
                <w:color w:val="000000"/>
                <w:sz w:val="16"/>
                <w:szCs w:val="16"/>
              </w:rPr>
              <w:t>带宽费用</w:t>
            </w:r>
          </w:p>
        </w:tc>
        <w:tc>
          <w:tcPr>
            <w:tcW w:w="1225" w:type="dxa"/>
            <w:gridSpan w:val="2"/>
            <w:noWrap w:val="0"/>
            <w:vAlign w:val="top"/>
          </w:tcPr>
          <w:p>
            <w:pPr>
              <w:jc w:val="left"/>
              <w:rPr>
                <w:rFonts w:ascii="宋体" w:hAnsi="宋体" w:cs="宋体"/>
                <w:sz w:val="16"/>
                <w:szCs w:val="16"/>
              </w:rPr>
            </w:pPr>
            <w:r>
              <w:rPr>
                <w:rFonts w:hint="eastAsia" w:ascii="宋体" w:hAnsi="宋体" w:cs="宋体"/>
                <w:sz w:val="16"/>
                <w:szCs w:val="16"/>
              </w:rPr>
              <w:t>收费公网IPv4互联数量</w:t>
            </w:r>
          </w:p>
        </w:tc>
        <w:tc>
          <w:tcPr>
            <w:tcW w:w="1138" w:type="dxa"/>
            <w:gridSpan w:val="2"/>
            <w:noWrap w:val="0"/>
            <w:vAlign w:val="top"/>
          </w:tcPr>
          <w:p>
            <w:pPr>
              <w:jc w:val="left"/>
              <w:rPr>
                <w:rFonts w:ascii="宋体" w:hAnsi="宋体" w:cs="宋体"/>
                <w:sz w:val="16"/>
                <w:szCs w:val="16"/>
              </w:rPr>
            </w:pPr>
            <w:r>
              <w:rPr>
                <w:rFonts w:hint="eastAsia" w:ascii="宋体" w:hAnsi="宋体" w:cs="宋体"/>
                <w:sz w:val="16"/>
                <w:szCs w:val="16"/>
              </w:rPr>
              <w:t>收费公网IPv4用户数量</w:t>
            </w:r>
          </w:p>
        </w:tc>
        <w:tc>
          <w:tcPr>
            <w:tcW w:w="975" w:type="dxa"/>
            <w:gridSpan w:val="2"/>
            <w:noWrap w:val="0"/>
            <w:vAlign w:val="top"/>
          </w:tcPr>
          <w:p>
            <w:pPr>
              <w:jc w:val="left"/>
              <w:rPr>
                <w:rFonts w:ascii="宋体" w:hAnsi="宋体" w:cs="宋体"/>
                <w:sz w:val="16"/>
                <w:szCs w:val="16"/>
              </w:rPr>
            </w:pPr>
            <w:r>
              <w:rPr>
                <w:rFonts w:hint="eastAsia" w:ascii="宋体" w:hAnsi="宋体" w:cs="宋体"/>
                <w:color w:val="000000"/>
                <w:sz w:val="16"/>
                <w:szCs w:val="16"/>
              </w:rPr>
              <w:t>公网IPv4地址使用费</w:t>
            </w:r>
          </w:p>
        </w:tc>
        <w:tc>
          <w:tcPr>
            <w:tcW w:w="537" w:type="dxa"/>
            <w:noWrap w:val="0"/>
            <w:vAlign w:val="top"/>
          </w:tcPr>
          <w:p>
            <w:pPr>
              <w:jc w:val="left"/>
              <w:rPr>
                <w:rFonts w:ascii="宋体" w:hAnsi="宋体" w:cs="宋体"/>
                <w:sz w:val="16"/>
                <w:szCs w:val="16"/>
              </w:rPr>
            </w:pPr>
            <w:r>
              <w:rPr>
                <w:rFonts w:hint="eastAsia" w:ascii="宋体" w:hAnsi="宋体" w:cs="宋体"/>
                <w:color w:val="000000"/>
                <w:sz w:val="16"/>
                <w:szCs w:val="16"/>
              </w:rPr>
              <w:t>公网IPv6互联数量</w:t>
            </w:r>
          </w:p>
        </w:tc>
        <w:tc>
          <w:tcPr>
            <w:tcW w:w="713" w:type="dxa"/>
            <w:gridSpan w:val="2"/>
            <w:noWrap w:val="0"/>
            <w:vAlign w:val="top"/>
          </w:tcPr>
          <w:p>
            <w:pPr>
              <w:jc w:val="left"/>
              <w:rPr>
                <w:rFonts w:ascii="宋体" w:hAnsi="宋体" w:cs="宋体"/>
                <w:sz w:val="16"/>
                <w:szCs w:val="16"/>
              </w:rPr>
            </w:pPr>
            <w:r>
              <w:rPr>
                <w:rFonts w:hint="eastAsia" w:ascii="宋体" w:hAnsi="宋体" w:cs="宋体"/>
                <w:sz w:val="16"/>
                <w:szCs w:val="16"/>
              </w:rPr>
              <w:t>公网IPv6用户数量</w:t>
            </w:r>
          </w:p>
        </w:tc>
        <w:tc>
          <w:tcPr>
            <w:tcW w:w="900" w:type="dxa"/>
            <w:noWrap w:val="0"/>
            <w:vAlign w:val="top"/>
          </w:tcPr>
          <w:p>
            <w:pPr>
              <w:jc w:val="left"/>
              <w:rPr>
                <w:rFonts w:ascii="宋体" w:hAnsi="宋体" w:cs="宋体"/>
                <w:sz w:val="16"/>
                <w:szCs w:val="16"/>
              </w:rPr>
            </w:pPr>
            <w:r>
              <w:rPr>
                <w:rFonts w:hint="eastAsia" w:ascii="宋体" w:hAnsi="宋体" w:cs="宋体"/>
                <w:color w:val="000000"/>
                <w:sz w:val="16"/>
                <w:szCs w:val="16"/>
              </w:rPr>
              <w:t>公网IPv6地址使用费</w:t>
            </w:r>
          </w:p>
        </w:tc>
        <w:tc>
          <w:tcPr>
            <w:tcW w:w="775" w:type="dxa"/>
            <w:noWrap w:val="0"/>
            <w:vAlign w:val="top"/>
          </w:tcPr>
          <w:p>
            <w:pPr>
              <w:jc w:val="left"/>
              <w:rPr>
                <w:rFonts w:ascii="宋体" w:hAnsi="宋体" w:cs="宋体"/>
                <w:sz w:val="16"/>
                <w:szCs w:val="16"/>
              </w:rPr>
            </w:pPr>
            <w:r>
              <w:rPr>
                <w:rFonts w:hint="eastAsia" w:ascii="宋体" w:hAnsi="宋体" w:cs="宋体"/>
                <w:sz w:val="16"/>
                <w:szCs w:val="16"/>
              </w:rPr>
              <w:t>单条总费用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pPr>
              <w:jc w:val="left"/>
              <w:rPr>
                <w:rFonts w:ascii="宋体" w:hAnsi="宋体" w:cs="宋体"/>
                <w:sz w:val="16"/>
                <w:szCs w:val="16"/>
              </w:rPr>
            </w:pPr>
            <w:r>
              <w:rPr>
                <w:rFonts w:hint="eastAsia" w:ascii="宋体" w:hAnsi="宋体" w:cs="宋体"/>
                <w:sz w:val="16"/>
                <w:szCs w:val="16"/>
              </w:rPr>
              <w:t>线路1</w:t>
            </w:r>
          </w:p>
        </w:tc>
        <w:tc>
          <w:tcPr>
            <w:tcW w:w="638" w:type="dxa"/>
            <w:noWrap w:val="0"/>
            <w:vAlign w:val="top"/>
          </w:tcPr>
          <w:p>
            <w:pPr>
              <w:jc w:val="left"/>
              <w:rPr>
                <w:rFonts w:ascii="宋体" w:hAnsi="宋体" w:cs="宋体"/>
                <w:sz w:val="16"/>
                <w:szCs w:val="16"/>
              </w:rPr>
            </w:pPr>
          </w:p>
        </w:tc>
        <w:tc>
          <w:tcPr>
            <w:tcW w:w="787" w:type="dxa"/>
            <w:noWrap w:val="0"/>
            <w:vAlign w:val="top"/>
          </w:tcPr>
          <w:p>
            <w:pPr>
              <w:jc w:val="left"/>
              <w:rPr>
                <w:rFonts w:ascii="宋体" w:hAnsi="宋体" w:cs="宋体"/>
                <w:sz w:val="16"/>
                <w:szCs w:val="16"/>
              </w:rPr>
            </w:pPr>
          </w:p>
        </w:tc>
        <w:tc>
          <w:tcPr>
            <w:tcW w:w="1225" w:type="dxa"/>
            <w:gridSpan w:val="2"/>
            <w:noWrap w:val="0"/>
            <w:vAlign w:val="top"/>
          </w:tcPr>
          <w:p>
            <w:pPr>
              <w:jc w:val="left"/>
              <w:rPr>
                <w:rFonts w:ascii="宋体" w:hAnsi="宋体" w:cs="宋体"/>
                <w:sz w:val="16"/>
                <w:szCs w:val="16"/>
              </w:rPr>
            </w:pPr>
          </w:p>
        </w:tc>
        <w:tc>
          <w:tcPr>
            <w:tcW w:w="1138" w:type="dxa"/>
            <w:gridSpan w:val="2"/>
            <w:noWrap w:val="0"/>
            <w:vAlign w:val="top"/>
          </w:tcPr>
          <w:p>
            <w:pPr>
              <w:jc w:val="left"/>
              <w:rPr>
                <w:rFonts w:ascii="宋体" w:hAnsi="宋体" w:cs="宋体"/>
                <w:sz w:val="16"/>
                <w:szCs w:val="16"/>
              </w:rPr>
            </w:pPr>
          </w:p>
        </w:tc>
        <w:tc>
          <w:tcPr>
            <w:tcW w:w="975" w:type="dxa"/>
            <w:gridSpan w:val="2"/>
            <w:noWrap w:val="0"/>
            <w:vAlign w:val="top"/>
          </w:tcPr>
          <w:p>
            <w:pPr>
              <w:jc w:val="left"/>
              <w:rPr>
                <w:rFonts w:ascii="宋体" w:hAnsi="宋体" w:cs="宋体"/>
                <w:sz w:val="16"/>
                <w:szCs w:val="16"/>
              </w:rPr>
            </w:pPr>
          </w:p>
        </w:tc>
        <w:tc>
          <w:tcPr>
            <w:tcW w:w="537" w:type="dxa"/>
            <w:noWrap w:val="0"/>
            <w:vAlign w:val="top"/>
          </w:tcPr>
          <w:p>
            <w:pPr>
              <w:jc w:val="left"/>
              <w:rPr>
                <w:rFonts w:ascii="宋体" w:hAnsi="宋体" w:cs="宋体"/>
                <w:sz w:val="16"/>
                <w:szCs w:val="16"/>
              </w:rPr>
            </w:pPr>
          </w:p>
        </w:tc>
        <w:tc>
          <w:tcPr>
            <w:tcW w:w="713" w:type="dxa"/>
            <w:gridSpan w:val="2"/>
            <w:noWrap w:val="0"/>
            <w:vAlign w:val="top"/>
          </w:tcPr>
          <w:p>
            <w:pPr>
              <w:jc w:val="left"/>
              <w:rPr>
                <w:rFonts w:ascii="宋体" w:hAnsi="宋体" w:cs="宋体"/>
                <w:sz w:val="16"/>
                <w:szCs w:val="16"/>
              </w:rPr>
            </w:pPr>
          </w:p>
        </w:tc>
        <w:tc>
          <w:tcPr>
            <w:tcW w:w="900" w:type="dxa"/>
            <w:noWrap w:val="0"/>
            <w:vAlign w:val="top"/>
          </w:tcPr>
          <w:p>
            <w:pPr>
              <w:jc w:val="left"/>
              <w:rPr>
                <w:rFonts w:ascii="宋体" w:hAnsi="宋体" w:cs="宋体"/>
                <w:sz w:val="16"/>
                <w:szCs w:val="16"/>
              </w:rPr>
            </w:pPr>
          </w:p>
        </w:tc>
        <w:tc>
          <w:tcPr>
            <w:tcW w:w="775" w:type="dxa"/>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pPr>
              <w:jc w:val="left"/>
              <w:rPr>
                <w:rFonts w:ascii="宋体" w:hAnsi="宋体" w:cs="宋体"/>
                <w:sz w:val="16"/>
                <w:szCs w:val="16"/>
              </w:rPr>
            </w:pPr>
          </w:p>
        </w:tc>
        <w:tc>
          <w:tcPr>
            <w:tcW w:w="638" w:type="dxa"/>
            <w:noWrap w:val="0"/>
            <w:vAlign w:val="top"/>
          </w:tcPr>
          <w:p>
            <w:pPr>
              <w:jc w:val="left"/>
              <w:rPr>
                <w:rFonts w:ascii="宋体" w:hAnsi="宋体" w:cs="宋体"/>
                <w:sz w:val="16"/>
                <w:szCs w:val="16"/>
              </w:rPr>
            </w:pPr>
          </w:p>
        </w:tc>
        <w:tc>
          <w:tcPr>
            <w:tcW w:w="787" w:type="dxa"/>
            <w:noWrap w:val="0"/>
            <w:vAlign w:val="top"/>
          </w:tcPr>
          <w:p>
            <w:pPr>
              <w:jc w:val="left"/>
              <w:rPr>
                <w:rFonts w:ascii="宋体" w:hAnsi="宋体" w:cs="宋体"/>
                <w:sz w:val="16"/>
                <w:szCs w:val="16"/>
              </w:rPr>
            </w:pPr>
          </w:p>
        </w:tc>
        <w:tc>
          <w:tcPr>
            <w:tcW w:w="1225" w:type="dxa"/>
            <w:gridSpan w:val="2"/>
            <w:noWrap w:val="0"/>
            <w:vAlign w:val="top"/>
          </w:tcPr>
          <w:p>
            <w:pPr>
              <w:jc w:val="left"/>
              <w:rPr>
                <w:rFonts w:ascii="宋体" w:hAnsi="宋体" w:cs="宋体"/>
                <w:sz w:val="16"/>
                <w:szCs w:val="16"/>
              </w:rPr>
            </w:pPr>
          </w:p>
        </w:tc>
        <w:tc>
          <w:tcPr>
            <w:tcW w:w="1138" w:type="dxa"/>
            <w:gridSpan w:val="2"/>
            <w:noWrap w:val="0"/>
            <w:vAlign w:val="top"/>
          </w:tcPr>
          <w:p>
            <w:pPr>
              <w:jc w:val="left"/>
              <w:rPr>
                <w:rFonts w:ascii="宋体" w:hAnsi="宋体" w:cs="宋体"/>
                <w:sz w:val="16"/>
                <w:szCs w:val="16"/>
              </w:rPr>
            </w:pPr>
          </w:p>
        </w:tc>
        <w:tc>
          <w:tcPr>
            <w:tcW w:w="975" w:type="dxa"/>
            <w:gridSpan w:val="2"/>
            <w:noWrap w:val="0"/>
            <w:vAlign w:val="top"/>
          </w:tcPr>
          <w:p>
            <w:pPr>
              <w:jc w:val="left"/>
              <w:rPr>
                <w:rFonts w:ascii="宋体" w:hAnsi="宋体" w:cs="宋体"/>
                <w:sz w:val="16"/>
                <w:szCs w:val="16"/>
              </w:rPr>
            </w:pPr>
          </w:p>
        </w:tc>
        <w:tc>
          <w:tcPr>
            <w:tcW w:w="537" w:type="dxa"/>
            <w:noWrap w:val="0"/>
            <w:vAlign w:val="top"/>
          </w:tcPr>
          <w:p>
            <w:pPr>
              <w:jc w:val="left"/>
              <w:rPr>
                <w:rFonts w:ascii="宋体" w:hAnsi="宋体" w:cs="宋体"/>
                <w:sz w:val="16"/>
                <w:szCs w:val="16"/>
              </w:rPr>
            </w:pPr>
          </w:p>
        </w:tc>
        <w:tc>
          <w:tcPr>
            <w:tcW w:w="713" w:type="dxa"/>
            <w:gridSpan w:val="2"/>
            <w:noWrap w:val="0"/>
            <w:vAlign w:val="top"/>
          </w:tcPr>
          <w:p>
            <w:pPr>
              <w:jc w:val="left"/>
              <w:rPr>
                <w:rFonts w:ascii="宋体" w:hAnsi="宋体" w:cs="宋体"/>
                <w:sz w:val="16"/>
                <w:szCs w:val="16"/>
              </w:rPr>
            </w:pPr>
          </w:p>
        </w:tc>
        <w:tc>
          <w:tcPr>
            <w:tcW w:w="900" w:type="dxa"/>
            <w:noWrap w:val="0"/>
            <w:vAlign w:val="top"/>
          </w:tcPr>
          <w:p>
            <w:pPr>
              <w:jc w:val="left"/>
              <w:rPr>
                <w:rFonts w:ascii="宋体" w:hAnsi="宋体" w:cs="宋体"/>
                <w:sz w:val="16"/>
                <w:szCs w:val="16"/>
              </w:rPr>
            </w:pPr>
          </w:p>
        </w:tc>
        <w:tc>
          <w:tcPr>
            <w:tcW w:w="775" w:type="dxa"/>
            <w:noWrap w:val="0"/>
            <w:vAlign w:val="top"/>
          </w:tcPr>
          <w:p>
            <w:pPr>
              <w:jc w:val="left"/>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9" w:type="dxa"/>
            <w:gridSpan w:val="14"/>
            <w:noWrap w:val="0"/>
            <w:vAlign w:val="top"/>
          </w:tcPr>
          <w:p>
            <w:pPr>
              <w:jc w:val="left"/>
              <w:rPr>
                <w:rFonts w:ascii="宋体" w:hAnsi="宋体" w:cs="宋体"/>
                <w:sz w:val="16"/>
                <w:szCs w:val="16"/>
              </w:rPr>
            </w:pPr>
            <w:r>
              <w:rPr>
                <w:rFonts w:hint="eastAsia" w:ascii="宋体" w:hAnsi="宋体" w:cs="宋体"/>
                <w:sz w:val="16"/>
                <w:szCs w:val="16"/>
              </w:rPr>
              <w:t>网络使用费人民币总价（大写/小写）（单位：元/</w:t>
            </w:r>
            <w:r>
              <w:rPr>
                <w:rFonts w:ascii="宋体" w:hAnsi="宋体"/>
                <w:sz w:val="24"/>
              </w:rPr>
              <w:t>□</w:t>
            </w:r>
            <w:r>
              <w:rPr>
                <w:rFonts w:hint="eastAsia" w:ascii="宋体" w:hAnsi="宋体" w:cs="宋体"/>
                <w:sz w:val="16"/>
                <w:szCs w:val="16"/>
              </w:rPr>
              <w:t>月</w:t>
            </w:r>
            <w:r>
              <w:rPr>
                <w:rFonts w:ascii="宋体" w:hAnsi="宋体"/>
                <w:sz w:val="24"/>
              </w:rPr>
              <w:t>□</w:t>
            </w:r>
            <w:r>
              <w:rPr>
                <w:rFonts w:hint="eastAsia" w:ascii="宋体" w:hAnsi="宋体" w:cs="宋体"/>
                <w:sz w:val="16"/>
                <w:szCs w:val="16"/>
              </w:rPr>
              <w:t>季度</w:t>
            </w:r>
            <w:r>
              <w:rPr>
                <w:rFonts w:ascii="宋体" w:hAnsi="宋体"/>
                <w:sz w:val="24"/>
              </w:rPr>
              <w:t>□</w:t>
            </w:r>
            <w:r>
              <w:rPr>
                <w:rFonts w:hint="eastAsia" w:ascii="宋体" w:hAnsi="宋体" w:cs="宋体"/>
                <w:sz w:val="16"/>
                <w:szCs w:val="16"/>
              </w:rPr>
              <w:t>半年</w:t>
            </w:r>
            <w:r>
              <w:rPr>
                <w:rFonts w:ascii="宋体" w:hAnsi="宋体"/>
                <w:sz w:val="24"/>
              </w:rPr>
              <w:t>□</w:t>
            </w:r>
            <w:r>
              <w:rPr>
                <w:rFonts w:hint="eastAsia" w:ascii="宋体" w:hAnsi="宋体" w:cs="宋体"/>
                <w:sz w:val="16"/>
                <w:szCs w:val="16"/>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469" w:type="dxa"/>
            <w:gridSpan w:val="14"/>
            <w:noWrap w:val="0"/>
            <w:vAlign w:val="top"/>
          </w:tcPr>
          <w:p>
            <w:pPr>
              <w:jc w:val="left"/>
              <w:rPr>
                <w:rFonts w:ascii="宋体" w:hAnsi="宋体" w:cs="宋体"/>
                <w:sz w:val="16"/>
                <w:szCs w:val="16"/>
              </w:rPr>
            </w:pPr>
            <w:r>
              <w:rPr>
                <w:rFonts w:hint="eastAsia" w:ascii="宋体" w:hAnsi="宋体" w:cs="宋体"/>
                <w:sz w:val="16"/>
                <w:szCs w:val="16"/>
              </w:rPr>
              <w:t>备注：</w:t>
            </w:r>
          </w:p>
        </w:tc>
      </w:tr>
    </w:tbl>
    <w:p>
      <w:pPr>
        <w:spacing w:line="360" w:lineRule="auto"/>
        <w:jc w:val="left"/>
        <w:rPr>
          <w:rFonts w:ascii="宋体" w:hAnsi="宋体" w:cs="宋体"/>
          <w:sz w:val="24"/>
          <w:szCs w:val="24"/>
        </w:rPr>
      </w:pPr>
      <w:r>
        <w:rPr>
          <w:rFonts w:hint="eastAsia" w:ascii="宋体" w:hAnsi="宋体" w:cs="宋体"/>
          <w:sz w:val="24"/>
          <w:szCs w:val="24"/>
        </w:rPr>
        <w:t>注:1.业务在开通过程中发生变化以实际开通的业务为准</w:t>
      </w:r>
    </w:p>
    <w:p>
      <w:pPr>
        <w:spacing w:line="360" w:lineRule="auto"/>
        <w:jc w:val="left"/>
        <w:rPr>
          <w:rFonts w:ascii="宋体" w:hAnsi="宋体" w:cs="宋体"/>
          <w:sz w:val="24"/>
          <w:szCs w:val="24"/>
        </w:rPr>
      </w:pPr>
      <w:r>
        <w:rPr>
          <w:rFonts w:hint="eastAsia" w:ascii="宋体" w:hAnsi="宋体" w:cs="宋体"/>
          <w:sz w:val="24"/>
          <w:szCs w:val="24"/>
        </w:rPr>
        <w:t>2.业务登记单其他可能涉及内容,请在备注栏进行说明,其中IP地址和互联网应用对应关系必须在备注中说明</w:t>
      </w:r>
    </w:p>
    <w:p>
      <w:pPr>
        <w:spacing w:line="360" w:lineRule="auto"/>
        <w:jc w:val="left"/>
        <w:rPr>
          <w:rFonts w:ascii="宋体" w:hAnsi="宋体" w:cs="宋体"/>
          <w:sz w:val="24"/>
          <w:szCs w:val="24"/>
        </w:rPr>
      </w:pPr>
      <w:r>
        <w:rPr>
          <w:rFonts w:hint="eastAsia" w:ascii="宋体" w:hAnsi="宋体" w:cs="宋体"/>
          <w:sz w:val="24"/>
          <w:szCs w:val="24"/>
        </w:rPr>
        <w:t>3.如涉及多条不同线路，可增加线路信息模块进行登记单调整</w:t>
      </w:r>
    </w:p>
    <w:p>
      <w:pPr>
        <w:spacing w:line="360" w:lineRule="auto"/>
        <w:jc w:val="left"/>
        <w:rPr>
          <w:rFonts w:ascii="宋体" w:hAnsi="宋体" w:cs="宋体"/>
          <w:sz w:val="24"/>
          <w:szCs w:val="24"/>
        </w:rPr>
      </w:pPr>
      <w:r>
        <w:rPr>
          <w:rFonts w:hint="eastAsia" w:ascii="宋体" w:hAnsi="宋体" w:cs="宋体"/>
          <w:sz w:val="24"/>
          <w:szCs w:val="24"/>
        </w:rPr>
        <w:t>4.IPv6地址数量按掩码位数计算，如无特殊需求，ipv6互联地址默认/64，IPv6用户地址默认提供2个即/127。</w:t>
      </w:r>
    </w:p>
    <w:p>
      <w:pPr>
        <w:spacing w:before="240" w:beforeLines="100" w:after="240" w:afterLines="100" w:line="360" w:lineRule="auto"/>
        <w:jc w:val="center"/>
        <w:rPr>
          <w:rFonts w:ascii="宋体" w:hAnsi="宋体" w:cs="宋体"/>
          <w:b/>
          <w:sz w:val="32"/>
          <w:szCs w:val="32"/>
        </w:rPr>
      </w:pPr>
      <w:r>
        <w:rPr>
          <w:rFonts w:hint="eastAsia" w:ascii="宋体" w:hAnsi="宋体" w:cs="宋体"/>
          <w:b/>
          <w:sz w:val="32"/>
          <w:szCs w:val="32"/>
        </w:rPr>
        <w:t>IP地址资源核配协议</w:t>
      </w:r>
    </w:p>
    <w:p>
      <w:pPr>
        <w:spacing w:line="360" w:lineRule="auto"/>
        <w:jc w:val="left"/>
        <w:rPr>
          <w:rFonts w:ascii="宋体" w:hAnsi="宋体" w:cs="宋体"/>
          <w:sz w:val="24"/>
          <w:szCs w:val="24"/>
        </w:rPr>
      </w:pPr>
      <w:r>
        <w:rPr>
          <w:rFonts w:hint="eastAsia" w:ascii="宋体" w:hAnsi="宋体" w:cs="宋体"/>
          <w:sz w:val="24"/>
          <w:szCs w:val="24"/>
        </w:rPr>
        <w:t>1.互联网专线、国际快线、品质互联网专线、短租互联网专线等业务，甲方联入乙方的网络，互联的IP地址由乙方提供。</w:t>
      </w:r>
    </w:p>
    <w:p>
      <w:pPr>
        <w:spacing w:line="360" w:lineRule="auto"/>
        <w:jc w:val="left"/>
        <w:rPr>
          <w:rFonts w:ascii="宋体" w:hAnsi="宋体" w:cs="宋体"/>
          <w:sz w:val="24"/>
          <w:szCs w:val="24"/>
        </w:rPr>
      </w:pPr>
      <w:r>
        <w:rPr>
          <w:rFonts w:hint="eastAsia" w:ascii="宋体" w:hAnsi="宋体" w:cs="宋体"/>
          <w:sz w:val="24"/>
          <w:szCs w:val="24"/>
        </w:rPr>
        <w:t>2.BGP专线等业务，由甲方自带IP入网。甲方需要将自带的IP地址提供给乙方以便进行网络连通性配置。甲方应出具CNNIC或APNIC等IP地址管理机</w:t>
      </w:r>
    </w:p>
    <w:p>
      <w:pPr>
        <w:spacing w:line="360" w:lineRule="auto"/>
        <w:jc w:val="left"/>
        <w:rPr>
          <w:rFonts w:ascii="宋体" w:hAnsi="宋体" w:cs="宋体"/>
          <w:sz w:val="24"/>
          <w:szCs w:val="24"/>
        </w:rPr>
      </w:pPr>
      <w:r>
        <w:rPr>
          <w:rFonts w:hint="eastAsia" w:ascii="宋体" w:hAnsi="宋体" w:cs="宋体"/>
          <w:sz w:val="24"/>
          <w:szCs w:val="24"/>
        </w:rPr>
        <w:t>构向其分配该IP地址的相关证明文件。甲方自带的IP地址应为可携带的IP地址（即不能为其他运营商、ISP、NCP等所拥有的地址段中的一部分，应为自行向CNNIC、APNIC等IP地址管理机构申请到的可携带IP地址），如为不可携带的IP地址，则乙方不对其地址段进行路由宣告。甲方自带的IP地址如遇任何所有权问题，由甲方自行解决，乙方有权利根据CNNIC或APNIC等IP地址管理机构的通知停止对有争议的IP地址段进行路由宣告。</w:t>
      </w:r>
    </w:p>
    <w:p>
      <w:pPr>
        <w:spacing w:line="360" w:lineRule="auto"/>
        <w:jc w:val="left"/>
        <w:rPr>
          <w:rFonts w:ascii="宋体" w:hAnsi="宋体" w:cs="宋体"/>
          <w:sz w:val="24"/>
          <w:szCs w:val="24"/>
        </w:rPr>
      </w:pPr>
      <w:r>
        <w:rPr>
          <w:rFonts w:hint="eastAsia" w:ascii="宋体" w:hAnsi="宋体" w:cs="宋体"/>
          <w:sz w:val="24"/>
          <w:szCs w:val="24"/>
        </w:rPr>
        <w:t>3.若甲方根据需要向乙方申请一定数量的IP地址资源，根据全球INTERNET相关IP地址管理机构（亚太地区为APNIC）规定，甲方必须通过乙方向其（APNIC）提供详细的用户网络拓扑、所需IP地址的使用规划（当期、半年、一年）等，具体IP地址资源数量经乙方确认后核配，乙方有权拒绝甲方不合理的资源申请。</w:t>
      </w:r>
    </w:p>
    <w:p>
      <w:pPr>
        <w:spacing w:line="360" w:lineRule="auto"/>
        <w:jc w:val="left"/>
        <w:rPr>
          <w:rFonts w:ascii="宋体" w:hAnsi="宋体" w:cs="宋体"/>
          <w:sz w:val="24"/>
          <w:szCs w:val="24"/>
        </w:rPr>
      </w:pPr>
      <w:r>
        <w:rPr>
          <w:rFonts w:hint="eastAsia" w:ascii="宋体" w:hAnsi="宋体" w:cs="宋体"/>
          <w:sz w:val="24"/>
          <w:szCs w:val="24"/>
        </w:rPr>
        <w:t>4.若甲方自带IP地址入网方式，甲方如变更IP地址、网络策略等相关信息，应在变更前将变更后的相关信息及时通知乙方，并出具CNNIC或APNIC等IP地址管理机构向其分配该IP地址的相关证明文件，否则，应对因此造成的一切后果承担责任。</w:t>
      </w:r>
    </w:p>
    <w:p>
      <w:pPr>
        <w:spacing w:line="360" w:lineRule="auto"/>
        <w:jc w:val="left"/>
        <w:rPr>
          <w:rFonts w:ascii="宋体" w:hAnsi="宋体" w:cs="宋体"/>
          <w:sz w:val="24"/>
          <w:szCs w:val="24"/>
        </w:rPr>
      </w:pPr>
      <w:r>
        <w:rPr>
          <w:rFonts w:hint="eastAsia" w:ascii="宋体" w:hAnsi="宋体" w:cs="宋体"/>
          <w:sz w:val="24"/>
          <w:szCs w:val="24"/>
        </w:rPr>
        <w:t>5.经乙方确认后向甲方核配的IP地址资源为不可携带的IP地址，所有权属于乙方，合同期内的使用权属于甲方。甲方不得将乙方核配的IP地址转借任何第三方使用。一旦该范围内IP地址出现从事违反国家规定的网络行为，乙方有权封闭或回收该地址资源。如合同终止，乙方将收回合同内容中为甲方所核配的IP地址段。</w:t>
      </w:r>
    </w:p>
    <w:p>
      <w:pPr>
        <w:spacing w:line="360" w:lineRule="auto"/>
        <w:jc w:val="left"/>
        <w:rPr>
          <w:rFonts w:ascii="宋体" w:hAnsi="宋体" w:cs="宋体"/>
          <w:sz w:val="24"/>
          <w:szCs w:val="24"/>
        </w:rPr>
      </w:pPr>
      <w:r>
        <w:rPr>
          <w:rFonts w:hint="eastAsia" w:ascii="宋体" w:hAnsi="宋体" w:cs="宋体"/>
          <w:sz w:val="24"/>
          <w:szCs w:val="24"/>
        </w:rPr>
        <w:t>6.乙方核配的IP地址不排除未来根据APNIC或国家行业部门的相关规定进行调整的情况。</w:t>
      </w:r>
    </w:p>
    <w:p>
      <w:pPr>
        <w:spacing w:line="360" w:lineRule="auto"/>
        <w:jc w:val="left"/>
        <w:rPr>
          <w:rFonts w:ascii="宋体" w:hAnsi="宋体" w:cs="宋体"/>
          <w:sz w:val="24"/>
          <w:szCs w:val="24"/>
        </w:rPr>
      </w:pPr>
      <w:r>
        <w:rPr>
          <w:rFonts w:hint="eastAsia" w:ascii="宋体" w:hAnsi="宋体" w:cs="宋体"/>
          <w:sz w:val="24"/>
          <w:szCs w:val="24"/>
        </w:rPr>
        <w:t>7.甲方同意乙方在APNIC数据库中按照甲方提供的相关信息对核配的IP地址段进行注册，甲方对其提供的信息负责。乙方对注册信息可能产生的任何问题不承担责任。当甲方提供的相关信息发生变化时，甲方应在一个月内通知乙方，以便乙方及时修改甲方的注册信息。</w:t>
      </w:r>
    </w:p>
    <w:p>
      <w:pPr>
        <w:spacing w:line="360" w:lineRule="auto"/>
        <w:jc w:val="center"/>
        <w:rPr>
          <w:rFonts w:ascii="宋体" w:hAnsi="宋体" w:cs="宋体"/>
          <w:sz w:val="32"/>
          <w:szCs w:val="32"/>
        </w:rPr>
      </w:pPr>
    </w:p>
    <w:p>
      <w:pPr>
        <w:spacing w:line="360" w:lineRule="auto"/>
        <w:jc w:val="center"/>
        <w:rPr>
          <w:rFonts w:ascii="宋体" w:hAnsi="宋体" w:cs="宋体"/>
          <w:color w:val="000000"/>
          <w:sz w:val="32"/>
          <w:szCs w:val="32"/>
        </w:rPr>
      </w:pPr>
      <w:r>
        <w:rPr>
          <w:rFonts w:hint="eastAsia" w:ascii="宋体" w:hAnsi="宋体" w:cs="宋体"/>
          <w:color w:val="000000"/>
          <w:sz w:val="32"/>
          <w:szCs w:val="32"/>
        </w:rPr>
        <w:t>清单客户列表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2329"/>
        <w:gridCol w:w="1371"/>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41"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客户名称</w:t>
            </w:r>
          </w:p>
        </w:tc>
        <w:tc>
          <w:tcPr>
            <w:tcW w:w="1371"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客户名称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腾讯</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微软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酷狗</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美图网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酷我音乐网</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33</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科大讯飞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淘宝</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34</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携程旅行网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优酷土豆网</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35</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去哪儿网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高德官网</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36</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中国网络电视台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优视科技</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PPTV聚力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百度</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苏宁易购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京东</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39</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欢聚时代（YY,多元）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金山网络</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4399小游戏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WPSOFFICE官方网站</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UCLOUD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爱奇艺</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42</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华为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PPS</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43</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OPPO官网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苹果</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44</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谷歌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小米科技</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45</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360</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46</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蓝汛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新浪</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47</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白云山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搜狗</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快手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网易</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49</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斗鱼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滴滴出行</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喜马拉雅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搜狐</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银河互联网电视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美团网</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CIBN互联网电视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23</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大众点评网</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53</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华数传媒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迅雷在线</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54</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未来电视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bilibili</w:t>
            </w:r>
          </w:p>
        </w:tc>
        <w:tc>
          <w:tcPr>
            <w:tcW w:w="137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55</w:t>
            </w:r>
          </w:p>
        </w:tc>
        <w:tc>
          <w:tcPr>
            <w:tcW w:w="28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百视通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26</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卓越亚马逊</w:t>
            </w:r>
          </w:p>
        </w:tc>
        <w:tc>
          <w:tcPr>
            <w:tcW w:w="1371" w:type="dxa"/>
            <w:noWrap w:val="0"/>
            <w:vAlign w:val="center"/>
          </w:tcPr>
          <w:p>
            <w:pPr>
              <w:spacing w:line="360" w:lineRule="auto"/>
              <w:jc w:val="center"/>
              <w:rPr>
                <w:rFonts w:ascii="宋体" w:hAnsi="宋体" w:cs="宋体"/>
                <w:color w:val="000000"/>
                <w:sz w:val="24"/>
                <w:szCs w:val="24"/>
              </w:rPr>
            </w:pPr>
          </w:p>
        </w:tc>
        <w:tc>
          <w:tcPr>
            <w:tcW w:w="2829" w:type="dxa"/>
            <w:noWrap w:val="0"/>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27</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芒果TV</w:t>
            </w:r>
          </w:p>
        </w:tc>
        <w:tc>
          <w:tcPr>
            <w:tcW w:w="1371" w:type="dxa"/>
            <w:noWrap w:val="0"/>
            <w:vAlign w:val="center"/>
          </w:tcPr>
          <w:p>
            <w:pPr>
              <w:spacing w:line="360" w:lineRule="auto"/>
              <w:jc w:val="center"/>
              <w:rPr>
                <w:rFonts w:ascii="宋体" w:hAnsi="宋体" w:cs="宋体"/>
                <w:color w:val="000000"/>
                <w:sz w:val="24"/>
                <w:szCs w:val="24"/>
              </w:rPr>
            </w:pPr>
          </w:p>
        </w:tc>
        <w:tc>
          <w:tcPr>
            <w:tcW w:w="2829" w:type="dxa"/>
            <w:noWrap w:val="0"/>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今日头条</w:t>
            </w:r>
          </w:p>
        </w:tc>
        <w:tc>
          <w:tcPr>
            <w:tcW w:w="1371" w:type="dxa"/>
            <w:noWrap w:val="0"/>
            <w:vAlign w:val="center"/>
          </w:tcPr>
          <w:p>
            <w:pPr>
              <w:spacing w:line="360" w:lineRule="auto"/>
              <w:jc w:val="center"/>
              <w:rPr>
                <w:rFonts w:ascii="宋体" w:hAnsi="宋体" w:cs="宋体"/>
                <w:color w:val="000000"/>
                <w:sz w:val="24"/>
                <w:szCs w:val="24"/>
              </w:rPr>
            </w:pPr>
          </w:p>
        </w:tc>
        <w:tc>
          <w:tcPr>
            <w:tcW w:w="2829" w:type="dxa"/>
            <w:noWrap w:val="0"/>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29</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抖音网</w:t>
            </w:r>
          </w:p>
        </w:tc>
        <w:tc>
          <w:tcPr>
            <w:tcW w:w="1371" w:type="dxa"/>
            <w:noWrap w:val="0"/>
            <w:vAlign w:val="center"/>
          </w:tcPr>
          <w:p>
            <w:pPr>
              <w:spacing w:line="360" w:lineRule="auto"/>
              <w:jc w:val="center"/>
              <w:rPr>
                <w:rFonts w:ascii="宋体" w:hAnsi="宋体" w:cs="宋体"/>
                <w:color w:val="000000"/>
                <w:sz w:val="24"/>
                <w:szCs w:val="24"/>
              </w:rPr>
            </w:pPr>
          </w:p>
        </w:tc>
        <w:tc>
          <w:tcPr>
            <w:tcW w:w="2829" w:type="dxa"/>
            <w:noWrap w:val="0"/>
            <w:vAlign w:val="center"/>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pPr>
              <w:widowControl/>
              <w:spacing w:line="360" w:lineRule="auto"/>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30</w:t>
            </w:r>
          </w:p>
        </w:tc>
        <w:tc>
          <w:tcPr>
            <w:tcW w:w="2329" w:type="dxa"/>
            <w:noWrap w:val="0"/>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火山网</w:t>
            </w:r>
          </w:p>
        </w:tc>
        <w:tc>
          <w:tcPr>
            <w:tcW w:w="1371" w:type="dxa"/>
            <w:noWrap w:val="0"/>
            <w:vAlign w:val="center"/>
          </w:tcPr>
          <w:p>
            <w:pPr>
              <w:spacing w:line="360" w:lineRule="auto"/>
              <w:jc w:val="center"/>
              <w:rPr>
                <w:rFonts w:ascii="宋体" w:hAnsi="宋体" w:cs="宋体"/>
                <w:color w:val="000000"/>
                <w:sz w:val="24"/>
                <w:szCs w:val="24"/>
              </w:rPr>
            </w:pPr>
          </w:p>
        </w:tc>
        <w:tc>
          <w:tcPr>
            <w:tcW w:w="2829" w:type="dxa"/>
            <w:noWrap w:val="0"/>
            <w:vAlign w:val="center"/>
          </w:tcPr>
          <w:p>
            <w:pPr>
              <w:spacing w:line="360" w:lineRule="auto"/>
              <w:jc w:val="center"/>
              <w:rPr>
                <w:rFonts w:ascii="宋体" w:hAnsi="宋体" w:cs="宋体"/>
                <w:color w:val="000000"/>
                <w:sz w:val="24"/>
                <w:szCs w:val="24"/>
              </w:rPr>
            </w:pPr>
          </w:p>
        </w:tc>
      </w:tr>
    </w:tbl>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在签署本协议之前，甲方确认已认真阅读并完全理解本协议内容，签字盖章后表明将完全履行本协议。</w:t>
      </w:r>
    </w:p>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 xml:space="preserve">甲方：（签字/盖章）                               乙方：（签字/盖章）                                                   </w:t>
      </w:r>
    </w:p>
    <w:p>
      <w:r>
        <w:rPr>
          <w:rFonts w:hint="eastAsia" w:ascii="宋体" w:hAnsi="宋体" w:cs="宋体"/>
          <w:color w:val="000000"/>
          <w:sz w:val="24"/>
          <w:szCs w:val="24"/>
        </w:rPr>
        <w:t>________年________月________日         ________年________月________日</w:t>
      </w:r>
    </w:p>
    <w:p>
      <w:pPr>
        <w:widowControl/>
        <w:jc w:val="left"/>
        <w:rPr>
          <w:rFonts w:ascii="宋体" w:hAnsi="宋体"/>
          <w:b/>
          <w:sz w:val="36"/>
          <w:szCs w:val="36"/>
        </w:rPr>
      </w:pPr>
    </w:p>
    <w:p>
      <w:pPr>
        <w:widowControl/>
        <w:jc w:val="left"/>
        <w:rPr>
          <w:rFonts w:ascii="仿宋" w:hAnsi="仿宋" w:eastAsia="仿宋" w:cs="Arial Unicode MS"/>
          <w:color w:val="000000"/>
          <w:kern w:val="0"/>
          <w:sz w:val="22"/>
          <w:szCs w:val="22"/>
          <w:lang w:val="zh-CN"/>
        </w:rPr>
      </w:pPr>
    </w:p>
    <w:p>
      <w:pPr>
        <w:widowControl/>
        <w:jc w:val="left"/>
        <w:rPr>
          <w:rFonts w:hint="eastAsia" w:ascii="Helvetica Neue" w:hAnsi="Helvetica Neue" w:eastAsia="Arial Unicode MS" w:cs="Arial Unicode MS"/>
          <w:color w:val="000000"/>
          <w:kern w:val="0"/>
          <w:sz w:val="22"/>
          <w:szCs w:val="22"/>
        </w:rPr>
      </w:pPr>
    </w:p>
    <w:p>
      <w:pPr>
        <w:spacing w:line="360" w:lineRule="auto"/>
        <w:ind w:left="1521" w:leftChars="267" w:hanging="960" w:hangingChars="400"/>
        <w:rPr>
          <w:rFonts w:ascii="宋体" w:hAnsi="宋体" w:cs="宋体"/>
          <w:color w:val="000000" w:themeColor="text1"/>
          <w:sz w:val="24"/>
          <w14:textFill>
            <w14:solidFill>
              <w14:schemeClr w14:val="tx1"/>
            </w14:solidFill>
          </w14:textFill>
        </w:rPr>
      </w:pPr>
    </w:p>
    <w:p>
      <w:pPr>
        <w:widowControl/>
        <w:jc w:val="left"/>
        <w:rPr>
          <w:rFonts w:ascii="仿宋" w:hAnsi="仿宋" w:eastAsia="仿宋" w:cs="Arial Unicode MS"/>
          <w:color w:val="000000"/>
          <w:kern w:val="0"/>
          <w:sz w:val="24"/>
          <w:lang w:val="zh-CN"/>
        </w:rPr>
      </w:pPr>
    </w:p>
    <w:p>
      <w:pPr>
        <w:widowControl/>
        <w:jc w:val="left"/>
        <w:rPr>
          <w:rFonts w:ascii="仿宋" w:hAnsi="仿宋" w:eastAsia="仿宋" w:cs="Arial Unicode MS"/>
          <w:color w:val="000000"/>
          <w:kern w:val="0"/>
          <w:sz w:val="24"/>
          <w:lang w:val="zh-CN"/>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68" w:name="_Toc27794"/>
      <w:bookmarkStart w:id="669" w:name="_Toc22015"/>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8"/>
      <w:bookmarkEnd w:id="669"/>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6"/>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6"/>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6"/>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7"/>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7"/>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7"/>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7"/>
        </w:numPr>
        <w:spacing w:line="360" w:lineRule="auto"/>
        <w:rPr>
          <w:bCs/>
          <w:color w:val="000000"/>
          <w:sz w:val="24"/>
        </w:rPr>
      </w:pPr>
      <w:r>
        <w:rPr>
          <w:bCs/>
          <w:color w:val="000000"/>
          <w:sz w:val="24"/>
        </w:rPr>
        <w:t>牵头人为项目的总负责单位；组织各参加方进行项目实施工作。</w:t>
      </w:r>
    </w:p>
    <w:p>
      <w:pPr>
        <w:numPr>
          <w:ilvl w:val="0"/>
          <w:numId w:val="17"/>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7"/>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7"/>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7"/>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7"/>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7"/>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sz w:val="24"/>
        </w:rPr>
      </w:pPr>
      <w:r>
        <w:rPr>
          <w:rFonts w:hint="eastAsia"/>
          <w:sz w:val="24"/>
          <w:u w:val="single"/>
        </w:rPr>
        <w:t>供应商须为“北京市政府采购电子卖场（京华云采）”网络接入服务的协议供应商</w:t>
      </w:r>
      <w:r>
        <w:rPr>
          <w:rFonts w:hint="eastAsia"/>
          <w:sz w:val="24"/>
        </w:rPr>
        <w:t>，提供北京市政府采购电子卖场（京华云采）（http://mkt-bjzc.zhongcy.com/mall-view/）可公开查询的供应商页面截图加盖供应商公章，要求应体现出对应品目。</w:t>
      </w:r>
      <w:r>
        <w:rPr>
          <w:sz w:val="24"/>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rPr>
        <w:t>复印件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70" w:name="_Hlt520274065"/>
      <w:bookmarkEnd w:id="670"/>
      <w:bookmarkStart w:id="671" w:name="_Hlt520274393"/>
      <w:bookmarkEnd w:id="671"/>
      <w:bookmarkStart w:id="672" w:name="_Hlt520355504"/>
      <w:bookmarkEnd w:id="672"/>
      <w:bookmarkStart w:id="673" w:name="_Hlt520271212"/>
      <w:bookmarkEnd w:id="673"/>
      <w:bookmarkStart w:id="674" w:name="_Hlt520273711"/>
      <w:bookmarkEnd w:id="674"/>
      <w:bookmarkStart w:id="675" w:name="_Hlt520274121"/>
      <w:bookmarkEnd w:id="675"/>
      <w:bookmarkStart w:id="676" w:name="_Hlt520343392"/>
      <w:bookmarkEnd w:id="676"/>
      <w:bookmarkStart w:id="677" w:name="_Hlt520274407"/>
      <w:bookmarkEnd w:id="677"/>
      <w:bookmarkStart w:id="678" w:name="_Hlt520343000"/>
      <w:bookmarkEnd w:id="678"/>
      <w:bookmarkStart w:id="679" w:name="_Hlt520350918"/>
      <w:bookmarkEnd w:id="679"/>
      <w:bookmarkStart w:id="680" w:name="_Toc480942349"/>
      <w:bookmarkStart w:id="681" w:name="_Ref467988698"/>
      <w:bookmarkStart w:id="682" w:name="_Toc195842921"/>
      <w:bookmarkStart w:id="683" w:name="_Toc150480794"/>
      <w:bookmarkStart w:id="684" w:name="_Toc226965746"/>
      <w:bookmarkStart w:id="685" w:name="_Toc142311058"/>
      <w:bookmarkStart w:id="686" w:name="_Toc520356217"/>
      <w:bookmarkStart w:id="687" w:name="_Toc226309800"/>
      <w:bookmarkStart w:id="688" w:name="_Toc127151556"/>
      <w:bookmarkStart w:id="689" w:name="_Toc226337252"/>
      <w:bookmarkStart w:id="690" w:name="_Toc226965829"/>
      <w:bookmarkStart w:id="691" w:name="_Toc150774761"/>
      <w:r>
        <w:rPr>
          <w:rFonts w:ascii="宋体" w:hAnsi="宋体"/>
          <w:color w:val="000000"/>
          <w:sz w:val="24"/>
        </w:rPr>
        <w:t>1</w:t>
      </w:r>
      <w:r>
        <w:rPr>
          <w:rFonts w:ascii="宋体" w:hAnsi="宋体"/>
          <w:color w:val="000000"/>
          <w:sz w:val="24"/>
          <w:szCs w:val="20"/>
        </w:rPr>
        <w:t xml:space="preserve">  </w:t>
      </w:r>
      <w:bookmarkEnd w:id="680"/>
      <w:bookmarkEnd w:id="681"/>
      <w:r>
        <w:rPr>
          <w:rFonts w:hint="eastAsia" w:ascii="宋体" w:hAnsi="宋体"/>
          <w:color w:val="000000"/>
          <w:sz w:val="24"/>
        </w:rPr>
        <w:t>响应</w:t>
      </w:r>
      <w:r>
        <w:rPr>
          <w:rFonts w:ascii="宋体" w:hAnsi="宋体"/>
          <w:color w:val="000000"/>
          <w:sz w:val="24"/>
        </w:rPr>
        <w:t>书</w:t>
      </w:r>
      <w:bookmarkEnd w:id="682"/>
      <w:bookmarkEnd w:id="683"/>
      <w:bookmarkEnd w:id="684"/>
      <w:bookmarkEnd w:id="685"/>
      <w:bookmarkEnd w:id="686"/>
      <w:bookmarkEnd w:id="687"/>
      <w:bookmarkEnd w:id="688"/>
      <w:bookmarkEnd w:id="689"/>
      <w:bookmarkEnd w:id="690"/>
      <w:bookmarkEnd w:id="691"/>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2" w:name="_Hlt520356243"/>
      <w:bookmarkEnd w:id="692"/>
      <w:bookmarkStart w:id="693" w:name="_Hlt520355938"/>
      <w:bookmarkEnd w:id="693"/>
      <w:bookmarkStart w:id="694" w:name="_Toc305158825"/>
      <w:bookmarkStart w:id="695" w:name="_Toc480942350"/>
      <w:bookmarkStart w:id="696" w:name="_Toc226337253"/>
      <w:bookmarkStart w:id="697" w:name="_Toc265228395"/>
      <w:bookmarkStart w:id="698" w:name="_Toc150480795"/>
      <w:bookmarkStart w:id="699" w:name="_Toc264969247"/>
      <w:bookmarkStart w:id="700" w:name="_Toc150774762"/>
      <w:bookmarkStart w:id="701" w:name="_Toc305158899"/>
      <w:bookmarkStart w:id="702" w:name="_Toc226965830"/>
      <w:bookmarkStart w:id="703" w:name="_Toc195842922"/>
      <w:bookmarkStart w:id="704" w:name="_Ref467988705"/>
      <w:bookmarkStart w:id="705" w:name="_Toc127151557"/>
      <w:bookmarkStart w:id="706" w:name="_Toc142311059"/>
      <w:bookmarkStart w:id="707" w:name="_Toc226309801"/>
      <w:bookmarkStart w:id="708" w:name="_Toc520356218"/>
      <w:bookmarkStart w:id="709" w:name="_Toc226965747"/>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hint="eastAsia" w:ascii="宋体" w:hAnsi="宋体"/>
          <w:color w:val="000000"/>
          <w:sz w:val="24"/>
          <w:szCs w:val="20"/>
        </w:rPr>
        <w:t>身份证明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w:t>
      </w:r>
      <w:r>
        <w:rPr>
          <w:rFonts w:hint="eastAsia" w:ascii="宋体" w:hAnsi="宋体"/>
          <w:color w:val="000000"/>
          <w:sz w:val="24"/>
          <w:szCs w:val="20"/>
        </w:rPr>
        <w:t>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2"/>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2"/>
        <w:tabs>
          <w:tab w:val="left" w:pos="2412"/>
          <w:tab w:val="left" w:pos="3883"/>
          <w:tab w:val="left" w:pos="5352"/>
          <w:tab w:val="left" w:pos="6821"/>
        </w:tabs>
        <w:kinsoku w:val="0"/>
        <w:overflowPunct w:val="0"/>
        <w:spacing w:line="335" w:lineRule="exact"/>
      </w:pPr>
    </w:p>
    <w:p>
      <w:pPr>
        <w:pStyle w:val="2"/>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2"/>
        <w:kinsoku w:val="0"/>
        <w:overflowPunct w:val="0"/>
        <w:spacing w:line="583" w:lineRule="auto"/>
        <w:ind w:right="4305"/>
        <w:rPr>
          <w:spacing w:val="-3"/>
        </w:rPr>
      </w:pPr>
    </w:p>
    <w:p>
      <w:pPr>
        <w:pStyle w:val="2"/>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2"/>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10" w:name="_Toc226965831"/>
      <w:bookmarkStart w:id="711" w:name="_Toc226965748"/>
      <w:bookmarkStart w:id="712" w:name="_Toc164608672"/>
      <w:bookmarkStart w:id="713" w:name="_Toc305158826"/>
      <w:bookmarkStart w:id="714" w:name="_Toc164608827"/>
      <w:bookmarkStart w:id="715" w:name="_Toc226337254"/>
      <w:bookmarkStart w:id="716" w:name="_Toc305158900"/>
      <w:bookmarkStart w:id="717" w:name="_Toc226309802"/>
      <w:bookmarkStart w:id="718" w:name="_Toc265228396"/>
      <w:bookmarkStart w:id="719" w:name="_Toc195842923"/>
      <w:bookmarkStart w:id="720" w:name="_Toc264969248"/>
      <w:r>
        <w:rPr>
          <w:rFonts w:hint="eastAsia" w:ascii="宋体" w:hAnsi="宋体"/>
          <w:b/>
          <w:color w:val="000000"/>
          <w:sz w:val="36"/>
          <w:szCs w:val="36"/>
        </w:rPr>
        <w:t>开选一览表</w:t>
      </w:r>
      <w:bookmarkEnd w:id="710"/>
      <w:bookmarkEnd w:id="711"/>
      <w:bookmarkEnd w:id="712"/>
      <w:bookmarkEnd w:id="713"/>
      <w:bookmarkEnd w:id="714"/>
      <w:bookmarkEnd w:id="715"/>
      <w:bookmarkEnd w:id="716"/>
      <w:bookmarkEnd w:id="717"/>
      <w:bookmarkEnd w:id="718"/>
      <w:bookmarkEnd w:id="719"/>
      <w:bookmarkEnd w:id="720"/>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4023"/>
        <w:gridCol w:w="2156"/>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pPr>
              <w:tabs>
                <w:tab w:val="left" w:pos="5580"/>
              </w:tabs>
              <w:jc w:val="center"/>
              <w:rPr>
                <w:b/>
                <w:sz w:val="24"/>
              </w:rPr>
            </w:pPr>
            <w:r>
              <w:rPr>
                <w:b/>
                <w:sz w:val="24"/>
              </w:rPr>
              <w:t>序号</w:t>
            </w:r>
          </w:p>
        </w:tc>
        <w:tc>
          <w:tcPr>
            <w:tcW w:w="2215" w:type="pct"/>
            <w:vMerge w:val="restart"/>
            <w:vAlign w:val="center"/>
          </w:tcPr>
          <w:p>
            <w:pPr>
              <w:tabs>
                <w:tab w:val="left" w:pos="5580"/>
              </w:tabs>
              <w:jc w:val="center"/>
              <w:rPr>
                <w:b/>
                <w:sz w:val="24"/>
              </w:rPr>
            </w:pPr>
            <w:r>
              <w:rPr>
                <w:rFonts w:hint="eastAsia"/>
                <w:b/>
                <w:sz w:val="24"/>
              </w:rPr>
              <w:t>报价人</w:t>
            </w:r>
            <w:r>
              <w:rPr>
                <w:b/>
                <w:sz w:val="24"/>
              </w:rPr>
              <w:t>名称</w:t>
            </w:r>
          </w:p>
        </w:tc>
        <w:tc>
          <w:tcPr>
            <w:tcW w:w="2373" w:type="pct"/>
            <w:gridSpan w:val="2"/>
            <w:vAlign w:val="center"/>
          </w:tcPr>
          <w:p>
            <w:pPr>
              <w:tabs>
                <w:tab w:val="left" w:pos="5580"/>
              </w:tabs>
              <w:jc w:val="center"/>
              <w:rPr>
                <w:b/>
                <w:sz w:val="24"/>
              </w:rPr>
            </w:pPr>
            <w:r>
              <w:rPr>
                <w:rFonts w:hint="eastAsia"/>
                <w:b/>
                <w:sz w:val="24"/>
              </w:rPr>
              <w:t>响应</w:t>
            </w:r>
            <w:r>
              <w:rPr>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7" w:type="pct"/>
            <w:vAlign w:val="center"/>
          </w:tcPr>
          <w:p>
            <w:pPr>
              <w:tabs>
                <w:tab w:val="left" w:pos="5580"/>
              </w:tabs>
              <w:jc w:val="center"/>
              <w:rPr>
                <w:b/>
                <w:sz w:val="24"/>
              </w:rPr>
            </w:pPr>
            <w:r>
              <w:rPr>
                <w:b/>
                <w:sz w:val="24"/>
              </w:rPr>
              <w:t>大写</w:t>
            </w:r>
          </w:p>
        </w:tc>
        <w:tc>
          <w:tcPr>
            <w:tcW w:w="1185"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7" w:type="pct"/>
            <w:vAlign w:val="center"/>
          </w:tcPr>
          <w:p>
            <w:pPr>
              <w:tabs>
                <w:tab w:val="left" w:pos="5580"/>
              </w:tabs>
              <w:jc w:val="center"/>
              <w:rPr>
                <w:sz w:val="24"/>
              </w:rPr>
            </w:pPr>
          </w:p>
        </w:tc>
        <w:tc>
          <w:tcPr>
            <w:tcW w:w="1185" w:type="pct"/>
            <w:vAlign w:val="center"/>
          </w:tcPr>
          <w:p>
            <w:pPr>
              <w:tabs>
                <w:tab w:val="left" w:pos="5580"/>
              </w:tabs>
              <w:jc w:val="center"/>
              <w:rPr>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1" w:name="_Toc142311060"/>
      <w:bookmarkStart w:id="722" w:name="_Toc150480796"/>
      <w:bookmarkStart w:id="723" w:name="_Toc226337255"/>
      <w:bookmarkStart w:id="724" w:name="_Toc150774763"/>
      <w:bookmarkStart w:id="725" w:name="_Toc226965749"/>
      <w:bookmarkStart w:id="726" w:name="_Toc226309803"/>
      <w:bookmarkStart w:id="727" w:name="_Toc265228397"/>
      <w:bookmarkStart w:id="728" w:name="_Toc127151558"/>
      <w:bookmarkStart w:id="729" w:name="_Toc264969249"/>
      <w:bookmarkStart w:id="730" w:name="_Toc305158901"/>
      <w:bookmarkStart w:id="731" w:name="_Toc305158827"/>
      <w:bookmarkStart w:id="732" w:name="_Toc195842924"/>
      <w:bookmarkStart w:id="733" w:name="_Toc226965832"/>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697"/>
        <w:gridCol w:w="1237"/>
        <w:gridCol w:w="1235"/>
        <w:gridCol w:w="1235"/>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7" w:type="dxa"/>
            <w:vAlign w:val="center"/>
          </w:tcPr>
          <w:p>
            <w:pPr>
              <w:adjustRightInd w:val="0"/>
              <w:snapToGrid w:val="0"/>
              <w:jc w:val="left"/>
              <w:rPr>
                <w:b/>
                <w:color w:val="000000"/>
                <w:sz w:val="24"/>
              </w:rPr>
            </w:pPr>
            <w:r>
              <w:rPr>
                <w:b/>
                <w:color w:val="000000"/>
                <w:sz w:val="24"/>
              </w:rPr>
              <w:t>序号</w:t>
            </w:r>
          </w:p>
        </w:tc>
        <w:tc>
          <w:tcPr>
            <w:tcW w:w="2697" w:type="dxa"/>
            <w:vAlign w:val="center"/>
          </w:tcPr>
          <w:p>
            <w:pPr>
              <w:adjustRightInd w:val="0"/>
              <w:snapToGrid w:val="0"/>
              <w:jc w:val="left"/>
              <w:rPr>
                <w:b/>
                <w:color w:val="000000"/>
                <w:sz w:val="24"/>
              </w:rPr>
            </w:pPr>
            <w:r>
              <w:rPr>
                <w:b/>
                <w:color w:val="000000"/>
                <w:sz w:val="24"/>
              </w:rPr>
              <w:t>分项名称</w:t>
            </w:r>
          </w:p>
        </w:tc>
        <w:tc>
          <w:tcPr>
            <w:tcW w:w="1237" w:type="dxa"/>
            <w:vAlign w:val="center"/>
          </w:tcPr>
          <w:p>
            <w:pPr>
              <w:adjustRightInd w:val="0"/>
              <w:snapToGrid w:val="0"/>
              <w:jc w:val="left"/>
              <w:rPr>
                <w:b/>
                <w:color w:val="000000"/>
                <w:sz w:val="24"/>
              </w:rPr>
            </w:pPr>
            <w:r>
              <w:rPr>
                <w:b/>
                <w:color w:val="000000"/>
                <w:sz w:val="24"/>
              </w:rPr>
              <w:t>单价（元）</w:t>
            </w:r>
          </w:p>
        </w:tc>
        <w:tc>
          <w:tcPr>
            <w:tcW w:w="1235" w:type="dxa"/>
            <w:vAlign w:val="center"/>
          </w:tcPr>
          <w:p>
            <w:pPr>
              <w:adjustRightInd w:val="0"/>
              <w:snapToGrid w:val="0"/>
              <w:jc w:val="center"/>
              <w:rPr>
                <w:b/>
                <w:color w:val="000000"/>
                <w:sz w:val="24"/>
              </w:rPr>
            </w:pPr>
            <w:r>
              <w:rPr>
                <w:rFonts w:hint="eastAsia"/>
                <w:b/>
                <w:color w:val="000000"/>
                <w:sz w:val="24"/>
              </w:rPr>
              <w:t>数量</w:t>
            </w:r>
          </w:p>
        </w:tc>
        <w:tc>
          <w:tcPr>
            <w:tcW w:w="1235" w:type="dxa"/>
            <w:vAlign w:val="center"/>
          </w:tcPr>
          <w:p>
            <w:pPr>
              <w:adjustRightInd w:val="0"/>
              <w:snapToGrid w:val="0"/>
              <w:jc w:val="left"/>
              <w:rPr>
                <w:b/>
                <w:color w:val="000000"/>
                <w:sz w:val="24"/>
              </w:rPr>
            </w:pPr>
            <w:r>
              <w:rPr>
                <w:b/>
                <w:color w:val="000000"/>
                <w:sz w:val="24"/>
              </w:rPr>
              <w:t>合价（元）</w:t>
            </w:r>
          </w:p>
        </w:tc>
        <w:tc>
          <w:tcPr>
            <w:tcW w:w="1567"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7" w:type="dxa"/>
          </w:tcPr>
          <w:p>
            <w:pPr>
              <w:jc w:val="center"/>
              <w:rPr>
                <w:color w:val="000000"/>
                <w:sz w:val="24"/>
              </w:rPr>
            </w:pPr>
            <w:r>
              <w:rPr>
                <w:rFonts w:ascii="宋体" w:hAnsi="宋体"/>
                <w:szCs w:val="21"/>
              </w:rPr>
              <w:t>1</w:t>
            </w: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pPr>
              <w:jc w:val="center"/>
              <w:rPr>
                <w:color w:val="000000"/>
                <w:sz w:val="24"/>
              </w:rPr>
            </w:pPr>
            <w:r>
              <w:rPr>
                <w:rFonts w:hint="eastAsia" w:ascii="宋体" w:hAnsi="宋体"/>
                <w:szCs w:val="21"/>
              </w:rPr>
              <w:t>2</w:t>
            </w: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pPr>
              <w:jc w:val="center"/>
              <w:rPr>
                <w:rFonts w:ascii="宋体" w:hAnsi="宋体"/>
                <w:szCs w:val="21"/>
              </w:rPr>
            </w:pPr>
            <w:r>
              <w:rPr>
                <w:rFonts w:hint="eastAsia" w:ascii="宋体" w:hAnsi="宋体"/>
                <w:szCs w:val="21"/>
              </w:rPr>
              <w:t>3</w:t>
            </w: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pPr>
              <w:jc w:val="center"/>
              <w:rPr>
                <w:rFonts w:ascii="宋体" w:hAnsi="宋体"/>
                <w:szCs w:val="21"/>
              </w:rPr>
            </w:pPr>
            <w:r>
              <w:rPr>
                <w:rFonts w:hint="eastAsia" w:ascii="宋体" w:hAnsi="宋体"/>
                <w:szCs w:val="21"/>
              </w:rPr>
              <w:t>……</w:t>
            </w: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pPr>
              <w:jc w:val="center"/>
              <w:rPr>
                <w:rFonts w:ascii="宋体" w:hAnsi="宋体"/>
                <w:szCs w:val="21"/>
              </w:rPr>
            </w:pP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pPr>
              <w:jc w:val="center"/>
              <w:rPr>
                <w:rFonts w:ascii="宋体" w:hAnsi="宋体"/>
                <w:szCs w:val="21"/>
              </w:rPr>
            </w:pP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7" w:type="dxa"/>
          </w:tcPr>
          <w:p>
            <w:pPr>
              <w:jc w:val="center"/>
              <w:rPr>
                <w:rFonts w:ascii="宋体" w:hAnsi="宋体"/>
                <w:szCs w:val="21"/>
              </w:rPr>
            </w:pPr>
          </w:p>
        </w:tc>
        <w:tc>
          <w:tcPr>
            <w:tcW w:w="2697" w:type="dxa"/>
          </w:tcPr>
          <w:p>
            <w:pPr>
              <w:rPr>
                <w:color w:val="000000"/>
                <w:sz w:val="24"/>
              </w:rPr>
            </w:pPr>
          </w:p>
        </w:tc>
        <w:tc>
          <w:tcPr>
            <w:tcW w:w="1237" w:type="dxa"/>
            <w:vAlign w:val="center"/>
          </w:tcPr>
          <w:p>
            <w:pPr>
              <w:adjustRightInd w:val="0"/>
              <w:snapToGrid w:val="0"/>
              <w:jc w:val="left"/>
              <w:rPr>
                <w:color w:val="000000"/>
                <w:sz w:val="24"/>
              </w:rPr>
            </w:pPr>
          </w:p>
        </w:tc>
        <w:tc>
          <w:tcPr>
            <w:tcW w:w="1235" w:type="dxa"/>
          </w:tcPr>
          <w:p>
            <w:pPr>
              <w:jc w:val="center"/>
              <w:rPr>
                <w:color w:val="000000"/>
                <w:sz w:val="24"/>
              </w:rPr>
            </w:pPr>
          </w:p>
        </w:tc>
        <w:tc>
          <w:tcPr>
            <w:tcW w:w="1235" w:type="dxa"/>
            <w:vAlign w:val="center"/>
          </w:tcPr>
          <w:p>
            <w:pPr>
              <w:adjustRightInd w:val="0"/>
              <w:snapToGrid w:val="0"/>
              <w:jc w:val="left"/>
              <w:rPr>
                <w:color w:val="000000"/>
                <w:sz w:val="24"/>
              </w:rPr>
            </w:pPr>
          </w:p>
        </w:tc>
        <w:tc>
          <w:tcPr>
            <w:tcW w:w="1567"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726" w:type="dxa"/>
            <w:gridSpan w:val="4"/>
            <w:vAlign w:val="center"/>
          </w:tcPr>
          <w:p>
            <w:pPr>
              <w:adjustRightInd w:val="0"/>
              <w:snapToGrid w:val="0"/>
              <w:jc w:val="right"/>
              <w:rPr>
                <w:color w:val="000000"/>
                <w:sz w:val="24"/>
              </w:rPr>
            </w:pPr>
            <w:r>
              <w:rPr>
                <w:b/>
                <w:color w:val="000000"/>
                <w:sz w:val="24"/>
              </w:rPr>
              <w:t>总价（元）</w:t>
            </w:r>
          </w:p>
        </w:tc>
        <w:tc>
          <w:tcPr>
            <w:tcW w:w="2802" w:type="dxa"/>
            <w:gridSpan w:val="2"/>
            <w:vAlign w:val="center"/>
          </w:tcPr>
          <w:p>
            <w:pPr>
              <w:adjustRightInd w:val="0"/>
              <w:snapToGrid w:val="0"/>
              <w:jc w:val="left"/>
              <w:rPr>
                <w:color w:val="000000"/>
                <w:sz w:val="24"/>
              </w:rPr>
            </w:pPr>
          </w:p>
        </w:tc>
      </w:tr>
    </w:tbl>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pStyle w:val="39"/>
        <w:ind w:left="0" w:leftChars="0" w:firstLine="480"/>
      </w:pPr>
      <w:r>
        <w:rPr>
          <w:rFonts w:hint="eastAsia"/>
          <w:color w:val="000000"/>
          <w:sz w:val="24"/>
        </w:rPr>
        <w:t>3.</w:t>
      </w:r>
      <w:r>
        <w:rPr>
          <w:rFonts w:hint="eastAsia" w:hAnsi="宋体"/>
          <w:kern w:val="0"/>
          <w:sz w:val="24"/>
          <w:szCs w:val="21"/>
        </w:rPr>
        <w:t>报价应包含本项目从开始到实施完毕所发生的全部费用。</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3"/>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4" w:name="_Toc226965752"/>
      <w:bookmarkStart w:id="735" w:name="_Toc226309806"/>
      <w:bookmarkStart w:id="736" w:name="_Toc150480798"/>
      <w:bookmarkStart w:id="737" w:name="_Toc195842927"/>
      <w:bookmarkStart w:id="738" w:name="_Toc226337258"/>
      <w:bookmarkStart w:id="739" w:name="_Toc142311062"/>
      <w:bookmarkStart w:id="740" w:name="_Toc264969252"/>
      <w:bookmarkStart w:id="741" w:name="_Toc265228400"/>
      <w:bookmarkStart w:id="742" w:name="_Toc127151562"/>
      <w:bookmarkStart w:id="743" w:name="_Toc305158830"/>
      <w:bookmarkStart w:id="744" w:name="_Toc305158904"/>
      <w:bookmarkStart w:id="745" w:name="_Toc226965835"/>
      <w:bookmarkStart w:id="746" w:name="_Toc150774765"/>
      <w:bookmarkStart w:id="747" w:name="_Toc305158903"/>
      <w:bookmarkStart w:id="748" w:name="_Toc195842926"/>
      <w:bookmarkStart w:id="749" w:name="_Toc127151561"/>
      <w:bookmarkStart w:id="750" w:name="_Toc226309805"/>
      <w:bookmarkStart w:id="751" w:name="_Toc142311061"/>
      <w:bookmarkStart w:id="752" w:name="_Toc150774764"/>
      <w:bookmarkStart w:id="753" w:name="_Toc226965834"/>
      <w:bookmarkStart w:id="754" w:name="_Toc226337257"/>
      <w:bookmarkStart w:id="755" w:name="_Toc264969251"/>
      <w:bookmarkStart w:id="756" w:name="_Toc226965751"/>
      <w:bookmarkStart w:id="757" w:name="_Toc305158829"/>
      <w:bookmarkStart w:id="758" w:name="_Toc150480797"/>
      <w:bookmarkStart w:id="759" w:name="_Toc265228399"/>
      <w:r>
        <w:rPr>
          <w:rFonts w:hint="eastAsia" w:ascii="宋体" w:hAnsi="宋体"/>
          <w:color w:val="000000"/>
          <w:sz w:val="24"/>
          <w:szCs w:val="20"/>
        </w:rPr>
        <w:t>5</w:t>
      </w:r>
      <w:r>
        <w:rPr>
          <w:rFonts w:ascii="宋体" w:hAnsi="宋体"/>
          <w:color w:val="000000"/>
          <w:sz w:val="24"/>
          <w:szCs w:val="20"/>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项目第四章采购需求</w:t>
            </w:r>
            <w:r>
              <w:rPr>
                <w:rFonts w:ascii="宋体" w:hAnsi="宋体"/>
                <w:b/>
                <w:color w:val="000000"/>
                <w:sz w:val="24"/>
              </w:rPr>
              <w:t>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1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3"/>
        <w:spacing w:line="360" w:lineRule="auto"/>
        <w:rPr>
          <w:rFonts w:hint="eastAsia" w:hAnsi="宋体" w:eastAsia="宋体"/>
          <w:sz w:val="24"/>
          <w:szCs w:val="24"/>
          <w:lang w:eastAsia="zh-CN"/>
        </w:rPr>
      </w:pPr>
      <w:r>
        <w:rPr>
          <w:rFonts w:hAnsi="宋体"/>
          <w:sz w:val="24"/>
          <w:szCs w:val="24"/>
        </w:rPr>
        <w:t>　　一、根据《中华人民共和国中小企业促进法》和《国务院关于进一步促进中小企业发展的若干意见》(国发〔2009〕36号)，制定本规定。</w:t>
      </w:r>
    </w:p>
    <w:p>
      <w:pPr>
        <w:pStyle w:val="23"/>
        <w:spacing w:line="360" w:lineRule="auto"/>
        <w:rPr>
          <w:rFonts w:hint="eastAsia" w:hAnsi="宋体" w:eastAsia="宋体"/>
          <w:sz w:val="24"/>
          <w:szCs w:val="24"/>
          <w:lang w:eastAsia="zh-CN"/>
        </w:rPr>
      </w:pPr>
      <w:r>
        <w:rPr>
          <w:rFonts w:hAnsi="宋体"/>
          <w:sz w:val="24"/>
          <w:szCs w:val="24"/>
        </w:rPr>
        <w:t>　　二、中小企业划分为中型、小型、微型三种类型，具体标准根据企业从业人员、营业收入、资产总额等指标，结合行业特点制定。</w:t>
      </w:r>
    </w:p>
    <w:p>
      <w:pPr>
        <w:pStyle w:val="23"/>
        <w:spacing w:line="360" w:lineRule="auto"/>
        <w:rPr>
          <w:rFonts w:hint="eastAsia" w:hAnsi="宋体" w:eastAsia="宋体"/>
          <w:sz w:val="24"/>
          <w:szCs w:val="24"/>
          <w:lang w:eastAsia="zh-CN"/>
        </w:rPr>
      </w:pP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3"/>
        <w:spacing w:line="360" w:lineRule="auto"/>
        <w:rPr>
          <w:rFonts w:hint="eastAsia" w:hAnsi="宋体" w:eastAsia="宋体"/>
          <w:sz w:val="24"/>
          <w:szCs w:val="24"/>
          <w:lang w:eastAsia="zh-CN"/>
        </w:rPr>
      </w:pPr>
      <w:r>
        <w:rPr>
          <w:rFonts w:hAnsi="宋体"/>
          <w:sz w:val="24"/>
          <w:szCs w:val="24"/>
        </w:rPr>
        <w:t>　　四、各行业划型标准为：</w:t>
      </w:r>
    </w:p>
    <w:p>
      <w:pPr>
        <w:pStyle w:val="23"/>
        <w:spacing w:line="360" w:lineRule="auto"/>
        <w:rPr>
          <w:rFonts w:hint="eastAsia" w:hAnsi="宋体" w:eastAsia="宋体"/>
          <w:sz w:val="24"/>
          <w:szCs w:val="24"/>
          <w:lang w:eastAsia="zh-CN"/>
        </w:rPr>
      </w:pP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p>
    <w:p>
      <w:pPr>
        <w:pStyle w:val="23"/>
        <w:spacing w:line="360" w:lineRule="auto"/>
        <w:rPr>
          <w:rFonts w:hint="eastAsia" w:hAnsi="宋体" w:eastAsia="宋体"/>
          <w:sz w:val="24"/>
          <w:szCs w:val="24"/>
          <w:lang w:eastAsia="zh-CN"/>
        </w:rPr>
      </w:pP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3"/>
        <w:spacing w:line="360" w:lineRule="auto"/>
        <w:rPr>
          <w:rFonts w:hint="eastAsia" w:hAnsi="宋体" w:eastAsia="宋体"/>
          <w:sz w:val="24"/>
          <w:szCs w:val="24"/>
          <w:lang w:eastAsia="zh-CN"/>
        </w:rPr>
      </w:pP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3"/>
        <w:spacing w:line="360" w:lineRule="auto"/>
        <w:rPr>
          <w:rFonts w:hint="eastAsia" w:hAnsi="宋体" w:eastAsia="宋体"/>
          <w:sz w:val="24"/>
          <w:szCs w:val="24"/>
          <w:lang w:eastAsia="zh-CN"/>
        </w:rPr>
      </w:pP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3"/>
        <w:spacing w:line="360" w:lineRule="auto"/>
        <w:rPr>
          <w:rFonts w:hint="eastAsia" w:hAnsi="宋体" w:eastAsia="宋体"/>
          <w:sz w:val="24"/>
          <w:szCs w:val="24"/>
          <w:lang w:eastAsia="zh-CN"/>
        </w:rPr>
      </w:pP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3"/>
        <w:spacing w:line="360" w:lineRule="auto"/>
        <w:rPr>
          <w:rFonts w:hint="eastAsia" w:hAnsi="宋体" w:eastAsia="宋体"/>
          <w:sz w:val="24"/>
          <w:szCs w:val="24"/>
          <w:lang w:eastAsia="zh-CN"/>
        </w:rPr>
      </w:pP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3"/>
        <w:spacing w:line="360" w:lineRule="auto"/>
        <w:rPr>
          <w:rFonts w:hint="eastAsia" w:hAnsi="宋体" w:eastAsia="宋体"/>
          <w:sz w:val="24"/>
          <w:szCs w:val="24"/>
          <w:lang w:eastAsia="zh-CN"/>
        </w:rPr>
      </w:pP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3"/>
        <w:spacing w:line="360" w:lineRule="auto"/>
        <w:rPr>
          <w:rFonts w:hint="eastAsia" w:hAnsi="宋体" w:eastAsia="宋体"/>
          <w:sz w:val="24"/>
          <w:szCs w:val="24"/>
          <w:lang w:eastAsia="zh-CN"/>
        </w:rPr>
      </w:pP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3"/>
        <w:spacing w:line="360" w:lineRule="auto"/>
        <w:rPr>
          <w:rFonts w:hint="eastAsia" w:hAnsi="宋体" w:eastAsia="宋体"/>
          <w:sz w:val="24"/>
          <w:szCs w:val="24"/>
          <w:lang w:eastAsia="zh-CN"/>
        </w:rPr>
      </w:pP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3"/>
        <w:spacing w:line="360" w:lineRule="auto"/>
        <w:rPr>
          <w:rFonts w:hint="eastAsia" w:hAnsi="宋体" w:eastAsia="宋体"/>
          <w:sz w:val="24"/>
          <w:szCs w:val="24"/>
          <w:lang w:eastAsia="zh-CN"/>
        </w:rPr>
      </w:pP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3"/>
        <w:spacing w:line="360" w:lineRule="auto"/>
        <w:rPr>
          <w:rFonts w:hint="eastAsia" w:hAnsi="宋体" w:eastAsia="宋体"/>
          <w:sz w:val="24"/>
          <w:szCs w:val="24"/>
          <w:lang w:eastAsia="zh-CN"/>
        </w:rPr>
      </w:pP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3"/>
        <w:spacing w:line="360" w:lineRule="auto"/>
        <w:rPr>
          <w:rFonts w:hint="eastAsia" w:hAnsi="宋体" w:eastAsia="宋体"/>
          <w:sz w:val="24"/>
          <w:szCs w:val="24"/>
          <w:lang w:eastAsia="zh-CN"/>
        </w:rPr>
      </w:pP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3"/>
        <w:spacing w:line="360" w:lineRule="auto"/>
        <w:rPr>
          <w:rFonts w:hint="eastAsia" w:hAnsi="宋体" w:eastAsia="宋体"/>
          <w:sz w:val="24"/>
          <w:szCs w:val="24"/>
          <w:lang w:eastAsia="zh-CN"/>
        </w:rPr>
      </w:pP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3"/>
        <w:spacing w:line="360" w:lineRule="auto"/>
        <w:rPr>
          <w:rFonts w:hint="eastAsia" w:hAnsi="宋体" w:eastAsia="宋体"/>
          <w:sz w:val="24"/>
          <w:szCs w:val="24"/>
          <w:lang w:eastAsia="zh-CN"/>
        </w:rPr>
      </w:pP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3"/>
        <w:spacing w:line="360" w:lineRule="auto"/>
        <w:rPr>
          <w:rFonts w:hint="eastAsia" w:hAnsi="宋体" w:eastAsia="宋体"/>
          <w:sz w:val="24"/>
          <w:szCs w:val="24"/>
          <w:lang w:eastAsia="zh-CN"/>
        </w:rPr>
      </w:pP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3"/>
        <w:spacing w:line="360" w:lineRule="auto"/>
        <w:rPr>
          <w:rFonts w:hint="eastAsia" w:hAnsi="宋体" w:eastAsia="宋体"/>
          <w:b/>
          <w:bCs/>
          <w:sz w:val="24"/>
          <w:szCs w:val="24"/>
          <w:lang w:eastAsia="zh-CN"/>
        </w:rPr>
      </w:pPr>
      <w:r>
        <w:rPr>
          <w:rFonts w:hAnsi="宋体"/>
          <w:b/>
          <w:bCs/>
          <w:sz w:val="24"/>
          <w:szCs w:val="24"/>
        </w:rPr>
        <w:t>　　（十六）其他未列明行业。从业人员300人以下的为中小微型企业。其中，从业人员100人及以上的为中型企业；从业人员10人及以上的为小型企业；从业人员10人以下的为微型企业。</w:t>
      </w:r>
    </w:p>
    <w:p>
      <w:pPr>
        <w:pStyle w:val="23"/>
        <w:spacing w:line="360" w:lineRule="auto"/>
        <w:rPr>
          <w:rFonts w:hint="eastAsia" w:hAnsi="宋体" w:eastAsia="宋体"/>
          <w:sz w:val="24"/>
          <w:szCs w:val="24"/>
          <w:lang w:eastAsia="zh-CN"/>
        </w:rPr>
      </w:pPr>
      <w:r>
        <w:rPr>
          <w:rFonts w:hAnsi="宋体"/>
          <w:sz w:val="24"/>
          <w:szCs w:val="24"/>
        </w:rPr>
        <w:t>　　五、企业类型的划分以统计部门的统计数据为依据。</w:t>
      </w:r>
    </w:p>
    <w:p>
      <w:pPr>
        <w:pStyle w:val="23"/>
        <w:spacing w:line="360" w:lineRule="auto"/>
        <w:rPr>
          <w:rFonts w:hint="eastAsia" w:hAnsi="宋体" w:eastAsia="宋体"/>
          <w:sz w:val="24"/>
          <w:szCs w:val="24"/>
          <w:lang w:eastAsia="zh-CN"/>
        </w:rPr>
      </w:pPr>
      <w:r>
        <w:rPr>
          <w:rFonts w:hAnsi="宋体"/>
          <w:sz w:val="24"/>
          <w:szCs w:val="24"/>
        </w:rPr>
        <w:t>　　六、本规定适用于在中华人民共和国境内依法设立的各类所有制和各种组织形式的企业。个体工商户和本规定以外的行业，参照本规定进行划型。</w:t>
      </w:r>
    </w:p>
    <w:p>
      <w:pPr>
        <w:pStyle w:val="23"/>
        <w:spacing w:line="360" w:lineRule="auto"/>
        <w:rPr>
          <w:rFonts w:hint="eastAsia" w:hAnsi="宋体" w:eastAsia="宋体"/>
          <w:sz w:val="24"/>
          <w:szCs w:val="24"/>
          <w:lang w:eastAsia="zh-CN"/>
        </w:rPr>
      </w:pP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23"/>
        <w:spacing w:line="360" w:lineRule="auto"/>
        <w:rPr>
          <w:rFonts w:hint="eastAsia" w:hAnsi="宋体" w:eastAsia="宋体"/>
          <w:sz w:val="24"/>
          <w:szCs w:val="24"/>
          <w:lang w:eastAsia="zh-CN"/>
        </w:rPr>
      </w:pPr>
      <w:r>
        <w:rPr>
          <w:rFonts w:hAnsi="宋体"/>
          <w:sz w:val="24"/>
          <w:szCs w:val="24"/>
        </w:rPr>
        <w:t>　　八、本规定由工业和信息化部、国家统计局会同有关部门根据《国民经济行业分类》修订情况和企业发展变化情况适时修订。</w:t>
      </w:r>
    </w:p>
    <w:p>
      <w:pPr>
        <w:pStyle w:val="23"/>
        <w:spacing w:line="360" w:lineRule="auto"/>
        <w:rPr>
          <w:rFonts w:hint="eastAsia" w:hAnsi="宋体" w:eastAsia="宋体"/>
          <w:sz w:val="24"/>
          <w:szCs w:val="24"/>
          <w:lang w:eastAsia="zh-CN"/>
        </w:rPr>
      </w:pPr>
      <w:r>
        <w:rPr>
          <w:rFonts w:hAnsi="宋体"/>
          <w:sz w:val="24"/>
          <w:szCs w:val="24"/>
        </w:rPr>
        <w:t>　　九、本规定由工业和信息化部、国家统计局会同有关部门负责解释。</w:t>
      </w:r>
    </w:p>
    <w:p>
      <w:pPr>
        <w:pStyle w:val="23"/>
        <w:spacing w:line="360" w:lineRule="auto"/>
        <w:rPr>
          <w:rFonts w:hint="default" w:hAnsi="宋体"/>
          <w:sz w:val="24"/>
          <w:szCs w:val="24"/>
        </w:rPr>
      </w:pP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单位名称</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lang w:val="zh-CN"/>
              </w:rPr>
            </w:pPr>
            <w:r>
              <w:rPr>
                <w:szCs w:val="21"/>
                <w:lang w:val="zh-CN"/>
              </w:rPr>
              <w:t>法定代表人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lang w:val="zh-CN"/>
              </w:rPr>
            </w:pPr>
            <w:r>
              <w:rPr>
                <w:szCs w:val="21"/>
                <w:lang w:val="zh-CN"/>
              </w:rPr>
              <w:t>注册资金</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单位性质</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成立时间</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单位地址</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szCs w:val="21"/>
              </w:rPr>
            </w:pPr>
            <w:r>
              <w:rPr>
                <w:szCs w:val="21"/>
                <w:lang w:val="zh-CN"/>
              </w:rPr>
              <w:t>经营范围</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开户银行</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rPr>
              <w:t>银行账户</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联系人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联系电话</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szCs w:val="21"/>
              </w:rPr>
            </w:pPr>
            <w:r>
              <w:rPr>
                <w:szCs w:val="21"/>
                <w:lang w:val="zh-CN"/>
              </w:rPr>
              <w:t>基本情况</w:t>
            </w:r>
          </w:p>
        </w:tc>
        <w:tc>
          <w:tcPr>
            <w:tcW w:w="6071" w:type="dxa"/>
            <w:gridSpan w:val="3"/>
            <w:vAlign w:val="center"/>
          </w:tcPr>
          <w:p>
            <w:pPr>
              <w:spacing w:line="360" w:lineRule="auto"/>
              <w:ind w:right="-197" w:rightChars="-94"/>
              <w:jc w:val="center"/>
              <w:rPr>
                <w:szCs w:val="21"/>
              </w:rPr>
            </w:pPr>
          </w:p>
        </w:tc>
      </w:tr>
    </w:tbl>
    <w:p>
      <w:pPr>
        <w:spacing w:line="360" w:lineRule="auto"/>
        <w:ind w:right="-57" w:rightChars="-27"/>
        <w:jc w:val="left"/>
        <w:rPr>
          <w:szCs w:val="21"/>
          <w:lang w:val="zh-CN"/>
        </w:rPr>
      </w:pPr>
    </w:p>
    <w:p>
      <w:pPr>
        <w:widowControl/>
        <w:jc w:val="left"/>
        <w:rPr>
          <w:szCs w:val="21"/>
        </w:rPr>
      </w:pPr>
      <w:r>
        <w:rPr>
          <w:szCs w:val="21"/>
        </w:rPr>
        <w:br w:type="page"/>
      </w:r>
    </w:p>
    <w:p>
      <w:pPr>
        <w:pStyle w:val="7"/>
        <w:spacing w:line="480" w:lineRule="exact"/>
        <w:ind w:left="899" w:hanging="899"/>
        <w:jc w:val="both"/>
        <w:rPr>
          <w:b w:val="0"/>
          <w:bCs/>
          <w:u w:val="none"/>
        </w:rPr>
      </w:pPr>
      <w:bookmarkStart w:id="760" w:name="_Toc482104386"/>
      <w:r>
        <w:rPr>
          <w:rFonts w:hint="eastAsia" w:ascii="Times New Roman"/>
          <w:b w:val="0"/>
          <w:bCs/>
          <w:u w:val="none"/>
        </w:rPr>
        <w:t xml:space="preserve">10.2 </w:t>
      </w:r>
      <w:bookmarkStart w:id="761" w:name="_Toc358538376"/>
      <w:bookmarkStart w:id="762" w:name="_Toc493975502"/>
      <w:r>
        <w:rPr>
          <w:b w:val="0"/>
          <w:bCs/>
          <w:u w:val="none"/>
        </w:rPr>
        <w:t>拟派项目</w:t>
      </w:r>
      <w:r>
        <w:rPr>
          <w:rFonts w:hint="eastAsia"/>
          <w:b w:val="0"/>
          <w:bCs/>
          <w:u w:val="none"/>
        </w:rPr>
        <w:t>经理</w:t>
      </w:r>
      <w:r>
        <w:rPr>
          <w:b w:val="0"/>
          <w:bCs/>
          <w:u w:val="none"/>
        </w:rPr>
        <w:t>资格声明</w:t>
      </w:r>
      <w:bookmarkEnd w:id="761"/>
      <w:bookmarkEnd w:id="762"/>
    </w:p>
    <w:p>
      <w:pPr>
        <w:spacing w:line="360" w:lineRule="auto"/>
        <w:rPr>
          <w:rFonts w:ascii="宋体" w:hAnsi="宋体"/>
          <w:sz w:val="24"/>
        </w:rPr>
      </w:pPr>
      <w:r>
        <w:rPr>
          <w:rFonts w:hint="eastAsia" w:ascii="宋体" w:hAnsi="宋体"/>
          <w:sz w:val="24"/>
        </w:rPr>
        <w:t>项目名称：</w:t>
      </w:r>
    </w:p>
    <w:p>
      <w:pPr>
        <w:spacing w:line="360" w:lineRule="auto"/>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姓名</w:t>
            </w:r>
          </w:p>
        </w:tc>
        <w:tc>
          <w:tcPr>
            <w:tcW w:w="3042" w:type="dxa"/>
            <w:vAlign w:val="center"/>
          </w:tcPr>
          <w:p>
            <w:pPr>
              <w:spacing w:line="360" w:lineRule="auto"/>
              <w:rPr>
                <w:rFonts w:ascii="宋体" w:hAnsi="宋体"/>
                <w:sz w:val="24"/>
              </w:rPr>
            </w:pPr>
          </w:p>
        </w:tc>
        <w:tc>
          <w:tcPr>
            <w:tcW w:w="3079" w:type="dxa"/>
            <w:vAlign w:val="center"/>
          </w:tcPr>
          <w:p>
            <w:pPr>
              <w:spacing w:line="360" w:lineRule="auto"/>
              <w:jc w:val="center"/>
              <w:rPr>
                <w:rFonts w:ascii="宋体" w:hAnsi="宋体"/>
                <w:sz w:val="24"/>
              </w:rPr>
            </w:pPr>
            <w:r>
              <w:rPr>
                <w:rFonts w:hint="eastAsia" w:ascii="宋体" w:hAnsi="宋体"/>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性别</w:t>
            </w:r>
          </w:p>
        </w:tc>
        <w:tc>
          <w:tcPr>
            <w:tcW w:w="3042" w:type="dxa"/>
            <w:vAlign w:val="center"/>
          </w:tcPr>
          <w:p>
            <w:pPr>
              <w:spacing w:line="360" w:lineRule="auto"/>
              <w:rPr>
                <w:rFonts w:ascii="宋体" w:hAnsi="宋体"/>
                <w:sz w:val="24"/>
              </w:rPr>
            </w:pPr>
          </w:p>
        </w:tc>
        <w:tc>
          <w:tcPr>
            <w:tcW w:w="3079" w:type="dxa"/>
            <w:vMerge w:val="restar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年龄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专业</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学历</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工龄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职务</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从事本岗位工作时间</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联系电话</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注：附</w:t>
      </w:r>
      <w:bookmarkStart w:id="763" w:name="_Hlk132972530"/>
      <w:r>
        <w:rPr>
          <w:rFonts w:hint="eastAsia" w:ascii="宋体" w:hAnsi="宋体"/>
          <w:sz w:val="24"/>
        </w:rPr>
        <w:t>学历证书，资格证书</w:t>
      </w:r>
      <w:bookmarkEnd w:id="763"/>
      <w:r>
        <w:rPr>
          <w:rFonts w:hint="eastAsia" w:ascii="宋体" w:hAnsi="宋体"/>
          <w:sz w:val="24"/>
        </w:rPr>
        <w:t>等证明文件的复印件。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tabs>
          <w:tab w:val="left" w:pos="360"/>
        </w:tabs>
        <w:snapToGrid w:val="0"/>
        <w:spacing w:line="360" w:lineRule="auto"/>
        <w:outlineLvl w:val="1"/>
        <w:rPr>
          <w:sz w:val="24"/>
        </w:rPr>
      </w:pPr>
    </w:p>
    <w:p>
      <w:pPr>
        <w:rPr>
          <w:sz w:val="24"/>
        </w:rPr>
      </w:pPr>
      <w:r>
        <w:rPr>
          <w:rFonts w:hint="eastAsia"/>
          <w:sz w:val="24"/>
        </w:rPr>
        <w:br w:type="page"/>
      </w:r>
    </w:p>
    <w:p>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60"/>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szCs w:val="21"/>
              </w:rPr>
            </w:pPr>
            <w:r>
              <w:rPr>
                <w:bCs/>
                <w:szCs w:val="21"/>
              </w:rPr>
              <w:t>序号</w:t>
            </w:r>
          </w:p>
        </w:tc>
        <w:tc>
          <w:tcPr>
            <w:tcW w:w="992" w:type="dxa"/>
            <w:vAlign w:val="center"/>
          </w:tcPr>
          <w:p>
            <w:pPr>
              <w:adjustRightInd w:val="0"/>
              <w:snapToGrid w:val="0"/>
              <w:spacing w:after="120" w:afterLines="50" w:line="360" w:lineRule="auto"/>
              <w:jc w:val="center"/>
              <w:rPr>
                <w:bCs/>
                <w:szCs w:val="21"/>
              </w:rPr>
            </w:pPr>
            <w:r>
              <w:rPr>
                <w:bCs/>
                <w:szCs w:val="21"/>
              </w:rPr>
              <w:t>姓名</w:t>
            </w:r>
          </w:p>
        </w:tc>
        <w:tc>
          <w:tcPr>
            <w:tcW w:w="1134" w:type="dxa"/>
            <w:vAlign w:val="center"/>
          </w:tcPr>
          <w:p>
            <w:pPr>
              <w:adjustRightInd w:val="0"/>
              <w:snapToGrid w:val="0"/>
              <w:spacing w:after="120" w:afterLines="50" w:line="360" w:lineRule="auto"/>
              <w:jc w:val="center"/>
              <w:rPr>
                <w:bCs/>
                <w:szCs w:val="21"/>
              </w:rPr>
            </w:pPr>
            <w:r>
              <w:rPr>
                <w:bCs/>
                <w:szCs w:val="21"/>
              </w:rPr>
              <w:t>年龄</w:t>
            </w:r>
          </w:p>
        </w:tc>
        <w:tc>
          <w:tcPr>
            <w:tcW w:w="1276" w:type="dxa"/>
            <w:vAlign w:val="center"/>
          </w:tcPr>
          <w:p>
            <w:pPr>
              <w:adjustRightInd w:val="0"/>
              <w:snapToGrid w:val="0"/>
              <w:spacing w:after="120" w:afterLines="50" w:line="360" w:lineRule="auto"/>
              <w:jc w:val="center"/>
              <w:rPr>
                <w:bCs/>
                <w:szCs w:val="21"/>
              </w:rPr>
            </w:pPr>
            <w:r>
              <w:rPr>
                <w:bCs/>
                <w:szCs w:val="21"/>
              </w:rPr>
              <w:t>学历</w:t>
            </w:r>
          </w:p>
        </w:tc>
        <w:tc>
          <w:tcPr>
            <w:tcW w:w="1417" w:type="dxa"/>
            <w:vAlign w:val="center"/>
          </w:tcPr>
          <w:p>
            <w:pPr>
              <w:adjustRightInd w:val="0"/>
              <w:snapToGrid w:val="0"/>
              <w:spacing w:after="120" w:afterLines="50" w:line="360" w:lineRule="auto"/>
              <w:jc w:val="center"/>
              <w:rPr>
                <w:bCs/>
                <w:szCs w:val="21"/>
              </w:rPr>
            </w:pPr>
            <w:r>
              <w:rPr>
                <w:bCs/>
                <w:szCs w:val="21"/>
              </w:rPr>
              <w:t>本项目职责分工</w:t>
            </w:r>
          </w:p>
        </w:tc>
        <w:tc>
          <w:tcPr>
            <w:tcW w:w="1843" w:type="dxa"/>
            <w:vAlign w:val="center"/>
          </w:tcPr>
          <w:p>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pPr>
              <w:adjustRightInd w:val="0"/>
              <w:snapToGrid w:val="0"/>
              <w:spacing w:after="120" w:afterLines="50" w:line="360" w:lineRule="auto"/>
              <w:jc w:val="center"/>
              <w:rPr>
                <w:bCs/>
                <w:szCs w:val="21"/>
              </w:rPr>
            </w:pPr>
            <w:r>
              <w:rPr>
                <w:bCs/>
                <w:szCs w:val="21"/>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bl>
    <w:p>
      <w:pPr>
        <w:spacing w:line="360" w:lineRule="auto"/>
        <w:rPr>
          <w:sz w:val="24"/>
        </w:rPr>
      </w:pPr>
    </w:p>
    <w:p>
      <w:pPr>
        <w:spacing w:line="360" w:lineRule="auto"/>
        <w:rPr>
          <w:szCs w:val="21"/>
        </w:rPr>
      </w:pPr>
      <w:r>
        <w:rPr>
          <w:szCs w:val="21"/>
        </w:rPr>
        <w:t>备注：</w:t>
      </w:r>
      <w:r>
        <w:rPr>
          <w:rFonts w:hint="eastAsia"/>
          <w:szCs w:val="21"/>
          <w:lang w:val="en-US" w:eastAsia="zh-CN"/>
        </w:rPr>
        <w:t>可</w:t>
      </w:r>
      <w:r>
        <w:rPr>
          <w:szCs w:val="21"/>
        </w:rPr>
        <w:t>附项目团队人员的职称证</w:t>
      </w:r>
      <w:r>
        <w:rPr>
          <w:rFonts w:hint="eastAsia"/>
          <w:szCs w:val="21"/>
        </w:rPr>
        <w:t>（若有）</w:t>
      </w:r>
      <w:r>
        <w:rPr>
          <w:szCs w:val="21"/>
        </w:rPr>
        <w:t>、</w:t>
      </w:r>
      <w:r>
        <w:rPr>
          <w:rFonts w:hint="eastAsia"/>
          <w:szCs w:val="21"/>
        </w:rPr>
        <w:t>职业资格证书（若有）、</w:t>
      </w:r>
      <w:r>
        <w:rPr>
          <w:szCs w:val="21"/>
        </w:rPr>
        <w:t>相关资料复印件并加盖供应商公章。</w:t>
      </w:r>
    </w:p>
    <w:p>
      <w:pPr>
        <w:spacing w:line="360" w:lineRule="auto"/>
        <w:rPr>
          <w:szCs w:val="21"/>
        </w:rPr>
      </w:pPr>
    </w:p>
    <w:p>
      <w:pPr>
        <w:widowControl/>
        <w:jc w:val="left"/>
        <w:rPr>
          <w:szCs w:val="21"/>
        </w:rPr>
      </w:pPr>
      <w:r>
        <w:rPr>
          <w:szCs w:val="21"/>
        </w:rPr>
        <w:br w:type="page"/>
      </w:r>
    </w:p>
    <w:p>
      <w:pPr>
        <w:tabs>
          <w:tab w:val="left" w:pos="360"/>
        </w:tabs>
        <w:snapToGrid w:val="0"/>
        <w:spacing w:line="360" w:lineRule="auto"/>
        <w:outlineLvl w:val="1"/>
        <w:rPr>
          <w:sz w:val="24"/>
        </w:rPr>
      </w:pPr>
      <w:r>
        <w:rPr>
          <w:rFonts w:hint="eastAsia"/>
          <w:sz w:val="24"/>
        </w:rPr>
        <w:t>10.4 服务方案及承诺</w:t>
      </w:r>
    </w:p>
    <w:p>
      <w:pPr>
        <w:spacing w:line="360" w:lineRule="auto"/>
        <w:rPr>
          <w:szCs w:val="21"/>
        </w:rPr>
      </w:pPr>
    </w:p>
    <w:p>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p>
  <w:p>
    <w:pPr>
      <w:pStyle w:val="2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86B54"/>
    <w:multiLevelType w:val="singleLevel"/>
    <w:tmpl w:val="C7C86B54"/>
    <w:lvl w:ilvl="0" w:tentative="0">
      <w:start w:val="4"/>
      <w:numFmt w:val="chineseCounting"/>
      <w:suff w:val="space"/>
      <w:lvlText w:val="%1、"/>
      <w:lvlJc w:val="left"/>
      <w:rPr>
        <w:rFonts w:hint="eastAsia"/>
      </w:rPr>
    </w:lvl>
  </w:abstractNum>
  <w:abstractNum w:abstractNumId="1">
    <w:nsid w:val="F9BA7558"/>
    <w:multiLevelType w:val="singleLevel"/>
    <w:tmpl w:val="F9BA7558"/>
    <w:lvl w:ilvl="0" w:tentative="0">
      <w:start w:val="7"/>
      <w:numFmt w:val="chineseCounting"/>
      <w:suff w:val="space"/>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91FBA24"/>
    <w:multiLevelType w:val="singleLevel"/>
    <w:tmpl w:val="091FBA24"/>
    <w:lvl w:ilvl="0" w:tentative="0">
      <w:start w:val="11"/>
      <w:numFmt w:val="chineseCounting"/>
      <w:suff w:val="space"/>
      <w:lvlText w:val="%1、"/>
      <w:lvlJc w:val="left"/>
      <w:rPr>
        <w:rFonts w:hint="eastAsia"/>
      </w:rPr>
    </w:lvl>
  </w:abstractNum>
  <w:abstractNum w:abstractNumId="12">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ECF2678"/>
    <w:multiLevelType w:val="singleLevel"/>
    <w:tmpl w:val="6ECF2678"/>
    <w:lvl w:ilvl="0" w:tentative="0">
      <w:start w:val="2"/>
      <w:numFmt w:val="decimal"/>
      <w:lvlText w:val="%1."/>
      <w:lvlJc w:val="left"/>
      <w:pPr>
        <w:tabs>
          <w:tab w:val="left" w:pos="312"/>
        </w:tabs>
      </w:pPr>
    </w:lvl>
  </w:abstractNum>
  <w:abstractNum w:abstractNumId="17">
    <w:nsid w:val="783BAD45"/>
    <w:multiLevelType w:val="singleLevel"/>
    <w:tmpl w:val="783BAD45"/>
    <w:lvl w:ilvl="0" w:tentative="0">
      <w:start w:val="7"/>
      <w:numFmt w:val="decimal"/>
      <w:lvlText w:val="%1."/>
      <w:lvlJc w:val="left"/>
      <w:pPr>
        <w:tabs>
          <w:tab w:val="left" w:pos="312"/>
        </w:tabs>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2"/>
  </w:num>
  <w:num w:numId="10">
    <w:abstractNumId w:val="13"/>
  </w:num>
  <w:num w:numId="11">
    <w:abstractNumId w:val="0"/>
  </w:num>
  <w:num w:numId="12">
    <w:abstractNumId w:val="1"/>
  </w:num>
  <w:num w:numId="13">
    <w:abstractNumId w:val="11"/>
  </w:num>
  <w:num w:numId="14">
    <w:abstractNumId w:val="17"/>
  </w:num>
  <w:num w:numId="15">
    <w:abstractNumId w:val="16"/>
  </w:num>
  <w:num w:numId="16">
    <w:abstractNumId w:val="1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6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61C"/>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2AD"/>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C0528B"/>
    <w:rsid w:val="01E50CD4"/>
    <w:rsid w:val="01F676FE"/>
    <w:rsid w:val="021961D5"/>
    <w:rsid w:val="02DB3BAC"/>
    <w:rsid w:val="039B4674"/>
    <w:rsid w:val="03CF1D81"/>
    <w:rsid w:val="03D54514"/>
    <w:rsid w:val="04E76A39"/>
    <w:rsid w:val="05046312"/>
    <w:rsid w:val="050B015A"/>
    <w:rsid w:val="06B15458"/>
    <w:rsid w:val="06B36054"/>
    <w:rsid w:val="06CA2581"/>
    <w:rsid w:val="086F2D5A"/>
    <w:rsid w:val="0892652D"/>
    <w:rsid w:val="08E95A46"/>
    <w:rsid w:val="08F64DC1"/>
    <w:rsid w:val="098346AE"/>
    <w:rsid w:val="0ACB4F8A"/>
    <w:rsid w:val="0B660C1A"/>
    <w:rsid w:val="0B7E7BCB"/>
    <w:rsid w:val="0C111AB4"/>
    <w:rsid w:val="0C260F5E"/>
    <w:rsid w:val="0C744089"/>
    <w:rsid w:val="0D7511DD"/>
    <w:rsid w:val="0EA43C9D"/>
    <w:rsid w:val="108D4A90"/>
    <w:rsid w:val="10C469AA"/>
    <w:rsid w:val="11A27083"/>
    <w:rsid w:val="1218482D"/>
    <w:rsid w:val="12C25655"/>
    <w:rsid w:val="14546E73"/>
    <w:rsid w:val="147B3A1F"/>
    <w:rsid w:val="14A805EB"/>
    <w:rsid w:val="16E757FC"/>
    <w:rsid w:val="17F93E0B"/>
    <w:rsid w:val="18CF371B"/>
    <w:rsid w:val="195831AD"/>
    <w:rsid w:val="19C51253"/>
    <w:rsid w:val="19D011E4"/>
    <w:rsid w:val="1A3F2538"/>
    <w:rsid w:val="1AE14356"/>
    <w:rsid w:val="1B642891"/>
    <w:rsid w:val="1C455CA5"/>
    <w:rsid w:val="1C67088B"/>
    <w:rsid w:val="1CF25113"/>
    <w:rsid w:val="1D1400E0"/>
    <w:rsid w:val="1D2C69D2"/>
    <w:rsid w:val="1F02073C"/>
    <w:rsid w:val="1F8908C4"/>
    <w:rsid w:val="1FC63C3B"/>
    <w:rsid w:val="200603BB"/>
    <w:rsid w:val="2006452E"/>
    <w:rsid w:val="20582725"/>
    <w:rsid w:val="21654BDE"/>
    <w:rsid w:val="21BF509F"/>
    <w:rsid w:val="220A23E4"/>
    <w:rsid w:val="2249746C"/>
    <w:rsid w:val="237E1CC4"/>
    <w:rsid w:val="23923363"/>
    <w:rsid w:val="239E00B4"/>
    <w:rsid w:val="23E64310"/>
    <w:rsid w:val="24150AFD"/>
    <w:rsid w:val="245078F0"/>
    <w:rsid w:val="251E74A4"/>
    <w:rsid w:val="26555BF8"/>
    <w:rsid w:val="26963E40"/>
    <w:rsid w:val="26CA27B2"/>
    <w:rsid w:val="26F50752"/>
    <w:rsid w:val="270B2E3E"/>
    <w:rsid w:val="27843CE5"/>
    <w:rsid w:val="27C13545"/>
    <w:rsid w:val="28866187"/>
    <w:rsid w:val="289458C7"/>
    <w:rsid w:val="28D7264B"/>
    <w:rsid w:val="28F32B26"/>
    <w:rsid w:val="29957F18"/>
    <w:rsid w:val="2A361FCD"/>
    <w:rsid w:val="2B564267"/>
    <w:rsid w:val="2B801853"/>
    <w:rsid w:val="2C8165C4"/>
    <w:rsid w:val="2E39347F"/>
    <w:rsid w:val="2F983E1B"/>
    <w:rsid w:val="2FAF3CE7"/>
    <w:rsid w:val="2FCA7487"/>
    <w:rsid w:val="315A6669"/>
    <w:rsid w:val="32127A3F"/>
    <w:rsid w:val="32923F98"/>
    <w:rsid w:val="32CD6EEC"/>
    <w:rsid w:val="32EB653A"/>
    <w:rsid w:val="3403387D"/>
    <w:rsid w:val="34E546E9"/>
    <w:rsid w:val="35A02441"/>
    <w:rsid w:val="35DC218F"/>
    <w:rsid w:val="37721B96"/>
    <w:rsid w:val="37B55E99"/>
    <w:rsid w:val="3A211398"/>
    <w:rsid w:val="3ACB53DA"/>
    <w:rsid w:val="3BCB6780"/>
    <w:rsid w:val="3C5F238F"/>
    <w:rsid w:val="3C9B4A65"/>
    <w:rsid w:val="3CE434A8"/>
    <w:rsid w:val="3DF140B8"/>
    <w:rsid w:val="3E091E23"/>
    <w:rsid w:val="3EA515C9"/>
    <w:rsid w:val="3F91350E"/>
    <w:rsid w:val="404E15B7"/>
    <w:rsid w:val="408472AD"/>
    <w:rsid w:val="417E3DFD"/>
    <w:rsid w:val="41C0641A"/>
    <w:rsid w:val="41EE565D"/>
    <w:rsid w:val="429D124A"/>
    <w:rsid w:val="42CD0A98"/>
    <w:rsid w:val="42D101D4"/>
    <w:rsid w:val="42F44377"/>
    <w:rsid w:val="431A0C09"/>
    <w:rsid w:val="43DB7BD5"/>
    <w:rsid w:val="44824954"/>
    <w:rsid w:val="451A46E7"/>
    <w:rsid w:val="480E2158"/>
    <w:rsid w:val="48AD0F4E"/>
    <w:rsid w:val="48FB5623"/>
    <w:rsid w:val="4A15577F"/>
    <w:rsid w:val="4A3304F8"/>
    <w:rsid w:val="4A572781"/>
    <w:rsid w:val="4B5A4840"/>
    <w:rsid w:val="4B65373A"/>
    <w:rsid w:val="4B977429"/>
    <w:rsid w:val="4C4D4AF8"/>
    <w:rsid w:val="4C910630"/>
    <w:rsid w:val="4CE23492"/>
    <w:rsid w:val="4D00163A"/>
    <w:rsid w:val="4D231458"/>
    <w:rsid w:val="4DEB53B0"/>
    <w:rsid w:val="4E2D2D4B"/>
    <w:rsid w:val="4E33358C"/>
    <w:rsid w:val="4F0F5BE3"/>
    <w:rsid w:val="4F2A164C"/>
    <w:rsid w:val="4F4C553B"/>
    <w:rsid w:val="4F627D30"/>
    <w:rsid w:val="4FBB05BD"/>
    <w:rsid w:val="50245B70"/>
    <w:rsid w:val="503827BA"/>
    <w:rsid w:val="51502341"/>
    <w:rsid w:val="521C11F4"/>
    <w:rsid w:val="52410C5B"/>
    <w:rsid w:val="52422029"/>
    <w:rsid w:val="52A87B2A"/>
    <w:rsid w:val="52CC40DE"/>
    <w:rsid w:val="5300401A"/>
    <w:rsid w:val="535A5CF1"/>
    <w:rsid w:val="542115D5"/>
    <w:rsid w:val="55040901"/>
    <w:rsid w:val="55E80D0A"/>
    <w:rsid w:val="5643722D"/>
    <w:rsid w:val="5654355E"/>
    <w:rsid w:val="565F7902"/>
    <w:rsid w:val="56DF05DE"/>
    <w:rsid w:val="56F70118"/>
    <w:rsid w:val="57FC6189"/>
    <w:rsid w:val="59116B65"/>
    <w:rsid w:val="593A2F04"/>
    <w:rsid w:val="595B6AA6"/>
    <w:rsid w:val="5B69102B"/>
    <w:rsid w:val="5D7944DC"/>
    <w:rsid w:val="5E193A9C"/>
    <w:rsid w:val="5E2B5FA2"/>
    <w:rsid w:val="5E4E2182"/>
    <w:rsid w:val="5EC7698C"/>
    <w:rsid w:val="5F073306"/>
    <w:rsid w:val="5F5F73B9"/>
    <w:rsid w:val="6327439D"/>
    <w:rsid w:val="642C622B"/>
    <w:rsid w:val="65321667"/>
    <w:rsid w:val="65D67696"/>
    <w:rsid w:val="66FC119E"/>
    <w:rsid w:val="6838144E"/>
    <w:rsid w:val="6853399D"/>
    <w:rsid w:val="68AA7398"/>
    <w:rsid w:val="694903B8"/>
    <w:rsid w:val="6A1B4952"/>
    <w:rsid w:val="6A325A85"/>
    <w:rsid w:val="6ACF4B9D"/>
    <w:rsid w:val="6E7D2524"/>
    <w:rsid w:val="6F97D24A"/>
    <w:rsid w:val="7062381E"/>
    <w:rsid w:val="707B2F14"/>
    <w:rsid w:val="716C1CE5"/>
    <w:rsid w:val="71E909FE"/>
    <w:rsid w:val="728959E5"/>
    <w:rsid w:val="72D11816"/>
    <w:rsid w:val="73295C52"/>
    <w:rsid w:val="742C597A"/>
    <w:rsid w:val="74BF53EA"/>
    <w:rsid w:val="74EE0377"/>
    <w:rsid w:val="752D2C5E"/>
    <w:rsid w:val="75395CBA"/>
    <w:rsid w:val="767C665B"/>
    <w:rsid w:val="768914CC"/>
    <w:rsid w:val="77575522"/>
    <w:rsid w:val="77A56AD2"/>
    <w:rsid w:val="77AA766B"/>
    <w:rsid w:val="78B418D7"/>
    <w:rsid w:val="79186A88"/>
    <w:rsid w:val="79444E26"/>
    <w:rsid w:val="7A2F22B2"/>
    <w:rsid w:val="7BC506FF"/>
    <w:rsid w:val="7BD438AB"/>
    <w:rsid w:val="7CB50DA1"/>
    <w:rsid w:val="7D5661EE"/>
    <w:rsid w:val="7EA53C58"/>
    <w:rsid w:val="7EFD4DC3"/>
    <w:rsid w:val="7F1E197E"/>
    <w:rsid w:val="7F5301D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65"/>
    <w:autoRedefine/>
    <w:qFormat/>
    <w:uiPriority w:val="0"/>
    <w:pPr>
      <w:tabs>
        <w:tab w:val="left" w:pos="567"/>
      </w:tabs>
      <w:spacing w:before="120" w:line="22" w:lineRule="atLeast"/>
    </w:pPr>
    <w:rPr>
      <w:rFonts w:ascii="宋体" w:hAnsi="宋体"/>
      <w:sz w:val="24"/>
    </w:rPr>
  </w:style>
  <w:style w:type="paragraph" w:styleId="3">
    <w:name w:val="Body Text First Indent"/>
    <w:basedOn w:val="2"/>
    <w:next w:val="1"/>
    <w:autoRedefine/>
    <w:qFormat/>
    <w:uiPriority w:val="0"/>
    <w:pPr>
      <w:spacing w:line="360" w:lineRule="auto"/>
      <w:ind w:firstLine="420"/>
    </w:pPr>
    <w:rPr>
      <w:szCs w:val="20"/>
    </w:rPr>
  </w:style>
  <w:style w:type="paragraph" w:styleId="6">
    <w:name w:val="Normal Indent"/>
    <w:basedOn w:val="1"/>
    <w:link w:val="53"/>
    <w:autoRedefine/>
    <w:qFormat/>
    <w:uiPriority w:val="99"/>
    <w:pPr>
      <w:autoSpaceDE w:val="0"/>
      <w:autoSpaceDN w:val="0"/>
      <w:adjustRightInd w:val="0"/>
      <w:ind w:firstLine="420"/>
      <w:jc w:val="left"/>
    </w:pPr>
    <w:rPr>
      <w:rFonts w:ascii="宋体"/>
      <w:sz w:val="24"/>
    </w:rPr>
  </w:style>
  <w:style w:type="paragraph" w:customStyle="1" w:styleId="8">
    <w:name w:val="正文缩进1"/>
    <w:basedOn w:val="1"/>
    <w:autoRedefine/>
    <w:qFormat/>
    <w:uiPriority w:val="0"/>
    <w:pPr>
      <w:autoSpaceDE w:val="0"/>
      <w:autoSpaceDN w:val="0"/>
      <w:adjustRightInd w:val="0"/>
      <w:ind w:firstLine="420"/>
      <w:jc w:val="left"/>
    </w:pPr>
    <w:rPr>
      <w:rFonts w:ascii="宋体"/>
      <w:kern w:val="0"/>
      <w:sz w:val="24"/>
    </w:r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62"/>
    <w:autoRedefine/>
    <w:qFormat/>
    <w:uiPriority w:val="0"/>
    <w:pPr>
      <w:shd w:val="clear" w:color="auto" w:fill="000080"/>
    </w:pPr>
  </w:style>
  <w:style w:type="paragraph" w:styleId="17">
    <w:name w:val="annotation text"/>
    <w:basedOn w:val="1"/>
    <w:link w:val="63"/>
    <w:autoRedefine/>
    <w:qFormat/>
    <w:uiPriority w:val="99"/>
    <w:pPr>
      <w:jc w:val="left"/>
    </w:pPr>
  </w:style>
  <w:style w:type="paragraph" w:styleId="18">
    <w:name w:val="Body Text 3"/>
    <w:basedOn w:val="1"/>
    <w:link w:val="64"/>
    <w:autoRedefine/>
    <w:qFormat/>
    <w:uiPriority w:val="0"/>
    <w:pPr>
      <w:spacing w:after="120"/>
    </w:pPr>
    <w:rPr>
      <w:sz w:val="16"/>
      <w:szCs w:val="16"/>
    </w:rPr>
  </w:style>
  <w:style w:type="paragraph" w:styleId="19">
    <w:name w:val="Body Text Indent"/>
    <w:basedOn w:val="1"/>
    <w:link w:val="66"/>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69"/>
    <w:autoRedefine/>
    <w:qFormat/>
    <w:uiPriority w:val="0"/>
    <w:rPr>
      <w:rFonts w:hint="eastAsia" w:ascii="宋体" w:hAnsi="Courier New"/>
      <w:szCs w:val="20"/>
    </w:rPr>
  </w:style>
  <w:style w:type="paragraph" w:styleId="24">
    <w:name w:val="Date"/>
    <w:basedOn w:val="1"/>
    <w:next w:val="1"/>
    <w:link w:val="71"/>
    <w:autoRedefine/>
    <w:qFormat/>
    <w:uiPriority w:val="0"/>
    <w:pPr>
      <w:ind w:left="100" w:leftChars="2500"/>
    </w:pPr>
    <w:rPr>
      <w:rFonts w:ascii="仿宋_GB2312" w:hAnsi="宋体" w:eastAsia="仿宋_GB2312"/>
      <w:color w:val="000000"/>
      <w:sz w:val="24"/>
    </w:rPr>
  </w:style>
  <w:style w:type="paragraph" w:styleId="25">
    <w:name w:val="Body Text Indent 2"/>
    <w:basedOn w:val="1"/>
    <w:link w:val="72"/>
    <w:autoRedefine/>
    <w:qFormat/>
    <w:uiPriority w:val="99"/>
    <w:pPr>
      <w:ind w:firstLine="480" w:firstLineChars="200"/>
    </w:pPr>
    <w:rPr>
      <w:rFonts w:ascii="仿宋_GB2312" w:eastAsia="仿宋_GB2312"/>
      <w:sz w:val="24"/>
    </w:r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style>
  <w:style w:type="paragraph" w:styleId="30">
    <w:name w:val="Body Text Indent 3"/>
    <w:basedOn w:val="1"/>
    <w:link w:val="79"/>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autoRedefine/>
    <w:qFormat/>
    <w:uiPriority w:val="0"/>
    <w:pPr>
      <w:ind w:left="3360"/>
      <w:jc w:val="left"/>
    </w:pPr>
    <w:rPr>
      <w:szCs w:val="20"/>
    </w:rPr>
  </w:style>
  <w:style w:type="paragraph" w:styleId="3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autoRedefine/>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autoRedefine/>
    <w:qFormat/>
    <w:uiPriority w:val="0"/>
    <w:rPr>
      <w:szCs w:val="20"/>
    </w:rPr>
  </w:style>
  <w:style w:type="paragraph" w:styleId="37">
    <w:name w:val="Title"/>
    <w:basedOn w:val="1"/>
    <w:link w:val="83"/>
    <w:autoRedefine/>
    <w:qFormat/>
    <w:uiPriority w:val="0"/>
    <w:pPr>
      <w:jc w:val="center"/>
      <w:outlineLvl w:val="0"/>
    </w:pPr>
    <w:rPr>
      <w:b/>
      <w:sz w:val="32"/>
      <w:szCs w:val="20"/>
    </w:rPr>
  </w:style>
  <w:style w:type="paragraph" w:styleId="38">
    <w:name w:val="annotation subject"/>
    <w:basedOn w:val="17"/>
    <w:next w:val="17"/>
    <w:link w:val="84"/>
    <w:autoRedefine/>
    <w:qFormat/>
    <w:uiPriority w:val="0"/>
    <w:rPr>
      <w:b/>
      <w:bCs/>
    </w:rPr>
  </w:style>
  <w:style w:type="paragraph" w:styleId="39">
    <w:name w:val="Body Text First Indent 2"/>
    <w:basedOn w:val="19"/>
    <w:next w:val="1"/>
    <w:autoRedefine/>
    <w:unhideWhenUsed/>
    <w:qFormat/>
    <w:uiPriority w:val="99"/>
    <w:pPr>
      <w:spacing w:after="120" w:line="240" w:lineRule="auto"/>
      <w:ind w:left="420" w:leftChars="200" w:firstLine="200" w:firstLineChars="200"/>
    </w:pPr>
    <w:rPr>
      <w:sz w:val="21"/>
    </w:rPr>
  </w:style>
  <w:style w:type="table" w:styleId="41">
    <w:name w:val="Table Grid"/>
    <w:basedOn w:val="4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autoRedefine/>
    <w:qFormat/>
    <w:uiPriority w:val="22"/>
    <w:rPr>
      <w:b/>
      <w:bCs/>
    </w:rPr>
  </w:style>
  <w:style w:type="character" w:styleId="45">
    <w:name w:val="page number"/>
    <w:autoRedefine/>
    <w:qFormat/>
    <w:uiPriority w:val="0"/>
  </w:style>
  <w:style w:type="character" w:styleId="46">
    <w:name w:val="FollowedHyperlink"/>
    <w:autoRedefine/>
    <w:qFormat/>
    <w:uiPriority w:val="0"/>
    <w:rPr>
      <w:color w:val="800080"/>
      <w:u w:val="single"/>
    </w:rPr>
  </w:style>
  <w:style w:type="character" w:styleId="47">
    <w:name w:val="Emphasis"/>
    <w:autoRedefine/>
    <w:qFormat/>
    <w:uiPriority w:val="0"/>
    <w:rPr>
      <w:color w:val="CC0033"/>
    </w:rPr>
  </w:style>
  <w:style w:type="character" w:styleId="48">
    <w:name w:val="Hyperlink"/>
    <w:autoRedefine/>
    <w:qFormat/>
    <w:uiPriority w:val="99"/>
    <w:rPr>
      <w:color w:val="0000FF"/>
      <w:u w:val="single"/>
    </w:rPr>
  </w:style>
  <w:style w:type="character" w:styleId="49">
    <w:name w:val="annotation reference"/>
    <w:basedOn w:val="43"/>
    <w:autoRedefine/>
    <w:qFormat/>
    <w:uiPriority w:val="99"/>
    <w:rPr>
      <w:sz w:val="21"/>
      <w:szCs w:val="21"/>
    </w:rPr>
  </w:style>
  <w:style w:type="character" w:styleId="50">
    <w:name w:val="HTML Cite"/>
    <w:autoRedefine/>
    <w:qFormat/>
    <w:uiPriority w:val="0"/>
    <w:rPr>
      <w:i/>
      <w:iCs/>
    </w:rPr>
  </w:style>
  <w:style w:type="character" w:customStyle="1" w:styleId="51">
    <w:name w:val="标题 1 字符1"/>
    <w:link w:val="4"/>
    <w:autoRedefine/>
    <w:qFormat/>
    <w:uiPriority w:val="0"/>
    <w:rPr>
      <w:rFonts w:ascii="宋体"/>
      <w:b/>
      <w:kern w:val="44"/>
      <w:sz w:val="32"/>
    </w:rPr>
  </w:style>
  <w:style w:type="character" w:customStyle="1" w:styleId="52">
    <w:name w:val="标题 2 字符1"/>
    <w:link w:val="5"/>
    <w:autoRedefine/>
    <w:qFormat/>
    <w:uiPriority w:val="0"/>
    <w:rPr>
      <w:rFonts w:ascii="Arial" w:hAnsi="Arial" w:eastAsia="黑体"/>
      <w:b/>
      <w:sz w:val="30"/>
      <w:lang w:val="en-US" w:eastAsia="zh-CN" w:bidi="ar-SA"/>
    </w:rPr>
  </w:style>
  <w:style w:type="character" w:customStyle="1" w:styleId="53">
    <w:name w:val="正文缩进 字符1"/>
    <w:link w:val="6"/>
    <w:autoRedefine/>
    <w:qFormat/>
    <w:uiPriority w:val="0"/>
    <w:rPr>
      <w:rFonts w:ascii="宋体" w:eastAsia="宋体"/>
      <w:kern w:val="2"/>
      <w:sz w:val="24"/>
      <w:szCs w:val="24"/>
      <w:lang w:val="en-US" w:eastAsia="zh-CN" w:bidi="ar-SA"/>
    </w:rPr>
  </w:style>
  <w:style w:type="character" w:customStyle="1" w:styleId="54">
    <w:name w:val="标题 3 字符1"/>
    <w:link w:val="7"/>
    <w:autoRedefine/>
    <w:qFormat/>
    <w:uiPriority w:val="0"/>
    <w:rPr>
      <w:rFonts w:ascii="宋体" w:eastAsia="宋体"/>
      <w:b/>
      <w:sz w:val="24"/>
      <w:u w:val="single"/>
      <w:lang w:val="en-US" w:eastAsia="zh-CN" w:bidi="ar-SA"/>
    </w:rPr>
  </w:style>
  <w:style w:type="character" w:customStyle="1" w:styleId="55">
    <w:name w:val="标题 4 字符1"/>
    <w:link w:val="9"/>
    <w:autoRedefine/>
    <w:qFormat/>
    <w:uiPriority w:val="0"/>
    <w:rPr>
      <w:rFonts w:ascii="Arial" w:hAnsi="Arial" w:eastAsia="黑体"/>
      <w:b/>
      <w:sz w:val="28"/>
    </w:rPr>
  </w:style>
  <w:style w:type="character" w:customStyle="1" w:styleId="56">
    <w:name w:val="标题 5 字符1"/>
    <w:link w:val="10"/>
    <w:autoRedefine/>
    <w:qFormat/>
    <w:uiPriority w:val="0"/>
    <w:rPr>
      <w:b/>
      <w:sz w:val="28"/>
    </w:rPr>
  </w:style>
  <w:style w:type="character" w:customStyle="1" w:styleId="57">
    <w:name w:val="标题 6 字符1"/>
    <w:link w:val="11"/>
    <w:autoRedefine/>
    <w:qFormat/>
    <w:uiPriority w:val="0"/>
    <w:rPr>
      <w:rFonts w:ascii="Arial" w:hAnsi="Arial" w:eastAsia="黑体"/>
      <w:b/>
      <w:sz w:val="24"/>
    </w:rPr>
  </w:style>
  <w:style w:type="character" w:customStyle="1" w:styleId="58">
    <w:name w:val="标题 7 字符1"/>
    <w:link w:val="12"/>
    <w:autoRedefine/>
    <w:qFormat/>
    <w:uiPriority w:val="0"/>
    <w:rPr>
      <w:b/>
      <w:sz w:val="24"/>
    </w:rPr>
  </w:style>
  <w:style w:type="character" w:customStyle="1" w:styleId="59">
    <w:name w:val="标题 8 字符1"/>
    <w:link w:val="13"/>
    <w:autoRedefine/>
    <w:qFormat/>
    <w:uiPriority w:val="0"/>
    <w:rPr>
      <w:rFonts w:ascii="Arial" w:hAnsi="Arial" w:eastAsia="黑体"/>
      <w:sz w:val="24"/>
    </w:rPr>
  </w:style>
  <w:style w:type="character" w:customStyle="1" w:styleId="60">
    <w:name w:val="标题 9 字符1"/>
    <w:link w:val="14"/>
    <w:autoRedefine/>
    <w:qFormat/>
    <w:uiPriority w:val="0"/>
    <w:rPr>
      <w:rFonts w:ascii="Arial" w:hAnsi="Arial" w:eastAsia="黑体"/>
      <w:sz w:val="21"/>
    </w:rPr>
  </w:style>
  <w:style w:type="paragraph" w:customStyle="1" w:styleId="61">
    <w:name w:val="目录 71"/>
    <w:basedOn w:val="1"/>
    <w:next w:val="1"/>
    <w:autoRedefine/>
    <w:qFormat/>
    <w:uiPriority w:val="0"/>
    <w:pPr>
      <w:ind w:left="2520" w:leftChars="1200"/>
    </w:pPr>
  </w:style>
  <w:style w:type="character" w:customStyle="1" w:styleId="62">
    <w:name w:val="文档结构图 字符1"/>
    <w:link w:val="16"/>
    <w:autoRedefine/>
    <w:qFormat/>
    <w:uiPriority w:val="0"/>
    <w:rPr>
      <w:kern w:val="2"/>
      <w:sz w:val="21"/>
      <w:szCs w:val="24"/>
      <w:shd w:val="clear" w:color="auto" w:fill="000080"/>
    </w:rPr>
  </w:style>
  <w:style w:type="character" w:customStyle="1" w:styleId="63">
    <w:name w:val="批注文字 字符2"/>
    <w:link w:val="17"/>
    <w:autoRedefine/>
    <w:qFormat/>
    <w:uiPriority w:val="99"/>
    <w:rPr>
      <w:kern w:val="2"/>
      <w:sz w:val="21"/>
      <w:szCs w:val="24"/>
    </w:rPr>
  </w:style>
  <w:style w:type="character" w:customStyle="1" w:styleId="64">
    <w:name w:val="正文文本 3 字符1"/>
    <w:link w:val="18"/>
    <w:autoRedefine/>
    <w:qFormat/>
    <w:uiPriority w:val="0"/>
    <w:rPr>
      <w:kern w:val="2"/>
      <w:sz w:val="16"/>
      <w:szCs w:val="16"/>
    </w:rPr>
  </w:style>
  <w:style w:type="character" w:customStyle="1" w:styleId="65">
    <w:name w:val="正文文本 字符1"/>
    <w:link w:val="2"/>
    <w:autoRedefine/>
    <w:qFormat/>
    <w:uiPriority w:val="0"/>
    <w:rPr>
      <w:rFonts w:ascii="宋体" w:hAnsi="宋体"/>
      <w:kern w:val="2"/>
      <w:sz w:val="24"/>
      <w:szCs w:val="24"/>
    </w:rPr>
  </w:style>
  <w:style w:type="character" w:customStyle="1" w:styleId="66">
    <w:name w:val="正文文本缩进 字符1"/>
    <w:link w:val="19"/>
    <w:autoRedefine/>
    <w:qFormat/>
    <w:uiPriority w:val="0"/>
    <w:rPr>
      <w:rFonts w:eastAsia="宋体"/>
      <w:kern w:val="2"/>
      <w:sz w:val="24"/>
      <w:szCs w:val="24"/>
      <w:lang w:val="en-US" w:eastAsia="zh-CN" w:bidi="ar-SA"/>
    </w:rPr>
  </w:style>
  <w:style w:type="paragraph" w:customStyle="1" w:styleId="67">
    <w:name w:val="目录 51"/>
    <w:basedOn w:val="1"/>
    <w:next w:val="1"/>
    <w:autoRedefine/>
    <w:qFormat/>
    <w:uiPriority w:val="0"/>
    <w:pPr>
      <w:ind w:left="1680" w:leftChars="800"/>
    </w:pPr>
  </w:style>
  <w:style w:type="paragraph" w:customStyle="1" w:styleId="68">
    <w:name w:val="目录 31"/>
    <w:basedOn w:val="1"/>
    <w:next w:val="1"/>
    <w:autoRedefine/>
    <w:qFormat/>
    <w:uiPriority w:val="39"/>
    <w:pPr>
      <w:ind w:left="840" w:leftChars="400"/>
    </w:pPr>
  </w:style>
  <w:style w:type="character" w:customStyle="1" w:styleId="69">
    <w:name w:val="纯文本 字符3"/>
    <w:link w:val="23"/>
    <w:autoRedefine/>
    <w:qFormat/>
    <w:uiPriority w:val="99"/>
    <w:rPr>
      <w:rFonts w:hint="eastAsia" w:ascii="宋体" w:hAnsi="Courier New" w:eastAsia="宋体" w:cs="宋体"/>
      <w:kern w:val="2"/>
      <w:sz w:val="21"/>
    </w:rPr>
  </w:style>
  <w:style w:type="paragraph" w:customStyle="1" w:styleId="70">
    <w:name w:val="目录 81"/>
    <w:basedOn w:val="1"/>
    <w:next w:val="1"/>
    <w:autoRedefine/>
    <w:qFormat/>
    <w:uiPriority w:val="0"/>
    <w:pPr>
      <w:ind w:left="2940" w:leftChars="1400"/>
    </w:pPr>
  </w:style>
  <w:style w:type="character" w:customStyle="1" w:styleId="71">
    <w:name w:val="日期 字符1"/>
    <w:link w:val="24"/>
    <w:autoRedefine/>
    <w:qFormat/>
    <w:uiPriority w:val="0"/>
    <w:rPr>
      <w:rFonts w:ascii="仿宋_GB2312" w:hAnsi="宋体" w:eastAsia="仿宋_GB2312"/>
      <w:color w:val="000000"/>
      <w:kern w:val="2"/>
      <w:sz w:val="24"/>
      <w:szCs w:val="24"/>
    </w:rPr>
  </w:style>
  <w:style w:type="character" w:customStyle="1" w:styleId="72">
    <w:name w:val="正文文本缩进 2 字符1"/>
    <w:link w:val="25"/>
    <w:autoRedefine/>
    <w:qFormat/>
    <w:uiPriority w:val="0"/>
    <w:rPr>
      <w:rFonts w:ascii="仿宋_GB2312" w:eastAsia="仿宋_GB2312"/>
      <w:kern w:val="2"/>
      <w:sz w:val="24"/>
      <w:szCs w:val="24"/>
    </w:rPr>
  </w:style>
  <w:style w:type="character" w:customStyle="1" w:styleId="73">
    <w:name w:val="批注框文本 字符1"/>
    <w:link w:val="26"/>
    <w:autoRedefine/>
    <w:qFormat/>
    <w:uiPriority w:val="0"/>
    <w:rPr>
      <w:kern w:val="2"/>
      <w:sz w:val="18"/>
      <w:szCs w:val="18"/>
    </w:rPr>
  </w:style>
  <w:style w:type="character" w:customStyle="1" w:styleId="74">
    <w:name w:val="页脚 字符1"/>
    <w:link w:val="27"/>
    <w:autoRedefine/>
    <w:qFormat/>
    <w:uiPriority w:val="99"/>
    <w:rPr>
      <w:rFonts w:ascii="宋体" w:eastAsia="宋体"/>
      <w:sz w:val="18"/>
      <w:lang w:val="en-US" w:eastAsia="zh-CN" w:bidi="ar-SA"/>
    </w:rPr>
  </w:style>
  <w:style w:type="character" w:customStyle="1" w:styleId="75">
    <w:name w:val="页眉 字符1"/>
    <w:link w:val="28"/>
    <w:autoRedefine/>
    <w:qFormat/>
    <w:uiPriority w:val="0"/>
    <w:rPr>
      <w:rFonts w:eastAsia="宋体"/>
      <w:kern w:val="2"/>
      <w:sz w:val="18"/>
      <w:szCs w:val="18"/>
      <w:lang w:val="en-US" w:eastAsia="zh-CN" w:bidi="ar-SA"/>
    </w:rPr>
  </w:style>
  <w:style w:type="paragraph" w:customStyle="1" w:styleId="76">
    <w:name w:val="目录 11"/>
    <w:basedOn w:val="1"/>
    <w:next w:val="1"/>
    <w:autoRedefine/>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autoRedefine/>
    <w:qFormat/>
    <w:uiPriority w:val="0"/>
    <w:pPr>
      <w:ind w:left="1260" w:leftChars="600"/>
    </w:pPr>
  </w:style>
  <w:style w:type="paragraph" w:customStyle="1" w:styleId="78">
    <w:name w:val="目录 61"/>
    <w:basedOn w:val="1"/>
    <w:next w:val="1"/>
    <w:autoRedefine/>
    <w:qFormat/>
    <w:uiPriority w:val="0"/>
    <w:pPr>
      <w:ind w:left="2100" w:leftChars="1000"/>
    </w:pPr>
  </w:style>
  <w:style w:type="character" w:customStyle="1" w:styleId="79">
    <w:name w:val="正文文本缩进 3 字符1"/>
    <w:link w:val="30"/>
    <w:autoRedefine/>
    <w:qFormat/>
    <w:uiPriority w:val="0"/>
    <w:rPr>
      <w:rFonts w:ascii="宋体"/>
      <w:sz w:val="24"/>
    </w:rPr>
  </w:style>
  <w:style w:type="paragraph" w:customStyle="1" w:styleId="80">
    <w:name w:val="目录 21"/>
    <w:basedOn w:val="1"/>
    <w:next w:val="1"/>
    <w:autoRedefine/>
    <w:qFormat/>
    <w:uiPriority w:val="39"/>
    <w:pPr>
      <w:tabs>
        <w:tab w:val="right" w:leader="dot" w:pos="8937"/>
      </w:tabs>
      <w:spacing w:line="312" w:lineRule="auto"/>
      <w:ind w:left="420" w:leftChars="200"/>
    </w:pPr>
  </w:style>
  <w:style w:type="paragraph" w:customStyle="1" w:styleId="81">
    <w:name w:val="目录 91"/>
    <w:basedOn w:val="1"/>
    <w:next w:val="1"/>
    <w:autoRedefine/>
    <w:qFormat/>
    <w:uiPriority w:val="0"/>
    <w:pPr>
      <w:ind w:left="3360" w:leftChars="1600"/>
    </w:pPr>
  </w:style>
  <w:style w:type="character" w:customStyle="1" w:styleId="82">
    <w:name w:val="HTML 预设格式 字符1"/>
    <w:link w:val="34"/>
    <w:autoRedefine/>
    <w:qFormat/>
    <w:uiPriority w:val="0"/>
    <w:rPr>
      <w:rFonts w:ascii="宋体" w:hAnsi="宋体" w:cs="宋体"/>
      <w:sz w:val="24"/>
      <w:szCs w:val="24"/>
    </w:rPr>
  </w:style>
  <w:style w:type="character" w:customStyle="1" w:styleId="83">
    <w:name w:val="标题 字符1"/>
    <w:link w:val="37"/>
    <w:autoRedefine/>
    <w:qFormat/>
    <w:uiPriority w:val="0"/>
    <w:rPr>
      <w:b/>
      <w:kern w:val="2"/>
      <w:sz w:val="32"/>
    </w:rPr>
  </w:style>
  <w:style w:type="character" w:customStyle="1" w:styleId="84">
    <w:name w:val="批注主题 字符1"/>
    <w:link w:val="38"/>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paragraph" w:customStyle="1" w:styleId="86">
    <w:name w:val="正文首行缩进 21"/>
    <w:basedOn w:val="19"/>
    <w:link w:val="87"/>
    <w:autoRedefine/>
    <w:qFormat/>
    <w:uiPriority w:val="0"/>
    <w:pPr>
      <w:spacing w:after="120" w:line="480" w:lineRule="exact"/>
      <w:ind w:left="420" w:leftChars="200" w:firstLine="420" w:firstLineChars="200"/>
    </w:pPr>
    <w:rPr>
      <w:szCs w:val="20"/>
    </w:rPr>
  </w:style>
  <w:style w:type="character" w:customStyle="1" w:styleId="87">
    <w:name w:val="正文首行缩进 2 Char1"/>
    <w:link w:val="86"/>
    <w:autoRedefine/>
    <w:qFormat/>
    <w:uiPriority w:val="0"/>
    <w:rPr>
      <w:rFonts w:eastAsia="宋体"/>
      <w:kern w:val="2"/>
      <w:sz w:val="24"/>
      <w:szCs w:val="24"/>
      <w:lang w:val="en-US" w:eastAsia="zh-CN" w:bidi="ar-SA"/>
    </w:rPr>
  </w:style>
  <w:style w:type="character" w:customStyle="1" w:styleId="88">
    <w:name w:val="c21"/>
    <w:autoRedefine/>
    <w:qFormat/>
    <w:uiPriority w:val="0"/>
    <w:rPr>
      <w:rFonts w:hint="default" w:ascii="ˎ̥" w:hAnsi="ˎ̥"/>
      <w:color w:val="000000"/>
      <w:sz w:val="20"/>
      <w:szCs w:val="20"/>
      <w:u w:val="none"/>
    </w:rPr>
  </w:style>
  <w:style w:type="character" w:customStyle="1" w:styleId="89">
    <w:name w:val="title4"/>
    <w:autoRedefine/>
    <w:qFormat/>
    <w:uiPriority w:val="0"/>
    <w:rPr>
      <w:b/>
      <w:bCs/>
      <w:color w:val="1D87B3"/>
      <w:sz w:val="15"/>
      <w:szCs w:val="15"/>
    </w:rPr>
  </w:style>
  <w:style w:type="character" w:customStyle="1" w:styleId="90">
    <w:name w:val="标题 2 Char Char"/>
    <w:autoRedefine/>
    <w:qFormat/>
    <w:uiPriority w:val="0"/>
    <w:rPr>
      <w:rFonts w:ascii="Arial" w:hAnsi="Arial" w:eastAsia="黑体"/>
      <w:b/>
      <w:bCs/>
      <w:kern w:val="2"/>
      <w:sz w:val="32"/>
      <w:szCs w:val="32"/>
      <w:lang w:val="en-US" w:eastAsia="zh-CN" w:bidi="ar-SA"/>
    </w:rPr>
  </w:style>
  <w:style w:type="character" w:customStyle="1" w:styleId="91">
    <w:name w:val="black1"/>
    <w:autoRedefine/>
    <w:qFormat/>
    <w:uiPriority w:val="0"/>
    <w:rPr>
      <w:color w:val="000000"/>
    </w:rPr>
  </w:style>
  <w:style w:type="character" w:customStyle="1" w:styleId="92">
    <w:name w:val="street-address"/>
    <w:autoRedefine/>
    <w:qFormat/>
    <w:uiPriority w:val="0"/>
  </w:style>
  <w:style w:type="character" w:customStyle="1" w:styleId="93">
    <w:name w:val="locality"/>
    <w:autoRedefine/>
    <w:qFormat/>
    <w:uiPriority w:val="0"/>
  </w:style>
  <w:style w:type="character" w:customStyle="1" w:styleId="94">
    <w:name w:val="正文文本缩进 Char1"/>
    <w:link w:val="95"/>
    <w:autoRedefine/>
    <w:qFormat/>
    <w:uiPriority w:val="0"/>
    <w:rPr>
      <w:rFonts w:ascii="宋体" w:hAnsi="宋体" w:eastAsia="宋体"/>
      <w:sz w:val="24"/>
      <w:szCs w:val="24"/>
      <w:lang w:bidi="ar-SA"/>
    </w:rPr>
  </w:style>
  <w:style w:type="paragraph" w:customStyle="1" w:styleId="95">
    <w:name w:val="正文文本缩进1"/>
    <w:basedOn w:val="1"/>
    <w:link w:val="94"/>
    <w:autoRedefine/>
    <w:qFormat/>
    <w:uiPriority w:val="0"/>
    <w:pPr>
      <w:spacing w:line="480" w:lineRule="exact"/>
      <w:ind w:firstLine="480" w:firstLineChars="200"/>
    </w:pPr>
    <w:rPr>
      <w:rFonts w:ascii="宋体" w:hAnsi="宋体"/>
      <w:kern w:val="0"/>
      <w:sz w:val="24"/>
    </w:rPr>
  </w:style>
  <w:style w:type="character" w:customStyle="1" w:styleId="96">
    <w:name w:val="Char Char11"/>
    <w:autoRedefine/>
    <w:qFormat/>
    <w:uiPriority w:val="0"/>
    <w:rPr>
      <w:rFonts w:ascii="宋体" w:eastAsia="宋体"/>
      <w:b/>
      <w:sz w:val="24"/>
      <w:u w:val="single"/>
      <w:lang w:val="en-US" w:eastAsia="zh-CN" w:bidi="ar-SA"/>
    </w:rPr>
  </w:style>
  <w:style w:type="character" w:customStyle="1" w:styleId="97">
    <w:name w:val="txt"/>
    <w:autoRedefine/>
    <w:qFormat/>
    <w:uiPriority w:val="0"/>
  </w:style>
  <w:style w:type="character" w:customStyle="1" w:styleId="98">
    <w:name w:val="正文缩进 Char Char"/>
    <w:link w:val="99"/>
    <w:autoRedefine/>
    <w:qFormat/>
    <w:uiPriority w:val="0"/>
    <w:rPr>
      <w:rFonts w:ascii="宋体" w:eastAsia="宋体"/>
      <w:snapToGrid w:val="0"/>
      <w:color w:val="000000"/>
      <w:kern w:val="28"/>
      <w:sz w:val="28"/>
      <w:lang w:bidi="ar-SA"/>
    </w:rPr>
  </w:style>
  <w:style w:type="paragraph" w:customStyle="1" w:styleId="99">
    <w:name w:val="正文缩进11"/>
    <w:basedOn w:val="1"/>
    <w:link w:val="98"/>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autoRedefine/>
    <w:qFormat/>
    <w:uiPriority w:val="0"/>
    <w:rPr>
      <w:rFonts w:ascii="宋体" w:hAnsi="Courier New" w:eastAsia="宋体"/>
      <w:kern w:val="2"/>
      <w:sz w:val="21"/>
      <w:lang w:val="en-US" w:eastAsia="zh-CN" w:bidi="ar-SA"/>
    </w:rPr>
  </w:style>
  <w:style w:type="character" w:customStyle="1" w:styleId="101">
    <w:name w:val="chanpin1"/>
    <w:autoRedefine/>
    <w:qFormat/>
    <w:uiPriority w:val="0"/>
    <w:rPr>
      <w:rFonts w:hint="default" w:ascii="ˎ̥" w:hAnsi="ˎ̥"/>
      <w:color w:val="000000"/>
      <w:sz w:val="20"/>
      <w:szCs w:val="20"/>
      <w:u w:val="none"/>
    </w:rPr>
  </w:style>
  <w:style w:type="character" w:customStyle="1" w:styleId="102">
    <w:name w:val="列出段落 字符"/>
    <w:link w:val="103"/>
    <w:autoRedefine/>
    <w:qFormat/>
    <w:uiPriority w:val="34"/>
    <w:rPr>
      <w:rFonts w:ascii="Calibri" w:hAnsi="Calibri" w:eastAsia="宋体"/>
      <w:kern w:val="2"/>
      <w:sz w:val="21"/>
      <w:szCs w:val="22"/>
      <w:lang w:val="en-US" w:eastAsia="zh-CN" w:bidi="ar-SA"/>
    </w:rPr>
  </w:style>
  <w:style w:type="paragraph" w:styleId="103">
    <w:name w:val="List Paragraph"/>
    <w:basedOn w:val="1"/>
    <w:link w:val="102"/>
    <w:autoRedefine/>
    <w:qFormat/>
    <w:uiPriority w:val="34"/>
    <w:pPr>
      <w:ind w:firstLine="420" w:firstLineChars="200"/>
    </w:pPr>
    <w:rPr>
      <w:rFonts w:ascii="Calibri" w:hAnsi="Calibri"/>
      <w:szCs w:val="22"/>
    </w:rPr>
  </w:style>
  <w:style w:type="character" w:customStyle="1" w:styleId="104">
    <w:name w:val="标题 3 Char Char"/>
    <w:autoRedefine/>
    <w:qFormat/>
    <w:uiPriority w:val="0"/>
    <w:rPr>
      <w:rFonts w:eastAsia="宋体"/>
      <w:b/>
      <w:bCs/>
      <w:kern w:val="2"/>
      <w:sz w:val="32"/>
      <w:szCs w:val="32"/>
      <w:lang w:val="en-US" w:eastAsia="zh-CN" w:bidi="ar-SA"/>
    </w:rPr>
  </w:style>
  <w:style w:type="character" w:customStyle="1" w:styleId="105">
    <w:name w:val="段1 Char"/>
    <w:autoRedefine/>
    <w:qFormat/>
    <w:uiPriority w:val="0"/>
    <w:rPr>
      <w:rFonts w:ascii="宋体" w:eastAsia="宋体"/>
      <w:sz w:val="24"/>
      <w:lang w:val="en-US" w:eastAsia="zh-CN" w:bidi="ar-SA"/>
    </w:rPr>
  </w:style>
  <w:style w:type="character" w:customStyle="1" w:styleId="106">
    <w:name w:val="chanpin拷贝"/>
    <w:autoRedefine/>
    <w:qFormat/>
    <w:uiPriority w:val="0"/>
  </w:style>
  <w:style w:type="character" w:customStyle="1" w:styleId="107">
    <w:name w:val="纯文本 Char1"/>
    <w:autoRedefine/>
    <w:qFormat/>
    <w:uiPriority w:val="0"/>
    <w:rPr>
      <w:rFonts w:ascii="宋体" w:hAnsi="Courier New" w:eastAsia="宋体"/>
      <w:kern w:val="2"/>
      <w:sz w:val="21"/>
      <w:lang w:val="en-US" w:eastAsia="zh-CN" w:bidi="ar-SA"/>
    </w:rPr>
  </w:style>
  <w:style w:type="character" w:customStyle="1" w:styleId="108">
    <w:name w:val="apple-style-span"/>
    <w:autoRedefine/>
    <w:qFormat/>
    <w:uiPriority w:val="0"/>
    <w:rPr>
      <w:rFonts w:cs="Times New Roman"/>
    </w:rPr>
  </w:style>
  <w:style w:type="paragraph" w:customStyle="1" w:styleId="109">
    <w:name w:val="二级条标题"/>
    <w:basedOn w:val="110"/>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autoRedefine/>
    <w:qFormat/>
    <w:uiPriority w:val="0"/>
    <w:pPr>
      <w:numPr>
        <w:ilvl w:val="1"/>
      </w:numPr>
      <w:tabs>
        <w:tab w:val="left" w:pos="360"/>
        <w:tab w:val="left" w:pos="840"/>
      </w:tabs>
      <w:ind w:left="0" w:hanging="840"/>
      <w:outlineLvl w:val="1"/>
    </w:pPr>
  </w:style>
  <w:style w:type="paragraph" w:customStyle="1" w:styleId="111">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autoRedefine/>
    <w:qFormat/>
    <w:uiPriority w:val="0"/>
    <w:rPr>
      <w:rFonts w:ascii="Tahoma" w:hAnsi="Tahoma"/>
      <w:sz w:val="24"/>
      <w:szCs w:val="20"/>
    </w:rPr>
  </w:style>
  <w:style w:type="paragraph" w:customStyle="1" w:styleId="114">
    <w:name w:val="Char3 Char Char Char"/>
    <w:basedOn w:val="1"/>
    <w:autoRedefine/>
    <w:qFormat/>
    <w:uiPriority w:val="0"/>
    <w:rPr>
      <w:rFonts w:ascii="Tahoma" w:hAnsi="Tahoma"/>
      <w:sz w:val="24"/>
      <w:szCs w:val="20"/>
    </w:rPr>
  </w:style>
  <w:style w:type="paragraph" w:customStyle="1" w:styleId="11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autoRedefine/>
    <w:qFormat/>
    <w:uiPriority w:val="0"/>
    <w:pPr>
      <w:numPr>
        <w:numId w:val="2"/>
      </w:numPr>
    </w:pPr>
  </w:style>
  <w:style w:type="paragraph" w:customStyle="1" w:styleId="11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autoRedefine/>
    <w:qFormat/>
    <w:uiPriority w:val="0"/>
    <w:pPr>
      <w:adjustRightInd w:val="0"/>
      <w:snapToGrid w:val="0"/>
      <w:spacing w:line="0" w:lineRule="atLeast"/>
      <w:jc w:val="center"/>
    </w:pPr>
    <w:rPr>
      <w:sz w:val="24"/>
      <w:szCs w:val="20"/>
    </w:rPr>
  </w:style>
  <w:style w:type="paragraph" w:customStyle="1" w:styleId="11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autoRedefine/>
    <w:qFormat/>
    <w:uiPriority w:val="0"/>
    <w:rPr>
      <w:rFonts w:ascii="Tahoma" w:hAnsi="Tahoma"/>
      <w:sz w:val="24"/>
      <w:szCs w:val="20"/>
    </w:rPr>
  </w:style>
  <w:style w:type="paragraph" w:customStyle="1" w:styleId="12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autoRedefine/>
    <w:qFormat/>
    <w:uiPriority w:val="0"/>
    <w:pPr>
      <w:widowControl/>
      <w:spacing w:before="100" w:beforeAutospacing="1" w:after="100" w:afterAutospacing="1"/>
      <w:jc w:val="left"/>
    </w:pPr>
    <w:rPr>
      <w:kern w:val="0"/>
      <w:sz w:val="36"/>
      <w:szCs w:val="36"/>
    </w:rPr>
  </w:style>
  <w:style w:type="paragraph" w:customStyle="1" w:styleId="136">
    <w:name w:val="Char"/>
    <w:basedOn w:val="1"/>
    <w:autoRedefine/>
    <w:qFormat/>
    <w:uiPriority w:val="0"/>
    <w:pPr>
      <w:tabs>
        <w:tab w:val="left" w:pos="360"/>
      </w:tabs>
    </w:pPr>
    <w:rPr>
      <w:sz w:val="24"/>
    </w:rPr>
  </w:style>
  <w:style w:type="paragraph" w:customStyle="1" w:styleId="13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6"/>
    <w:autoRedefine/>
    <w:qFormat/>
    <w:uiPriority w:val="0"/>
    <w:rPr>
      <w:rFonts w:ascii="Tahoma" w:hAnsi="Tahoma"/>
      <w:sz w:val="24"/>
    </w:rPr>
  </w:style>
  <w:style w:type="paragraph" w:customStyle="1" w:styleId="1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5">
    <w:name w:val="Char1 Char Char Char1"/>
    <w:basedOn w:val="1"/>
    <w:autoRedefine/>
    <w:qFormat/>
    <w:uiPriority w:val="0"/>
    <w:rPr>
      <w:rFonts w:ascii="Tahoma" w:hAnsi="Tahoma" w:cs="仿宋_GB2312"/>
      <w:sz w:val="24"/>
      <w:szCs w:val="28"/>
    </w:rPr>
  </w:style>
  <w:style w:type="paragraph" w:customStyle="1" w:styleId="146">
    <w:name w:val="四级条标题"/>
    <w:basedOn w:val="147"/>
    <w:next w:val="1"/>
    <w:autoRedefine/>
    <w:qFormat/>
    <w:uiPriority w:val="0"/>
    <w:pPr>
      <w:numPr>
        <w:ilvl w:val="4"/>
      </w:numPr>
      <w:tabs>
        <w:tab w:val="left" w:pos="360"/>
        <w:tab w:val="left" w:pos="840"/>
      </w:tabs>
      <w:ind w:left="0" w:hanging="840"/>
      <w:outlineLvl w:val="4"/>
    </w:pPr>
  </w:style>
  <w:style w:type="paragraph" w:customStyle="1" w:styleId="147">
    <w:name w:val="三级条标题"/>
    <w:basedOn w:val="109"/>
    <w:next w:val="1"/>
    <w:autoRedefine/>
    <w:qFormat/>
    <w:uiPriority w:val="0"/>
    <w:pPr>
      <w:numPr>
        <w:ilvl w:val="3"/>
        <w:numId w:val="1"/>
      </w:numPr>
      <w:ind w:left="0" w:hanging="840"/>
      <w:outlineLvl w:val="3"/>
    </w:pPr>
  </w:style>
  <w:style w:type="paragraph" w:customStyle="1" w:styleId="14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5"/>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autoRedefine/>
    <w:qFormat/>
    <w:uiPriority w:val="0"/>
    <w:pPr>
      <w:ind w:firstLine="420" w:firstLineChars="200"/>
    </w:pPr>
    <w:rPr>
      <w:rFonts w:ascii="Calibri" w:hAnsi="Calibri"/>
      <w:szCs w:val="22"/>
    </w:rPr>
  </w:style>
  <w:style w:type="paragraph" w:customStyle="1" w:styleId="151">
    <w:name w:val="项目符号1"/>
    <w:basedOn w:val="152"/>
    <w:autoRedefine/>
    <w:qFormat/>
    <w:uiPriority w:val="0"/>
    <w:pPr>
      <w:ind w:left="-25" w:firstLine="0"/>
    </w:pPr>
  </w:style>
  <w:style w:type="paragraph" w:customStyle="1" w:styleId="152">
    <w:name w:val="正文文本样式"/>
    <w:basedOn w:val="1"/>
    <w:autoRedefine/>
    <w:qFormat/>
    <w:uiPriority w:val="0"/>
    <w:pPr>
      <w:spacing w:line="360" w:lineRule="auto"/>
      <w:ind w:firstLine="482"/>
    </w:pPr>
    <w:rPr>
      <w:rFonts w:cs="宋体"/>
      <w:sz w:val="24"/>
      <w:szCs w:val="20"/>
    </w:rPr>
  </w:style>
  <w:style w:type="paragraph" w:customStyle="1" w:styleId="15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autoRedefine/>
    <w:qFormat/>
    <w:uiPriority w:val="0"/>
    <w:pPr>
      <w:numPr>
        <w:ilvl w:val="5"/>
      </w:numPr>
      <w:ind w:left="0" w:hanging="840"/>
      <w:outlineLvl w:val="5"/>
    </w:pPr>
  </w:style>
  <w:style w:type="paragraph" w:customStyle="1" w:styleId="15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autoRedefine/>
    <w:qFormat/>
    <w:uiPriority w:val="0"/>
    <w:pPr>
      <w:snapToGrid w:val="0"/>
      <w:spacing w:before="120" w:after="120" w:line="180" w:lineRule="auto"/>
    </w:pPr>
    <w:rPr>
      <w:rFonts w:ascii="Arial" w:hAnsi="Arial"/>
      <w:szCs w:val="20"/>
    </w:rPr>
  </w:style>
  <w:style w:type="paragraph" w:customStyle="1" w:styleId="15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autoRedefine/>
    <w:qFormat/>
    <w:uiPriority w:val="0"/>
    <w:rPr>
      <w:rFonts w:ascii="Tahoma" w:hAnsi="Tahoma"/>
      <w:sz w:val="24"/>
      <w:szCs w:val="20"/>
    </w:rPr>
  </w:style>
  <w:style w:type="paragraph" w:customStyle="1" w:styleId="16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autoRedefine/>
    <w:qFormat/>
    <w:uiPriority w:val="0"/>
    <w:pPr>
      <w:numPr>
        <w:ilvl w:val="0"/>
        <w:numId w:val="5"/>
      </w:numPr>
      <w:spacing w:before="120"/>
    </w:pPr>
    <w:rPr>
      <w:rFonts w:ascii="宋体"/>
      <w:sz w:val="28"/>
      <w:szCs w:val="20"/>
    </w:rPr>
  </w:style>
  <w:style w:type="paragraph" w:customStyle="1" w:styleId="16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autoRedefine/>
    <w:qFormat/>
    <w:uiPriority w:val="0"/>
    <w:rPr>
      <w:rFonts w:ascii="Tahoma" w:hAnsi="Tahoma"/>
      <w:sz w:val="24"/>
      <w:szCs w:val="20"/>
    </w:rPr>
  </w:style>
  <w:style w:type="paragraph" w:customStyle="1" w:styleId="165">
    <w:name w:val="Char Char Char Char Char Char Char Char Char Char"/>
    <w:basedOn w:val="1"/>
    <w:autoRedefine/>
    <w:qFormat/>
    <w:uiPriority w:val="0"/>
  </w:style>
  <w:style w:type="paragraph" w:customStyle="1" w:styleId="16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autoRedefine/>
    <w:qFormat/>
    <w:uiPriority w:val="0"/>
    <w:pPr>
      <w:tabs>
        <w:tab w:val="left" w:pos="360"/>
      </w:tabs>
    </w:pPr>
    <w:rPr>
      <w:sz w:val="24"/>
    </w:rPr>
  </w:style>
  <w:style w:type="paragraph" w:customStyle="1" w:styleId="16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autoRedefine/>
    <w:qFormat/>
    <w:uiPriority w:val="0"/>
    <w:rPr>
      <w:rFonts w:ascii="Arial" w:hAnsi="Arial" w:cs="Arial"/>
      <w:szCs w:val="21"/>
    </w:rPr>
  </w:style>
  <w:style w:type="paragraph" w:customStyle="1" w:styleId="17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autoRedefine/>
    <w:qFormat/>
    <w:uiPriority w:val="0"/>
    <w:rPr>
      <w:rFonts w:ascii="Tahoma" w:hAnsi="Tahoma"/>
      <w:sz w:val="24"/>
      <w:szCs w:val="20"/>
    </w:rPr>
  </w:style>
  <w:style w:type="paragraph" w:customStyle="1" w:styleId="17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autoRedefine/>
    <w:qFormat/>
    <w:uiPriority w:val="0"/>
    <w:pPr>
      <w:autoSpaceDE w:val="0"/>
      <w:autoSpaceDN w:val="0"/>
      <w:adjustRightInd w:val="0"/>
      <w:jc w:val="left"/>
    </w:pPr>
    <w:rPr>
      <w:kern w:val="0"/>
      <w:sz w:val="24"/>
    </w:rPr>
  </w:style>
  <w:style w:type="paragraph" w:customStyle="1" w:styleId="178">
    <w:name w:val="Char Char Char1"/>
    <w:basedOn w:val="1"/>
    <w:autoRedefine/>
    <w:qFormat/>
    <w:uiPriority w:val="0"/>
    <w:rPr>
      <w:rFonts w:ascii="Tahoma" w:hAnsi="Tahoma"/>
      <w:sz w:val="24"/>
      <w:szCs w:val="20"/>
    </w:rPr>
  </w:style>
  <w:style w:type="paragraph" w:customStyle="1" w:styleId="17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6"/>
    <w:autoRedefine/>
    <w:qFormat/>
    <w:uiPriority w:val="0"/>
    <w:pPr>
      <w:spacing w:line="360" w:lineRule="auto"/>
      <w:jc w:val="center"/>
    </w:pPr>
    <w:rPr>
      <w:sz w:val="24"/>
    </w:rPr>
  </w:style>
  <w:style w:type="paragraph" w:customStyle="1" w:styleId="18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autoRedefine/>
    <w:qFormat/>
    <w:uiPriority w:val="0"/>
    <w:pPr>
      <w:widowControl/>
      <w:jc w:val="left"/>
    </w:pPr>
    <w:rPr>
      <w:rFonts w:ascii="楷体_GB2312" w:eastAsia="楷体_GB2312" w:cs="Arial"/>
      <w:kern w:val="0"/>
      <w:sz w:val="24"/>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autoRedefine/>
    <w:qFormat/>
    <w:uiPriority w:val="0"/>
    <w:rPr>
      <w:rFonts w:ascii="Tahoma" w:hAnsi="Tahoma"/>
      <w:sz w:val="24"/>
      <w:szCs w:val="20"/>
    </w:rPr>
  </w:style>
  <w:style w:type="paragraph" w:customStyle="1" w:styleId="18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autoRedefine/>
    <w:qFormat/>
    <w:uiPriority w:val="0"/>
    <w:pPr>
      <w:ind w:firstLine="420" w:firstLineChars="200"/>
    </w:pPr>
    <w:rPr>
      <w:rFonts w:ascii="Calibri" w:hAnsi="Calibri"/>
      <w:szCs w:val="22"/>
    </w:rPr>
  </w:style>
  <w:style w:type="paragraph" w:customStyle="1" w:styleId="189">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autoRedefine/>
    <w:qFormat/>
    <w:uiPriority w:val="0"/>
    <w:rPr>
      <w:rFonts w:ascii="Tahoma" w:hAnsi="Tahoma"/>
      <w:sz w:val="24"/>
      <w:szCs w:val="20"/>
    </w:rPr>
  </w:style>
  <w:style w:type="paragraph" w:customStyle="1" w:styleId="19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autoRedefine/>
    <w:qFormat/>
    <w:uiPriority w:val="0"/>
    <w:pPr>
      <w:numPr>
        <w:ilvl w:val="0"/>
        <w:numId w:val="6"/>
      </w:numPr>
    </w:pPr>
  </w:style>
  <w:style w:type="paragraph" w:customStyle="1" w:styleId="193">
    <w:name w:val="Char21"/>
    <w:basedOn w:val="1"/>
    <w:autoRedefine/>
    <w:qFormat/>
    <w:uiPriority w:val="0"/>
    <w:rPr>
      <w:rFonts w:ascii="Tahoma" w:hAnsi="Tahoma"/>
      <w:sz w:val="24"/>
      <w:szCs w:val="20"/>
    </w:rPr>
  </w:style>
  <w:style w:type="paragraph" w:customStyle="1" w:styleId="194">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autoRedefine/>
    <w:qFormat/>
    <w:uiPriority w:val="0"/>
    <w:rPr>
      <w:rFonts w:ascii="宋体" w:hAnsi="宋体" w:cs="Courier New"/>
      <w:sz w:val="32"/>
      <w:szCs w:val="32"/>
    </w:rPr>
  </w:style>
  <w:style w:type="paragraph" w:customStyle="1" w:styleId="196">
    <w:name w:val="正文文本样式 加粗"/>
    <w:basedOn w:val="152"/>
    <w:autoRedefine/>
    <w:qFormat/>
    <w:uiPriority w:val="0"/>
    <w:rPr>
      <w:b/>
    </w:rPr>
  </w:style>
  <w:style w:type="paragraph" w:customStyle="1" w:styleId="197">
    <w:name w:val="Char2 Char Char Char Char Char Char"/>
    <w:basedOn w:val="1"/>
    <w:autoRedefine/>
    <w:qFormat/>
    <w:uiPriority w:val="0"/>
    <w:pPr>
      <w:widowControl/>
      <w:spacing w:line="400" w:lineRule="exact"/>
      <w:jc w:val="center"/>
    </w:pPr>
  </w:style>
  <w:style w:type="paragraph" w:customStyle="1" w:styleId="198">
    <w:name w:val="Char Char4"/>
    <w:basedOn w:val="1"/>
    <w:autoRedefine/>
    <w:qFormat/>
    <w:uiPriority w:val="0"/>
    <w:pPr>
      <w:widowControl/>
      <w:spacing w:line="400" w:lineRule="exact"/>
      <w:jc w:val="center"/>
    </w:pPr>
  </w:style>
  <w:style w:type="paragraph" w:customStyle="1" w:styleId="199">
    <w:name w:val="Char3 Char Char Char1"/>
    <w:basedOn w:val="1"/>
    <w:autoRedefine/>
    <w:qFormat/>
    <w:uiPriority w:val="0"/>
    <w:rPr>
      <w:rFonts w:ascii="Tahoma" w:hAnsi="Tahoma"/>
      <w:sz w:val="24"/>
      <w:szCs w:val="20"/>
    </w:rPr>
  </w:style>
  <w:style w:type="paragraph" w:styleId="20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autoRedefine/>
    <w:qFormat/>
    <w:uiPriority w:val="0"/>
    <w:rPr>
      <w:kern w:val="2"/>
      <w:sz w:val="21"/>
      <w:szCs w:val="24"/>
      <w:lang w:val="zh-CN" w:eastAsia="zh-CN"/>
    </w:rPr>
  </w:style>
  <w:style w:type="paragraph" w:customStyle="1" w:styleId="203">
    <w:name w:val="1"/>
    <w:link w:val="202"/>
    <w:autoRedefine/>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autoRedefine/>
    <w:qFormat/>
    <w:uiPriority w:val="0"/>
    <w:pPr>
      <w:adjustRightInd w:val="0"/>
      <w:snapToGrid w:val="0"/>
      <w:spacing w:after="50" w:line="360" w:lineRule="auto"/>
    </w:pPr>
    <w:rPr>
      <w:sz w:val="24"/>
    </w:r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autoRedefine/>
    <w:qFormat/>
    <w:uiPriority w:val="0"/>
    <w:pPr>
      <w:adjustRightInd w:val="0"/>
      <w:snapToGrid w:val="0"/>
      <w:jc w:val="left"/>
    </w:pPr>
    <w:rPr>
      <w:rFonts w:ascii="宋体" w:hAnsi="宋体"/>
      <w:color w:val="000000"/>
      <w:szCs w:val="21"/>
    </w:rPr>
  </w:style>
  <w:style w:type="character" w:customStyle="1" w:styleId="207">
    <w:name w:val="正文表格 Char"/>
    <w:link w:val="206"/>
    <w:autoRedefine/>
    <w:qFormat/>
    <w:uiPriority w:val="0"/>
    <w:rPr>
      <w:rFonts w:ascii="宋体" w:hAnsi="宋体"/>
      <w:color w:val="000000"/>
      <w:kern w:val="2"/>
      <w:sz w:val="21"/>
      <w:szCs w:val="21"/>
    </w:rPr>
  </w:style>
  <w:style w:type="paragraph" w:customStyle="1" w:styleId="208">
    <w:name w:val="正文重点"/>
    <w:basedOn w:val="1"/>
    <w:link w:val="209"/>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autoRedefine/>
    <w:qFormat/>
    <w:uiPriority w:val="0"/>
    <w:rPr>
      <w:b/>
      <w:sz w:val="24"/>
    </w:rPr>
  </w:style>
  <w:style w:type="paragraph" w:customStyle="1" w:styleId="210">
    <w:name w:val="标题1-附件"/>
    <w:basedOn w:val="4"/>
    <w:autoRedefine/>
    <w:qFormat/>
    <w:uiPriority w:val="0"/>
    <w:pPr>
      <w:jc w:val="left"/>
    </w:pPr>
    <w:rPr>
      <w:sz w:val="24"/>
      <w:szCs w:val="24"/>
    </w:rPr>
  </w:style>
  <w:style w:type="paragraph" w:customStyle="1" w:styleId="211">
    <w:name w:val="正文小标题"/>
    <w:basedOn w:val="1"/>
    <w:next w:val="6"/>
    <w:link w:val="212"/>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autoRedefine/>
    <w:qFormat/>
    <w:uiPriority w:val="0"/>
    <w:rPr>
      <w:rFonts w:ascii="宋体" w:hAnsi="宋体"/>
      <w:b/>
      <w:i/>
      <w:color w:val="FF0000"/>
      <w:kern w:val="2"/>
      <w:sz w:val="24"/>
    </w:rPr>
  </w:style>
  <w:style w:type="paragraph" w:customStyle="1" w:styleId="213">
    <w:name w:val="正文大标题"/>
    <w:basedOn w:val="211"/>
    <w:next w:val="6"/>
    <w:link w:val="214"/>
    <w:autoRedefine/>
    <w:qFormat/>
    <w:uiPriority w:val="0"/>
    <w:pPr>
      <w:jc w:val="center"/>
    </w:pPr>
    <w:rPr>
      <w:i w:val="0"/>
      <w:color w:val="000000"/>
      <w:sz w:val="28"/>
      <w:szCs w:val="21"/>
    </w:rPr>
  </w:style>
  <w:style w:type="character" w:customStyle="1" w:styleId="214">
    <w:name w:val="正文大标题 Char"/>
    <w:link w:val="213"/>
    <w:autoRedefine/>
    <w:qFormat/>
    <w:uiPriority w:val="0"/>
    <w:rPr>
      <w:rFonts w:ascii="宋体" w:hAnsi="宋体"/>
      <w:b/>
      <w:color w:val="000000"/>
      <w:kern w:val="2"/>
      <w:sz w:val="28"/>
      <w:szCs w:val="21"/>
    </w:rPr>
  </w:style>
  <w:style w:type="paragraph" w:customStyle="1" w:styleId="215">
    <w:name w:val="注释"/>
    <w:basedOn w:val="1"/>
    <w:link w:val="216"/>
    <w:autoRedefine/>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autoRedefine/>
    <w:qFormat/>
    <w:uiPriority w:val="0"/>
    <w:rPr>
      <w:rFonts w:ascii="宋体" w:hAnsi="宋体"/>
      <w:kern w:val="2"/>
      <w:sz w:val="21"/>
      <w:szCs w:val="21"/>
    </w:rPr>
  </w:style>
  <w:style w:type="paragraph" w:customStyle="1" w:styleId="217">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1">
    <w:name w:val="表格1"/>
    <w:basedOn w:val="1"/>
    <w:autoRedefine/>
    <w:qFormat/>
    <w:uiPriority w:val="0"/>
    <w:pPr>
      <w:ind w:firstLine="480" w:firstLineChars="200"/>
      <w:jc w:val="center"/>
    </w:pPr>
    <w:rPr>
      <w:sz w:val="24"/>
      <w:szCs w:val="20"/>
    </w:rPr>
  </w:style>
  <w:style w:type="character" w:customStyle="1" w:styleId="222">
    <w:name w:val="纯文本 字符1"/>
    <w:autoRedefine/>
    <w:qFormat/>
    <w:uiPriority w:val="0"/>
    <w:rPr>
      <w:rFonts w:ascii="宋体" w:hAnsi="Courier New"/>
    </w:rPr>
  </w:style>
  <w:style w:type="character" w:customStyle="1" w:styleId="223">
    <w:name w:val="bjh-p"/>
    <w:autoRedefine/>
    <w:qFormat/>
    <w:uiPriority w:val="0"/>
  </w:style>
  <w:style w:type="paragraph" w:customStyle="1" w:styleId="224">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autoRedefine/>
    <w:qFormat/>
    <w:locked/>
    <w:uiPriority w:val="0"/>
    <w:rPr>
      <w:rFonts w:ascii="宋体" w:hAnsi="宋体"/>
      <w:sz w:val="24"/>
      <w:szCs w:val="24"/>
      <w:lang w:val="en-GB"/>
    </w:rPr>
  </w:style>
  <w:style w:type="paragraph" w:customStyle="1" w:styleId="226">
    <w:name w:val="正文格式"/>
    <w:basedOn w:val="1"/>
    <w:link w:val="225"/>
    <w:autoRedefine/>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autoRedefine/>
    <w:qFormat/>
    <w:uiPriority w:val="0"/>
    <w:rPr>
      <w:rFonts w:ascii="宋体" w:eastAsia="宋体"/>
      <w:b/>
      <w:sz w:val="24"/>
      <w:u w:val="single"/>
      <w:lang w:val="en-US" w:eastAsia="zh-CN" w:bidi="ar-SA"/>
    </w:rPr>
  </w:style>
  <w:style w:type="character" w:customStyle="1" w:styleId="228">
    <w:name w:val="正文缩进 Char"/>
    <w:autoRedefine/>
    <w:qFormat/>
    <w:uiPriority w:val="0"/>
    <w:rPr>
      <w:rFonts w:ascii="宋体" w:eastAsia="宋体"/>
      <w:kern w:val="2"/>
      <w:sz w:val="24"/>
      <w:szCs w:val="24"/>
      <w:lang w:val="en-US" w:eastAsia="zh-CN" w:bidi="ar-SA"/>
    </w:rPr>
  </w:style>
  <w:style w:type="character" w:customStyle="1" w:styleId="229">
    <w:name w:val="Char Char111"/>
    <w:autoRedefine/>
    <w:qFormat/>
    <w:uiPriority w:val="0"/>
    <w:rPr>
      <w:rFonts w:ascii="宋体" w:eastAsia="宋体"/>
      <w:b/>
      <w:sz w:val="24"/>
      <w:u w:val="single"/>
      <w:lang w:val="en-US" w:eastAsia="zh-CN" w:bidi="ar-SA"/>
    </w:rPr>
  </w:style>
  <w:style w:type="character" w:customStyle="1" w:styleId="230">
    <w:name w:val="正文文本缩进 Char"/>
    <w:autoRedefine/>
    <w:qFormat/>
    <w:uiPriority w:val="0"/>
    <w:rPr>
      <w:rFonts w:eastAsia="宋体"/>
      <w:kern w:val="2"/>
      <w:sz w:val="24"/>
      <w:szCs w:val="24"/>
      <w:lang w:val="en-US" w:eastAsia="zh-CN" w:bidi="ar-SA"/>
    </w:rPr>
  </w:style>
  <w:style w:type="character" w:customStyle="1" w:styleId="231">
    <w:name w:val="列出段落 Char"/>
    <w:autoRedefine/>
    <w:qFormat/>
    <w:uiPriority w:val="0"/>
    <w:rPr>
      <w:rFonts w:ascii="Calibri" w:hAnsi="Calibri" w:eastAsia="宋体"/>
      <w:kern w:val="2"/>
      <w:sz w:val="21"/>
      <w:szCs w:val="22"/>
      <w:lang w:val="en-US" w:eastAsia="zh-CN" w:bidi="ar-SA"/>
    </w:rPr>
  </w:style>
  <w:style w:type="character" w:customStyle="1" w:styleId="232">
    <w:name w:val="页眉 Char"/>
    <w:autoRedefine/>
    <w:qFormat/>
    <w:uiPriority w:val="99"/>
    <w:rPr>
      <w:rFonts w:eastAsia="宋体"/>
      <w:kern w:val="2"/>
      <w:sz w:val="18"/>
      <w:szCs w:val="18"/>
      <w:lang w:val="en-US" w:eastAsia="zh-CN" w:bidi="ar-SA"/>
    </w:rPr>
  </w:style>
  <w:style w:type="character" w:customStyle="1" w:styleId="233">
    <w:name w:val="标题 2 Char"/>
    <w:autoRedefine/>
    <w:qFormat/>
    <w:uiPriority w:val="0"/>
    <w:rPr>
      <w:rFonts w:ascii="Arial" w:hAnsi="Arial" w:eastAsia="黑体"/>
      <w:b/>
      <w:sz w:val="30"/>
      <w:lang w:val="en-US" w:eastAsia="zh-CN" w:bidi="ar-SA"/>
    </w:rPr>
  </w:style>
  <w:style w:type="paragraph" w:customStyle="1" w:styleId="234">
    <w:name w:val="字元 字元2"/>
    <w:basedOn w:val="1"/>
    <w:autoRedefine/>
    <w:qFormat/>
    <w:uiPriority w:val="0"/>
    <w:rPr>
      <w:rFonts w:ascii="Tahoma" w:hAnsi="Tahoma"/>
      <w:sz w:val="24"/>
      <w:szCs w:val="20"/>
    </w:rPr>
  </w:style>
  <w:style w:type="paragraph" w:customStyle="1" w:styleId="235">
    <w:name w:val="Char3 Char Char Char2"/>
    <w:basedOn w:val="1"/>
    <w:autoRedefine/>
    <w:qFormat/>
    <w:uiPriority w:val="0"/>
    <w:rPr>
      <w:rFonts w:ascii="Tahoma" w:hAnsi="Tahoma"/>
      <w:sz w:val="24"/>
      <w:szCs w:val="20"/>
    </w:rPr>
  </w:style>
  <w:style w:type="paragraph" w:customStyle="1" w:styleId="23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7">
    <w:name w:val="Char3"/>
    <w:basedOn w:val="1"/>
    <w:autoRedefine/>
    <w:qFormat/>
    <w:uiPriority w:val="0"/>
    <w:pPr>
      <w:tabs>
        <w:tab w:val="left" w:pos="360"/>
      </w:tabs>
    </w:pPr>
    <w:rPr>
      <w:sz w:val="24"/>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autoRedefine/>
    <w:qFormat/>
    <w:uiPriority w:val="0"/>
    <w:pPr>
      <w:ind w:firstLine="420" w:firstLineChars="200"/>
    </w:pPr>
    <w:rPr>
      <w:rFonts w:ascii="Calibri" w:hAnsi="Calibri"/>
      <w:szCs w:val="22"/>
    </w:rPr>
  </w:style>
  <w:style w:type="paragraph" w:customStyle="1" w:styleId="241">
    <w:name w:val="Char Char Char1 Char2"/>
    <w:basedOn w:val="1"/>
    <w:autoRedefine/>
    <w:qFormat/>
    <w:uiPriority w:val="0"/>
    <w:rPr>
      <w:rFonts w:ascii="Tahoma" w:hAnsi="Tahoma"/>
      <w:sz w:val="24"/>
      <w:szCs w:val="20"/>
    </w:rPr>
  </w:style>
  <w:style w:type="paragraph" w:customStyle="1" w:styleId="242">
    <w:name w:val="Char Char Char2"/>
    <w:basedOn w:val="1"/>
    <w:autoRedefine/>
    <w:qFormat/>
    <w:uiPriority w:val="0"/>
    <w:rPr>
      <w:rFonts w:ascii="Tahoma" w:hAnsi="Tahoma"/>
      <w:sz w:val="24"/>
      <w:szCs w:val="20"/>
    </w:rPr>
  </w:style>
  <w:style w:type="paragraph" w:customStyle="1" w:styleId="24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autoRedefine/>
    <w:qFormat/>
    <w:uiPriority w:val="0"/>
    <w:rPr>
      <w:rFonts w:ascii="Tahoma" w:hAnsi="Tahoma"/>
      <w:sz w:val="24"/>
      <w:szCs w:val="20"/>
    </w:rPr>
  </w:style>
  <w:style w:type="paragraph" w:customStyle="1" w:styleId="247">
    <w:name w:val="Char Char Char Char Char Char Char Char Char Char2"/>
    <w:basedOn w:val="1"/>
    <w:autoRedefine/>
    <w:qFormat/>
    <w:uiPriority w:val="0"/>
    <w:rPr>
      <w:rFonts w:ascii="宋体" w:hAnsi="宋体" w:cs="Courier New"/>
      <w:sz w:val="32"/>
      <w:szCs w:val="32"/>
    </w:rPr>
  </w:style>
  <w:style w:type="paragraph" w:customStyle="1" w:styleId="248">
    <w:name w:val="Char2 Char Char Char Char Char Char1"/>
    <w:basedOn w:val="1"/>
    <w:autoRedefine/>
    <w:qFormat/>
    <w:uiPriority w:val="0"/>
    <w:pPr>
      <w:widowControl/>
      <w:spacing w:line="400" w:lineRule="exact"/>
      <w:jc w:val="center"/>
    </w:pPr>
  </w:style>
  <w:style w:type="character" w:customStyle="1" w:styleId="249">
    <w:name w:val="页脚 Char"/>
    <w:autoRedefine/>
    <w:qFormat/>
    <w:uiPriority w:val="0"/>
    <w:rPr>
      <w:rFonts w:ascii="宋体" w:eastAsia="宋体"/>
      <w:sz w:val="18"/>
      <w:lang w:val="en-US" w:eastAsia="zh-CN" w:bidi="ar-SA"/>
    </w:rPr>
  </w:style>
  <w:style w:type="paragraph" w:customStyle="1" w:styleId="250">
    <w:name w:val="Char Char41"/>
    <w:basedOn w:val="1"/>
    <w:autoRedefine/>
    <w:qFormat/>
    <w:uiPriority w:val="0"/>
    <w:pPr>
      <w:widowControl/>
      <w:spacing w:line="400" w:lineRule="exact"/>
      <w:jc w:val="center"/>
    </w:pPr>
  </w:style>
  <w:style w:type="character" w:customStyle="1" w:styleId="251">
    <w:name w:val="批注文字 Char"/>
    <w:autoRedefine/>
    <w:qFormat/>
    <w:uiPriority w:val="0"/>
    <w:rPr>
      <w:kern w:val="2"/>
      <w:sz w:val="21"/>
      <w:szCs w:val="24"/>
    </w:rPr>
  </w:style>
  <w:style w:type="character" w:customStyle="1" w:styleId="252">
    <w:name w:val="标题 Char"/>
    <w:autoRedefine/>
    <w:qFormat/>
    <w:uiPriority w:val="0"/>
    <w:rPr>
      <w:b/>
      <w:kern w:val="2"/>
      <w:sz w:val="32"/>
    </w:rPr>
  </w:style>
  <w:style w:type="paragraph" w:customStyle="1" w:styleId="253">
    <w:name w:val="图例"/>
    <w:basedOn w:val="1"/>
    <w:autoRedefine/>
    <w:qFormat/>
    <w:uiPriority w:val="0"/>
    <w:pPr>
      <w:spacing w:before="120" w:after="120" w:line="360" w:lineRule="auto"/>
      <w:jc w:val="center"/>
    </w:pPr>
    <w:rPr>
      <w:rFonts w:eastAsia="仿宋_GB2312"/>
      <w:b/>
      <w:sz w:val="24"/>
      <w:szCs w:val="20"/>
    </w:rPr>
  </w:style>
  <w:style w:type="table" w:customStyle="1" w:styleId="25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autoRedefine/>
    <w:qFormat/>
    <w:uiPriority w:val="99"/>
    <w:rPr>
      <w:kern w:val="2"/>
      <w:sz w:val="21"/>
      <w:szCs w:val="24"/>
    </w:rPr>
  </w:style>
  <w:style w:type="character" w:customStyle="1" w:styleId="257">
    <w:name w:val="纯文本 Char"/>
    <w:autoRedefine/>
    <w:qFormat/>
    <w:uiPriority w:val="0"/>
    <w:rPr>
      <w:rFonts w:ascii="宋体" w:hAnsi="Courier New"/>
      <w:kern w:val="2"/>
      <w:sz w:val="21"/>
    </w:rPr>
  </w:style>
  <w:style w:type="character" w:customStyle="1" w:styleId="258">
    <w:name w:val="正文文本 Char"/>
    <w:autoRedefine/>
    <w:qFormat/>
    <w:uiPriority w:val="0"/>
    <w:rPr>
      <w:rFonts w:ascii="宋体" w:hAnsi="宋体"/>
      <w:kern w:val="2"/>
      <w:sz w:val="24"/>
      <w:szCs w:val="24"/>
    </w:rPr>
  </w:style>
  <w:style w:type="character" w:customStyle="1" w:styleId="259">
    <w:name w:val="正文文本缩进 2 Char"/>
    <w:autoRedefine/>
    <w:qFormat/>
    <w:uiPriority w:val="99"/>
    <w:rPr>
      <w:rFonts w:ascii="仿宋_GB2312" w:eastAsia="仿宋_GB2312"/>
      <w:kern w:val="2"/>
      <w:sz w:val="24"/>
      <w:szCs w:val="24"/>
    </w:rPr>
  </w:style>
  <w:style w:type="character" w:customStyle="1" w:styleId="260">
    <w:name w:val="style11"/>
    <w:autoRedefine/>
    <w:qFormat/>
    <w:uiPriority w:val="0"/>
    <w:rPr>
      <w:color w:val="000000"/>
      <w:sz w:val="18"/>
      <w:szCs w:val="18"/>
    </w:rPr>
  </w:style>
  <w:style w:type="character" w:customStyle="1" w:styleId="261">
    <w:name w:val="标题 1 字符"/>
    <w:autoRedefine/>
    <w:qFormat/>
    <w:uiPriority w:val="0"/>
    <w:rPr>
      <w:rFonts w:ascii="宋体"/>
      <w:b/>
      <w:kern w:val="44"/>
      <w:sz w:val="32"/>
    </w:rPr>
  </w:style>
  <w:style w:type="character" w:customStyle="1" w:styleId="262">
    <w:name w:val="标题 2 字符"/>
    <w:autoRedefine/>
    <w:qFormat/>
    <w:uiPriority w:val="0"/>
    <w:rPr>
      <w:rFonts w:ascii="Arial" w:hAnsi="Arial" w:eastAsia="黑体"/>
      <w:b/>
      <w:sz w:val="30"/>
      <w:lang w:val="en-US" w:eastAsia="zh-CN" w:bidi="ar-SA"/>
    </w:rPr>
  </w:style>
  <w:style w:type="character" w:customStyle="1" w:styleId="263">
    <w:name w:val="正文缩进 字符"/>
    <w:autoRedefine/>
    <w:qFormat/>
    <w:uiPriority w:val="0"/>
    <w:rPr>
      <w:rFonts w:ascii="宋体" w:eastAsia="宋体"/>
      <w:kern w:val="2"/>
      <w:sz w:val="24"/>
      <w:szCs w:val="24"/>
      <w:lang w:val="en-US" w:eastAsia="zh-CN" w:bidi="ar-SA"/>
    </w:rPr>
  </w:style>
  <w:style w:type="character" w:customStyle="1" w:styleId="264">
    <w:name w:val="标题 3 字符"/>
    <w:autoRedefine/>
    <w:qFormat/>
    <w:uiPriority w:val="0"/>
    <w:rPr>
      <w:rFonts w:ascii="宋体" w:eastAsia="宋体"/>
      <w:b/>
      <w:sz w:val="24"/>
      <w:u w:val="single"/>
      <w:lang w:val="en-US" w:eastAsia="zh-CN" w:bidi="ar-SA"/>
    </w:rPr>
  </w:style>
  <w:style w:type="character" w:customStyle="1" w:styleId="265">
    <w:name w:val="标题 4 字符"/>
    <w:autoRedefine/>
    <w:qFormat/>
    <w:uiPriority w:val="0"/>
    <w:rPr>
      <w:rFonts w:ascii="Arial" w:hAnsi="Arial" w:eastAsia="黑体"/>
      <w:b/>
      <w:sz w:val="28"/>
    </w:rPr>
  </w:style>
  <w:style w:type="character" w:customStyle="1" w:styleId="266">
    <w:name w:val="标题 5 字符"/>
    <w:autoRedefine/>
    <w:qFormat/>
    <w:uiPriority w:val="0"/>
    <w:rPr>
      <w:b/>
      <w:sz w:val="28"/>
    </w:rPr>
  </w:style>
  <w:style w:type="character" w:customStyle="1" w:styleId="267">
    <w:name w:val="标题 6 字符"/>
    <w:autoRedefine/>
    <w:qFormat/>
    <w:uiPriority w:val="0"/>
    <w:rPr>
      <w:rFonts w:ascii="Arial" w:hAnsi="Arial" w:eastAsia="黑体"/>
      <w:b/>
      <w:sz w:val="24"/>
    </w:rPr>
  </w:style>
  <w:style w:type="character" w:customStyle="1" w:styleId="268">
    <w:name w:val="标题 7 字符"/>
    <w:autoRedefine/>
    <w:qFormat/>
    <w:uiPriority w:val="0"/>
    <w:rPr>
      <w:b/>
      <w:sz w:val="24"/>
    </w:rPr>
  </w:style>
  <w:style w:type="character" w:customStyle="1" w:styleId="269">
    <w:name w:val="标题 8 字符"/>
    <w:autoRedefine/>
    <w:qFormat/>
    <w:uiPriority w:val="0"/>
    <w:rPr>
      <w:rFonts w:ascii="Arial" w:hAnsi="Arial" w:eastAsia="黑体"/>
      <w:sz w:val="24"/>
    </w:rPr>
  </w:style>
  <w:style w:type="character" w:customStyle="1" w:styleId="270">
    <w:name w:val="标题 9 字符"/>
    <w:autoRedefine/>
    <w:qFormat/>
    <w:uiPriority w:val="0"/>
    <w:rPr>
      <w:rFonts w:ascii="Arial" w:hAnsi="Arial" w:eastAsia="黑体"/>
      <w:sz w:val="21"/>
    </w:rPr>
  </w:style>
  <w:style w:type="character" w:customStyle="1" w:styleId="271">
    <w:name w:val="文档结构图 字符"/>
    <w:autoRedefine/>
    <w:qFormat/>
    <w:uiPriority w:val="0"/>
    <w:rPr>
      <w:kern w:val="2"/>
      <w:sz w:val="21"/>
      <w:szCs w:val="24"/>
      <w:shd w:val="clear" w:color="auto" w:fill="000080"/>
    </w:rPr>
  </w:style>
  <w:style w:type="character" w:customStyle="1" w:styleId="272">
    <w:name w:val="批注文字 字符1"/>
    <w:autoRedefine/>
    <w:qFormat/>
    <w:uiPriority w:val="99"/>
    <w:rPr>
      <w:kern w:val="2"/>
      <w:sz w:val="21"/>
      <w:szCs w:val="24"/>
    </w:rPr>
  </w:style>
  <w:style w:type="character" w:customStyle="1" w:styleId="273">
    <w:name w:val="正文文本 3 字符"/>
    <w:autoRedefine/>
    <w:qFormat/>
    <w:uiPriority w:val="0"/>
    <w:rPr>
      <w:kern w:val="2"/>
      <w:sz w:val="16"/>
      <w:szCs w:val="16"/>
    </w:rPr>
  </w:style>
  <w:style w:type="character" w:customStyle="1" w:styleId="274">
    <w:name w:val="正文文本 字符"/>
    <w:autoRedefine/>
    <w:qFormat/>
    <w:uiPriority w:val="0"/>
    <w:rPr>
      <w:rFonts w:ascii="宋体" w:hAnsi="宋体"/>
      <w:kern w:val="2"/>
      <w:sz w:val="24"/>
      <w:szCs w:val="24"/>
    </w:rPr>
  </w:style>
  <w:style w:type="character" w:customStyle="1" w:styleId="275">
    <w:name w:val="正文文本缩进 字符"/>
    <w:autoRedefine/>
    <w:qFormat/>
    <w:uiPriority w:val="0"/>
    <w:rPr>
      <w:rFonts w:eastAsia="宋体"/>
      <w:kern w:val="2"/>
      <w:sz w:val="24"/>
      <w:szCs w:val="24"/>
      <w:lang w:val="en-US" w:eastAsia="zh-CN" w:bidi="ar-SA"/>
    </w:rPr>
  </w:style>
  <w:style w:type="character" w:customStyle="1" w:styleId="276">
    <w:name w:val="纯文本 字符2"/>
    <w:autoRedefine/>
    <w:qFormat/>
    <w:uiPriority w:val="0"/>
    <w:rPr>
      <w:rFonts w:hint="eastAsia" w:ascii="宋体" w:hAnsi="Courier New" w:eastAsia="宋体" w:cs="宋体"/>
      <w:kern w:val="2"/>
      <w:sz w:val="21"/>
    </w:rPr>
  </w:style>
  <w:style w:type="character" w:customStyle="1" w:styleId="277">
    <w:name w:val="日期 字符"/>
    <w:autoRedefine/>
    <w:qFormat/>
    <w:uiPriority w:val="0"/>
    <w:rPr>
      <w:rFonts w:ascii="仿宋_GB2312" w:hAnsi="宋体" w:eastAsia="仿宋_GB2312"/>
      <w:color w:val="000000"/>
      <w:kern w:val="2"/>
      <w:sz w:val="24"/>
      <w:szCs w:val="24"/>
    </w:rPr>
  </w:style>
  <w:style w:type="character" w:customStyle="1" w:styleId="278">
    <w:name w:val="正文文本缩进 2 字符"/>
    <w:autoRedefine/>
    <w:qFormat/>
    <w:uiPriority w:val="0"/>
    <w:rPr>
      <w:rFonts w:ascii="仿宋_GB2312" w:eastAsia="仿宋_GB2312"/>
      <w:kern w:val="2"/>
      <w:sz w:val="24"/>
      <w:szCs w:val="24"/>
    </w:rPr>
  </w:style>
  <w:style w:type="character" w:customStyle="1" w:styleId="279">
    <w:name w:val="批注框文本 字符"/>
    <w:autoRedefine/>
    <w:qFormat/>
    <w:uiPriority w:val="0"/>
    <w:rPr>
      <w:kern w:val="2"/>
      <w:sz w:val="18"/>
      <w:szCs w:val="18"/>
    </w:rPr>
  </w:style>
  <w:style w:type="character" w:customStyle="1" w:styleId="280">
    <w:name w:val="页脚 字符"/>
    <w:autoRedefine/>
    <w:qFormat/>
    <w:uiPriority w:val="99"/>
    <w:rPr>
      <w:rFonts w:ascii="宋体" w:eastAsia="宋体"/>
      <w:sz w:val="18"/>
      <w:lang w:val="en-US" w:eastAsia="zh-CN" w:bidi="ar-SA"/>
    </w:rPr>
  </w:style>
  <w:style w:type="character" w:customStyle="1" w:styleId="281">
    <w:name w:val="页眉 字符"/>
    <w:autoRedefine/>
    <w:qFormat/>
    <w:uiPriority w:val="0"/>
    <w:rPr>
      <w:rFonts w:eastAsia="宋体"/>
      <w:kern w:val="2"/>
      <w:sz w:val="18"/>
      <w:szCs w:val="18"/>
      <w:lang w:val="en-US" w:eastAsia="zh-CN" w:bidi="ar-SA"/>
    </w:rPr>
  </w:style>
  <w:style w:type="character" w:customStyle="1" w:styleId="282">
    <w:name w:val="正文文本缩进 3 字符"/>
    <w:autoRedefine/>
    <w:qFormat/>
    <w:uiPriority w:val="0"/>
    <w:rPr>
      <w:rFonts w:ascii="宋体"/>
      <w:sz w:val="24"/>
    </w:rPr>
  </w:style>
  <w:style w:type="character" w:customStyle="1" w:styleId="283">
    <w:name w:val="HTML 预设格式 字符"/>
    <w:autoRedefine/>
    <w:qFormat/>
    <w:uiPriority w:val="0"/>
    <w:rPr>
      <w:rFonts w:ascii="宋体" w:hAnsi="宋体" w:cs="宋体"/>
      <w:sz w:val="24"/>
      <w:szCs w:val="24"/>
    </w:rPr>
  </w:style>
  <w:style w:type="character" w:customStyle="1" w:styleId="284">
    <w:name w:val="标题 字符"/>
    <w:autoRedefine/>
    <w:qFormat/>
    <w:uiPriority w:val="0"/>
    <w:rPr>
      <w:b/>
      <w:kern w:val="2"/>
      <w:sz w:val="32"/>
    </w:rPr>
  </w:style>
  <w:style w:type="character" w:customStyle="1" w:styleId="285">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autoRedefine/>
    <w:qFormat/>
    <w:uiPriority w:val="0"/>
    <w:rPr>
      <w:rFonts w:eastAsia="宋体"/>
      <w:kern w:val="2"/>
      <w:sz w:val="24"/>
      <w:szCs w:val="24"/>
      <w:lang w:val="en-US" w:eastAsia="zh-CN" w:bidi="ar-SA"/>
    </w:rPr>
  </w:style>
  <w:style w:type="paragraph" w:customStyle="1" w:styleId="2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autoRedefine/>
    <w:qFormat/>
    <w:uiPriority w:val="99"/>
    <w:pPr>
      <w:adjustRightInd w:val="0"/>
      <w:jc w:val="left"/>
    </w:pPr>
    <w:rPr>
      <w:rFonts w:ascii="宋体" w:hAnsi="Courier New" w:eastAsia="等线"/>
      <w:sz w:val="24"/>
      <w:szCs w:val="20"/>
    </w:rPr>
  </w:style>
  <w:style w:type="paragraph" w:customStyle="1" w:styleId="289">
    <w:name w:val="TOC 标题1"/>
    <w:basedOn w:val="4"/>
    <w:next w:val="1"/>
    <w:autoRedefine/>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autoRedefine/>
    <w:qFormat/>
    <w:uiPriority w:val="99"/>
    <w:rPr>
      <w:rFonts w:ascii="宋体" w:hAnsi="宋体" w:eastAsia="宋体" w:cs="宋体"/>
      <w:color w:val="000000"/>
      <w:sz w:val="18"/>
      <w:szCs w:val="18"/>
      <w:u w:val="none"/>
    </w:rPr>
  </w:style>
  <w:style w:type="character" w:customStyle="1" w:styleId="291">
    <w:name w:val="font41"/>
    <w:basedOn w:val="43"/>
    <w:autoRedefine/>
    <w:qFormat/>
    <w:uiPriority w:val="99"/>
    <w:rPr>
      <w:rFonts w:ascii="宋体" w:hAnsi="宋体" w:eastAsia="宋体" w:cs="宋体"/>
      <w:color w:val="000000"/>
      <w:sz w:val="18"/>
      <w:szCs w:val="18"/>
      <w:u w:val="none"/>
    </w:rPr>
  </w:style>
  <w:style w:type="character" w:customStyle="1" w:styleId="292">
    <w:name w:val="font122"/>
    <w:basedOn w:val="43"/>
    <w:autoRedefine/>
    <w:qFormat/>
    <w:uiPriority w:val="99"/>
    <w:rPr>
      <w:rFonts w:ascii="微软雅黑" w:hAnsi="微软雅黑" w:eastAsia="微软雅黑" w:cs="微软雅黑"/>
      <w:b/>
      <w:bCs/>
      <w:color w:val="000000"/>
      <w:sz w:val="18"/>
      <w:szCs w:val="18"/>
      <w:u w:val="none"/>
    </w:rPr>
  </w:style>
  <w:style w:type="character" w:customStyle="1" w:styleId="293">
    <w:name w:val="font81"/>
    <w:basedOn w:val="43"/>
    <w:autoRedefine/>
    <w:qFormat/>
    <w:uiPriority w:val="99"/>
    <w:rPr>
      <w:rFonts w:ascii="宋体" w:hAnsi="宋体" w:eastAsia="宋体" w:cs="宋体"/>
      <w:b/>
      <w:bCs/>
      <w:color w:val="000000"/>
      <w:sz w:val="18"/>
      <w:szCs w:val="18"/>
      <w:u w:val="none"/>
    </w:rPr>
  </w:style>
  <w:style w:type="character" w:customStyle="1" w:styleId="294">
    <w:name w:val="font131"/>
    <w:basedOn w:val="43"/>
    <w:autoRedefine/>
    <w:qFormat/>
    <w:uiPriority w:val="99"/>
    <w:rPr>
      <w:rFonts w:ascii="Calibri" w:hAnsi="Calibri" w:cs="Calibri"/>
      <w:color w:val="FF0000"/>
      <w:sz w:val="18"/>
      <w:szCs w:val="18"/>
      <w:u w:val="none"/>
    </w:rPr>
  </w:style>
  <w:style w:type="character" w:customStyle="1" w:styleId="295">
    <w:name w:val="font101"/>
    <w:basedOn w:val="43"/>
    <w:autoRedefine/>
    <w:qFormat/>
    <w:uiPriority w:val="99"/>
    <w:rPr>
      <w:rFonts w:ascii="宋体" w:hAnsi="宋体" w:eastAsia="宋体" w:cs="宋体"/>
      <w:color w:val="FF0000"/>
      <w:sz w:val="18"/>
      <w:szCs w:val="18"/>
      <w:u w:val="none"/>
    </w:rPr>
  </w:style>
  <w:style w:type="character" w:customStyle="1" w:styleId="296">
    <w:name w:val="font91"/>
    <w:basedOn w:val="43"/>
    <w:autoRedefine/>
    <w:qFormat/>
    <w:uiPriority w:val="99"/>
    <w:rPr>
      <w:rFonts w:ascii="宋体" w:hAnsi="宋体" w:eastAsia="宋体" w:cs="宋体"/>
      <w:color w:val="FF0000"/>
      <w:sz w:val="18"/>
      <w:szCs w:val="18"/>
      <w:u w:val="none"/>
    </w:rPr>
  </w:style>
  <w:style w:type="character" w:customStyle="1" w:styleId="297">
    <w:name w:val="font31"/>
    <w:basedOn w:val="43"/>
    <w:autoRedefine/>
    <w:qFormat/>
    <w:uiPriority w:val="99"/>
    <w:rPr>
      <w:rFonts w:ascii="宋体" w:hAnsi="宋体" w:eastAsia="宋体" w:cs="宋体"/>
      <w:color w:val="000000"/>
      <w:sz w:val="18"/>
      <w:szCs w:val="18"/>
      <w:u w:val="none"/>
    </w:rPr>
  </w:style>
  <w:style w:type="character" w:customStyle="1" w:styleId="298">
    <w:name w:val="font141"/>
    <w:basedOn w:val="43"/>
    <w:autoRedefine/>
    <w:qFormat/>
    <w:uiPriority w:val="99"/>
    <w:rPr>
      <w:rFonts w:ascii="Arial" w:hAnsi="Arial" w:cs="Arial"/>
      <w:color w:val="000000"/>
      <w:sz w:val="18"/>
      <w:szCs w:val="18"/>
      <w:u w:val="none"/>
    </w:rPr>
  </w:style>
  <w:style w:type="paragraph" w:customStyle="1" w:styleId="299">
    <w:name w:val="正文文字缩进 2"/>
    <w:basedOn w:val="1"/>
    <w:autoRedefine/>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autoRedefine/>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autoRedefine/>
    <w:qFormat/>
    <w:uiPriority w:val="0"/>
    <w:pPr>
      <w:spacing w:line="351" w:lineRule="atLeast"/>
      <w:ind w:firstLine="419"/>
      <w:textAlignment w:val="baseline"/>
    </w:pPr>
    <w:rPr>
      <w:rFonts w:ascii="宋体"/>
      <w:color w:val="00000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C1DED-8507-4BB1-98D9-9E8B133CBE2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87</Pages>
  <Words>41528</Words>
  <Characters>44096</Characters>
  <Lines>250</Lines>
  <Paragraphs>70</Paragraphs>
  <TotalTime>52</TotalTime>
  <ScaleCrop>false</ScaleCrop>
  <LinksUpToDate>false</LinksUpToDate>
  <CharactersWithSpaces>45172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2024-05-15T09:00:50Z</dcterms:modified>
  <dc:title>02年杜范本稿</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49F826D8D6FD4BAEB4744EB7FB8E0CBA</vt:lpwstr>
  </property>
</Properties>
</file>