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华文中宋" w:hAnsi="华文中宋" w:eastAsia="华文中宋" w:cs="黑体"/>
          <w:color w:val="auto"/>
          <w:sz w:val="52"/>
          <w:szCs w:val="52"/>
          <w:lang w:eastAsia="zh-CN"/>
        </w:rPr>
      </w:pPr>
      <w:r>
        <w:rPr>
          <w:rFonts w:hint="eastAsia" w:ascii="华文中宋" w:hAnsi="华文中宋" w:eastAsia="华文中宋" w:cs="黑体"/>
          <w:color w:val="auto"/>
          <w:sz w:val="52"/>
          <w:szCs w:val="52"/>
          <w:lang w:eastAsia="zh-CN"/>
        </w:rPr>
        <w:t>北方工业大学博远楼机房改造项目</w:t>
      </w:r>
    </w:p>
    <w:p>
      <w:pPr>
        <w:jc w:val="center"/>
        <w:rPr>
          <w:rFonts w:ascii="华文中宋" w:hAnsi="华文中宋" w:eastAsia="华文中宋" w:cs="黑体"/>
          <w:sz w:val="52"/>
          <w:szCs w:val="52"/>
        </w:rPr>
      </w:pPr>
    </w:p>
    <w:p>
      <w:pPr>
        <w:pStyle w:val="39"/>
        <w:rPr>
          <w:rFonts w:ascii="华文中宋" w:hAnsi="华文中宋" w:eastAsia="华文中宋" w:cs="黑体"/>
          <w:sz w:val="52"/>
          <w:szCs w:val="52"/>
        </w:rPr>
      </w:pPr>
    </w:p>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招 标 文 件</w:t>
      </w:r>
    </w:p>
    <w:p>
      <w:pPr>
        <w:ind w:firstLine="2814" w:firstLineChars="1001"/>
        <w:rPr>
          <w:rFonts w:ascii="宋体" w:hAnsi="宋体"/>
          <w:b/>
          <w:sz w:val="28"/>
        </w:rPr>
      </w:pPr>
    </w:p>
    <w:p>
      <w:pPr>
        <w:ind w:firstLine="2814" w:firstLineChars="1001"/>
        <w:rPr>
          <w:rFonts w:ascii="宋体" w:hAnsi="宋体"/>
          <w:b/>
          <w:sz w:val="28"/>
        </w:rPr>
      </w:pPr>
    </w:p>
    <w:p>
      <w:pPr>
        <w:ind w:firstLine="3213" w:firstLineChars="1000"/>
        <w:rPr>
          <w:rFonts w:ascii="宋体" w:hAnsi="宋体"/>
          <w:b/>
          <w:sz w:val="32"/>
        </w:rPr>
      </w:pPr>
    </w:p>
    <w:p>
      <w:pPr>
        <w:pStyle w:val="4"/>
        <w:rPr>
          <w:rFonts w:hAnsi="宋体"/>
          <w:b/>
          <w:sz w:val="72"/>
        </w:rPr>
      </w:pPr>
    </w:p>
    <w:p>
      <w:pPr>
        <w:pStyle w:val="4"/>
        <w:rPr>
          <w:rFonts w:hAnsi="宋体"/>
          <w:b/>
          <w:sz w:val="72"/>
        </w:rPr>
      </w:pPr>
    </w:p>
    <w:p>
      <w:pPr>
        <w:pStyle w:val="4"/>
        <w:rPr>
          <w:rFonts w:hAnsi="宋体"/>
          <w:b/>
          <w:sz w:val="72"/>
        </w:rPr>
      </w:pP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hint="eastAsia" w:eastAsia="黑体"/>
          <w:b/>
          <w:sz w:val="36"/>
          <w:szCs w:val="36"/>
          <w:lang w:eastAsia="zh-CN"/>
        </w:rPr>
      </w:pPr>
      <w:r>
        <w:rPr>
          <w:rFonts w:eastAsia="黑体"/>
          <w:b/>
          <w:sz w:val="36"/>
          <w:szCs w:val="36"/>
        </w:rPr>
        <w:t>项目编号：</w:t>
      </w:r>
      <w:r>
        <w:rPr>
          <w:rFonts w:hint="eastAsia" w:eastAsia="黑体"/>
          <w:b/>
          <w:sz w:val="36"/>
          <w:szCs w:val="36"/>
        </w:rPr>
        <w:t>BMCC-</w:t>
      </w:r>
      <w:r>
        <w:rPr>
          <w:rFonts w:hint="eastAsia" w:eastAsia="黑体"/>
          <w:b/>
          <w:sz w:val="36"/>
          <w:szCs w:val="36"/>
          <w:lang w:eastAsia="zh-CN"/>
        </w:rPr>
        <w:t>ZC24-0479</w:t>
      </w:r>
    </w:p>
    <w:p>
      <w:pPr>
        <w:spacing w:line="480" w:lineRule="auto"/>
        <w:ind w:right="-57" w:rightChars="-27" w:firstLine="1084" w:firstLineChars="300"/>
        <w:rPr>
          <w:rFonts w:hint="eastAsia" w:eastAsia="黑体"/>
          <w:b/>
          <w:sz w:val="36"/>
          <w:szCs w:val="36"/>
          <w:lang w:eastAsia="zh-CN"/>
        </w:rPr>
      </w:pPr>
      <w:r>
        <w:rPr>
          <w:rFonts w:eastAsia="黑体"/>
          <w:b/>
          <w:sz w:val="36"/>
          <w:szCs w:val="36"/>
        </w:rPr>
        <w:t>采购人</w:t>
      </w:r>
      <w:r>
        <w:rPr>
          <w:rFonts w:hint="eastAsia" w:eastAsia="黑体"/>
          <w:b/>
          <w:sz w:val="36"/>
          <w:szCs w:val="36"/>
        </w:rPr>
        <w:t>：</w:t>
      </w:r>
      <w:r>
        <w:rPr>
          <w:rFonts w:hint="eastAsia" w:eastAsia="黑体"/>
          <w:b/>
          <w:sz w:val="36"/>
          <w:szCs w:val="36"/>
          <w:lang w:eastAsia="zh-CN"/>
        </w:rPr>
        <w:t>北方工业大学</w:t>
      </w:r>
    </w:p>
    <w:p>
      <w:pPr>
        <w:spacing w:line="480" w:lineRule="auto"/>
        <w:ind w:right="-57" w:rightChars="-27" w:firstLine="1084" w:firstLineChars="300"/>
        <w:rPr>
          <w:rFonts w:hAnsi="宋体"/>
          <w:b/>
          <w:sz w:val="72"/>
        </w:rPr>
      </w:pPr>
      <w:r>
        <w:rPr>
          <w:rFonts w:eastAsia="黑体"/>
          <w:b/>
          <w:sz w:val="36"/>
          <w:szCs w:val="36"/>
        </w:rPr>
        <w:t>采购代理机构</w:t>
      </w:r>
      <w:r>
        <w:rPr>
          <w:rFonts w:hint="eastAsia" w:eastAsia="黑体"/>
          <w:b/>
          <w:sz w:val="36"/>
          <w:szCs w:val="36"/>
        </w:rPr>
        <w:t>：北京明德致信咨询有限公司</w:t>
      </w:r>
    </w:p>
    <w:p>
      <w:pPr>
        <w:pStyle w:val="4"/>
        <w:rPr>
          <w:rFonts w:hAnsi="宋体"/>
          <w:b/>
          <w:sz w:val="72"/>
        </w:rPr>
        <w:sectPr>
          <w:headerReference r:id="rId4" w:type="first"/>
          <w:footerReference r:id="rId7" w:type="first"/>
          <w:footerReference r:id="rId5" w:type="default"/>
          <w:headerReference r:id="rId3" w:type="even"/>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ascii="宋体" w:hAnsi="宋体"/>
          <w:b/>
          <w:sz w:val="36"/>
          <w:szCs w:val="36"/>
        </w:rPr>
      </w:pPr>
      <w:bookmarkStart w:id="0" w:name="_Toc99301418"/>
      <w:bookmarkStart w:id="1" w:name="_Toc27935"/>
      <w:bookmarkStart w:id="2" w:name="_Toc100564784"/>
      <w:bookmarkStart w:id="3" w:name="_Toc17857"/>
      <w:r>
        <w:rPr>
          <w:rFonts w:ascii="宋体" w:hAnsi="宋体"/>
          <w:b/>
          <w:sz w:val="36"/>
          <w:szCs w:val="36"/>
        </w:rPr>
        <w:t>目  录</w:t>
      </w:r>
      <w:bookmarkEnd w:id="0"/>
      <w:bookmarkEnd w:id="1"/>
      <w:bookmarkEnd w:id="2"/>
      <w:bookmarkEnd w:id="3"/>
    </w:p>
    <w:p>
      <w:pPr>
        <w:pStyle w:val="28"/>
        <w:tabs>
          <w:tab w:val="right" w:leader="dot" w:pos="9072"/>
        </w:tabs>
      </w:pPr>
      <w:r>
        <w:fldChar w:fldCharType="begin"/>
      </w:r>
      <w:r>
        <w:instrText xml:space="preserve"> TOC \o "1-1" \h \z \u </w:instrText>
      </w:r>
      <w:r>
        <w:fldChar w:fldCharType="separate"/>
      </w:r>
      <w:r>
        <w:fldChar w:fldCharType="begin"/>
      </w:r>
      <w:r>
        <w:instrText xml:space="preserve"> HYPERLINK \l _Toc12344 </w:instrText>
      </w:r>
      <w:r>
        <w:fldChar w:fldCharType="separate"/>
      </w:r>
      <w:r>
        <w:rPr>
          <w:rFonts w:ascii="宋体" w:hAnsi="宋体"/>
          <w:szCs w:val="36"/>
        </w:rPr>
        <w:t>第一章  投标邀请</w:t>
      </w:r>
      <w:r>
        <w:tab/>
      </w:r>
      <w:r>
        <w:fldChar w:fldCharType="begin"/>
      </w:r>
      <w:r>
        <w:instrText xml:space="preserve"> PAGEREF _Toc12344 \h </w:instrText>
      </w:r>
      <w:r>
        <w:fldChar w:fldCharType="separate"/>
      </w:r>
      <w:r>
        <w:t>1</w:t>
      </w:r>
      <w:r>
        <w:fldChar w:fldCharType="end"/>
      </w:r>
      <w:r>
        <w:fldChar w:fldCharType="end"/>
      </w:r>
    </w:p>
    <w:p>
      <w:pPr>
        <w:pStyle w:val="28"/>
        <w:tabs>
          <w:tab w:val="right" w:leader="dot" w:pos="9072"/>
        </w:tabs>
      </w:pPr>
      <w:r>
        <w:fldChar w:fldCharType="begin"/>
      </w:r>
      <w:r>
        <w:instrText xml:space="preserve"> HYPERLINK \l _Toc1650 </w:instrText>
      </w:r>
      <w:r>
        <w:fldChar w:fldCharType="separate"/>
      </w:r>
      <w:r>
        <w:rPr>
          <w:rFonts w:ascii="宋体" w:hAnsi="宋体"/>
          <w:szCs w:val="36"/>
        </w:rPr>
        <w:t>第二章  投标人须知</w:t>
      </w:r>
      <w:r>
        <w:tab/>
      </w:r>
      <w:r>
        <w:fldChar w:fldCharType="begin"/>
      </w:r>
      <w:r>
        <w:instrText xml:space="preserve"> PAGEREF _Toc1650 \h </w:instrText>
      </w:r>
      <w:r>
        <w:fldChar w:fldCharType="separate"/>
      </w:r>
      <w:r>
        <w:t>4</w:t>
      </w:r>
      <w:r>
        <w:fldChar w:fldCharType="end"/>
      </w:r>
      <w:r>
        <w:fldChar w:fldCharType="end"/>
      </w:r>
    </w:p>
    <w:p>
      <w:pPr>
        <w:pStyle w:val="28"/>
        <w:tabs>
          <w:tab w:val="right" w:leader="dot" w:pos="9072"/>
        </w:tabs>
      </w:pPr>
      <w:r>
        <w:fldChar w:fldCharType="begin"/>
      </w:r>
      <w:r>
        <w:instrText xml:space="preserve"> HYPERLINK \l _Toc15123 </w:instrText>
      </w:r>
      <w:r>
        <w:fldChar w:fldCharType="separate"/>
      </w:r>
      <w:r>
        <w:rPr>
          <w:rFonts w:ascii="宋体" w:hAnsi="宋体"/>
          <w:szCs w:val="36"/>
        </w:rPr>
        <w:t>第三章  资格审查</w:t>
      </w:r>
      <w:r>
        <w:tab/>
      </w:r>
      <w:r>
        <w:fldChar w:fldCharType="begin"/>
      </w:r>
      <w:r>
        <w:instrText xml:space="preserve"> PAGEREF _Toc15123 \h </w:instrText>
      </w:r>
      <w:r>
        <w:fldChar w:fldCharType="separate"/>
      </w:r>
      <w:r>
        <w:t>22</w:t>
      </w:r>
      <w:r>
        <w:fldChar w:fldCharType="end"/>
      </w:r>
      <w:r>
        <w:fldChar w:fldCharType="end"/>
      </w:r>
    </w:p>
    <w:p>
      <w:pPr>
        <w:pStyle w:val="28"/>
        <w:tabs>
          <w:tab w:val="right" w:leader="dot" w:pos="9072"/>
        </w:tabs>
      </w:pPr>
      <w:r>
        <w:fldChar w:fldCharType="begin"/>
      </w:r>
      <w:r>
        <w:instrText xml:space="preserve"> HYPERLINK \l _Toc20146 </w:instrText>
      </w:r>
      <w:r>
        <w:fldChar w:fldCharType="separate"/>
      </w:r>
      <w:r>
        <w:rPr>
          <w:rFonts w:ascii="宋体" w:hAnsi="宋体"/>
          <w:szCs w:val="36"/>
        </w:rPr>
        <w:t>第四章  评标程序、评标方法和评标标准</w:t>
      </w:r>
      <w:r>
        <w:tab/>
      </w:r>
      <w:r>
        <w:fldChar w:fldCharType="begin"/>
      </w:r>
      <w:r>
        <w:instrText xml:space="preserve"> PAGEREF _Toc20146 \h </w:instrText>
      </w:r>
      <w:r>
        <w:fldChar w:fldCharType="separate"/>
      </w:r>
      <w:r>
        <w:t>26</w:t>
      </w:r>
      <w:r>
        <w:fldChar w:fldCharType="end"/>
      </w:r>
      <w:r>
        <w:fldChar w:fldCharType="end"/>
      </w:r>
    </w:p>
    <w:p>
      <w:pPr>
        <w:pStyle w:val="28"/>
        <w:tabs>
          <w:tab w:val="right" w:leader="dot" w:pos="9072"/>
        </w:tabs>
      </w:pPr>
      <w:r>
        <w:fldChar w:fldCharType="begin"/>
      </w:r>
      <w:r>
        <w:instrText xml:space="preserve"> HYPERLINK \l _Toc14590 </w:instrText>
      </w:r>
      <w:r>
        <w:fldChar w:fldCharType="separate"/>
      </w:r>
      <w:r>
        <w:rPr>
          <w:rFonts w:ascii="宋体" w:hAnsi="宋体"/>
          <w:szCs w:val="36"/>
        </w:rPr>
        <w:t>第五章  采购需求</w:t>
      </w:r>
      <w:r>
        <w:tab/>
      </w:r>
      <w:r>
        <w:fldChar w:fldCharType="begin"/>
      </w:r>
      <w:r>
        <w:instrText xml:space="preserve"> PAGEREF _Toc14590 \h </w:instrText>
      </w:r>
      <w:r>
        <w:fldChar w:fldCharType="separate"/>
      </w:r>
      <w:r>
        <w:t>34</w:t>
      </w:r>
      <w:r>
        <w:fldChar w:fldCharType="end"/>
      </w:r>
      <w:r>
        <w:fldChar w:fldCharType="end"/>
      </w:r>
    </w:p>
    <w:p>
      <w:pPr>
        <w:pStyle w:val="28"/>
        <w:tabs>
          <w:tab w:val="right" w:leader="dot" w:pos="9072"/>
        </w:tabs>
      </w:pPr>
      <w:r>
        <w:fldChar w:fldCharType="begin"/>
      </w:r>
      <w:r>
        <w:instrText xml:space="preserve"> HYPERLINK \l _Toc5021 </w:instrText>
      </w:r>
      <w:r>
        <w:fldChar w:fldCharType="separate"/>
      </w:r>
      <w:r>
        <w:rPr>
          <w:rFonts w:ascii="宋体" w:hAnsi="宋体"/>
          <w:szCs w:val="36"/>
        </w:rPr>
        <w:t>第六章  拟签订的合同文本</w:t>
      </w:r>
      <w:r>
        <w:tab/>
      </w:r>
      <w:r>
        <w:fldChar w:fldCharType="begin"/>
      </w:r>
      <w:r>
        <w:instrText xml:space="preserve"> PAGEREF _Toc5021 \h </w:instrText>
      </w:r>
      <w:r>
        <w:fldChar w:fldCharType="separate"/>
      </w:r>
      <w:r>
        <w:t>35</w:t>
      </w:r>
      <w:r>
        <w:fldChar w:fldCharType="end"/>
      </w:r>
      <w:r>
        <w:fldChar w:fldCharType="end"/>
      </w:r>
    </w:p>
    <w:p>
      <w:pPr>
        <w:pStyle w:val="28"/>
        <w:tabs>
          <w:tab w:val="right" w:leader="dot" w:pos="9072"/>
        </w:tabs>
      </w:pPr>
      <w:r>
        <w:fldChar w:fldCharType="begin"/>
      </w:r>
      <w:r>
        <w:instrText xml:space="preserve"> HYPERLINK \l _Toc12741 </w:instrText>
      </w:r>
      <w:r>
        <w:fldChar w:fldCharType="separate"/>
      </w:r>
      <w:r>
        <w:t>第七章  投标文件格式</w:t>
      </w:r>
      <w:r>
        <w:tab/>
      </w:r>
      <w:r>
        <w:fldChar w:fldCharType="begin"/>
      </w:r>
      <w:r>
        <w:instrText xml:space="preserve"> PAGEREF _Toc12741 \h </w:instrText>
      </w:r>
      <w:r>
        <w:fldChar w:fldCharType="separate"/>
      </w:r>
      <w:r>
        <w:t>57</w:t>
      </w:r>
      <w:r>
        <w:fldChar w:fldCharType="end"/>
      </w:r>
      <w:r>
        <w:fldChar w:fldCharType="end"/>
      </w:r>
    </w:p>
    <w:p>
      <w:pPr>
        <w:pStyle w:val="81"/>
        <w:spacing w:line="360" w:lineRule="auto"/>
        <w:rPr>
          <w:b w:val="0"/>
        </w:rPr>
      </w:pPr>
      <w:r>
        <w:fldChar w:fldCharType="end"/>
      </w:r>
    </w:p>
    <w:p>
      <w:pPr>
        <w:spacing w:line="360" w:lineRule="auto"/>
        <w:jc w:val="center"/>
        <w:outlineLvl w:val="0"/>
        <w:rPr>
          <w:rFonts w:ascii="宋体" w:hAnsi="宋体"/>
          <w:b/>
          <w:sz w:val="36"/>
          <w:szCs w:val="36"/>
        </w:rPr>
      </w:pPr>
      <w:bookmarkStart w:id="880" w:name="_GoBack"/>
      <w:bookmarkEnd w:id="880"/>
      <w:r>
        <w:rPr>
          <w:rFonts w:ascii="宋体" w:hAnsi="宋体"/>
          <w:sz w:val="24"/>
        </w:rPr>
        <w:br w:type="page"/>
      </w:r>
      <w:bookmarkStart w:id="4" w:name="_Toc12344"/>
      <w:r>
        <w:rPr>
          <w:rFonts w:ascii="宋体" w:hAnsi="宋体"/>
          <w:b/>
          <w:sz w:val="36"/>
          <w:szCs w:val="36"/>
        </w:rPr>
        <w:t>第一章  投标邀请</w:t>
      </w:r>
      <w:bookmarkEnd w:id="4"/>
    </w:p>
    <w:p>
      <w:pPr>
        <w:pStyle w:val="3"/>
        <w:spacing w:before="0" w:line="360" w:lineRule="auto"/>
        <w:jc w:val="left"/>
        <w:rPr>
          <w:rFonts w:ascii="宋体" w:hAnsi="宋体" w:eastAsia="宋体"/>
          <w:sz w:val="24"/>
          <w:szCs w:val="24"/>
        </w:rPr>
      </w:pPr>
      <w:bookmarkStart w:id="5" w:name="_Toc35393621"/>
      <w:bookmarkStart w:id="6" w:name="_Toc28359079"/>
      <w:bookmarkStart w:id="7" w:name="_Toc35393790"/>
      <w:bookmarkStart w:id="8" w:name="_Toc28359002"/>
      <w:bookmarkStart w:id="9" w:name="_Hlk24379207"/>
      <w:r>
        <w:rPr>
          <w:rFonts w:ascii="宋体" w:hAnsi="宋体" w:eastAsia="宋体"/>
          <w:sz w:val="24"/>
          <w:szCs w:val="24"/>
        </w:rPr>
        <w:t>一、项目基本情况</w:t>
      </w:r>
      <w:bookmarkEnd w:id="5"/>
      <w:bookmarkEnd w:id="6"/>
      <w:bookmarkEnd w:id="7"/>
      <w:bookmarkEnd w:id="8"/>
    </w:p>
    <w:p>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ZC24-0479</w:t>
      </w:r>
    </w:p>
    <w:p>
      <w:pPr>
        <w:spacing w:line="360" w:lineRule="auto"/>
        <w:ind w:firstLine="480" w:firstLineChars="200"/>
        <w:rPr>
          <w:rFonts w:hint="eastAsia" w:ascii="宋体" w:hAnsi="宋体" w:eastAsia="宋体"/>
          <w:color w:val="auto"/>
          <w:sz w:val="24"/>
          <w:lang w:eastAsia="zh-CN"/>
        </w:rPr>
      </w:pPr>
      <w:r>
        <w:rPr>
          <w:rFonts w:ascii="宋体" w:hAnsi="宋体"/>
          <w:color w:val="auto"/>
          <w:sz w:val="24"/>
        </w:rPr>
        <w:t>2.项目名称：</w:t>
      </w:r>
      <w:r>
        <w:rPr>
          <w:rFonts w:hint="eastAsia" w:ascii="宋体" w:hAnsi="宋体"/>
          <w:color w:val="auto"/>
          <w:sz w:val="24"/>
          <w:lang w:eastAsia="zh-CN"/>
        </w:rPr>
        <w:t>北方工业大学博远楼机房改造项目</w:t>
      </w:r>
    </w:p>
    <w:bookmarkEnd w:id="9"/>
    <w:p>
      <w:pPr>
        <w:spacing w:line="360" w:lineRule="auto"/>
        <w:ind w:firstLine="480" w:firstLineChars="200"/>
        <w:rPr>
          <w:rFonts w:ascii="宋体" w:hAnsi="宋体"/>
          <w:sz w:val="24"/>
          <w:u w:val="single"/>
        </w:rPr>
      </w:pPr>
      <w:r>
        <w:rPr>
          <w:rFonts w:ascii="宋体" w:hAnsi="宋体"/>
          <w:sz w:val="24"/>
        </w:rPr>
        <w:t>3.项目预算金额：</w:t>
      </w:r>
      <w:r>
        <w:rPr>
          <w:rFonts w:hint="eastAsia" w:ascii="宋体" w:hAnsi="宋体"/>
          <w:sz w:val="24"/>
          <w:u w:val="single"/>
          <w:lang w:eastAsia="zh-CN"/>
        </w:rPr>
        <w:t xml:space="preserve"> </w:t>
      </w:r>
      <w:r>
        <w:rPr>
          <w:rFonts w:hint="eastAsia" w:ascii="宋体" w:hAnsi="宋体"/>
          <w:sz w:val="24"/>
          <w:u w:val="single"/>
          <w:lang w:val="en-US" w:eastAsia="zh-CN"/>
        </w:rPr>
        <w:t>98.576</w:t>
      </w:r>
      <w:r>
        <w:rPr>
          <w:rFonts w:hint="eastAsia" w:ascii="宋体" w:hAnsi="宋体"/>
          <w:sz w:val="24"/>
        </w:rPr>
        <w:t>万元</w:t>
      </w:r>
      <w:r>
        <w:rPr>
          <w:rFonts w:ascii="宋体" w:hAnsi="宋体"/>
          <w:sz w:val="24"/>
        </w:rPr>
        <w:t>、项目最高限价：</w:t>
      </w:r>
      <w:r>
        <w:rPr>
          <w:rFonts w:hint="eastAsia" w:ascii="宋体" w:hAnsi="宋体"/>
          <w:sz w:val="24"/>
          <w:u w:val="single"/>
          <w:lang w:eastAsia="zh-CN"/>
        </w:rPr>
        <w:t xml:space="preserve"> </w:t>
      </w:r>
      <w:r>
        <w:rPr>
          <w:rFonts w:hint="eastAsia" w:ascii="宋体" w:hAnsi="宋体"/>
          <w:sz w:val="24"/>
          <w:u w:val="single"/>
          <w:lang w:val="en-US" w:eastAsia="zh-CN"/>
        </w:rPr>
        <w:t>98.576</w:t>
      </w:r>
      <w:r>
        <w:rPr>
          <w:rFonts w:hint="eastAsia" w:ascii="宋体" w:hAnsi="宋体"/>
          <w:sz w:val="24"/>
          <w:u w:val="single"/>
        </w:rPr>
        <w:t>万元</w:t>
      </w:r>
    </w:p>
    <w:p>
      <w:pPr>
        <w:spacing w:line="360" w:lineRule="auto"/>
        <w:ind w:firstLine="480" w:firstLineChars="200"/>
        <w:rPr>
          <w:rFonts w:ascii="宋体" w:hAnsi="宋体"/>
          <w:sz w:val="24"/>
        </w:rPr>
      </w:pPr>
      <w:r>
        <w:rPr>
          <w:rFonts w:hint="eastAsia" w:ascii="宋体" w:hAnsi="宋体"/>
          <w:sz w:val="24"/>
        </w:rPr>
        <w:t>投标报价不能超过各包预算金额和最高限价，否则其投标将被拒绝。</w:t>
      </w:r>
    </w:p>
    <w:p>
      <w:pPr>
        <w:spacing w:line="360" w:lineRule="auto"/>
        <w:ind w:firstLine="480" w:firstLineChars="200"/>
        <w:rPr>
          <w:rFonts w:ascii="宋体" w:hAnsi="宋体"/>
          <w:sz w:val="24"/>
        </w:rPr>
      </w:pPr>
      <w:r>
        <w:rPr>
          <w:rFonts w:ascii="宋体" w:hAnsi="宋体"/>
          <w:sz w:val="24"/>
        </w:rPr>
        <w:t>4.采购需求：</w:t>
      </w:r>
    </w:p>
    <w:tbl>
      <w:tblPr>
        <w:tblStyle w:val="40"/>
        <w:tblW w:w="53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530"/>
        <w:gridCol w:w="1328"/>
        <w:gridCol w:w="840"/>
        <w:gridCol w:w="840"/>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 w:type="pct"/>
            <w:vAlign w:val="center"/>
          </w:tcPr>
          <w:p>
            <w:pPr>
              <w:jc w:val="center"/>
              <w:rPr>
                <w:bCs/>
                <w:szCs w:val="21"/>
              </w:rPr>
            </w:pPr>
            <w:r>
              <w:rPr>
                <w:bCs/>
                <w:szCs w:val="21"/>
              </w:rPr>
              <w:t>包号</w:t>
            </w:r>
          </w:p>
        </w:tc>
        <w:tc>
          <w:tcPr>
            <w:tcW w:w="1275" w:type="pct"/>
            <w:vAlign w:val="center"/>
          </w:tcPr>
          <w:p>
            <w:pPr>
              <w:jc w:val="center"/>
              <w:rPr>
                <w:bCs/>
                <w:szCs w:val="21"/>
              </w:rPr>
            </w:pPr>
            <w:r>
              <w:rPr>
                <w:bCs/>
                <w:szCs w:val="21"/>
              </w:rPr>
              <w:t>标的名称</w:t>
            </w:r>
          </w:p>
        </w:tc>
        <w:tc>
          <w:tcPr>
            <w:tcW w:w="669" w:type="pct"/>
            <w:vAlign w:val="center"/>
          </w:tcPr>
          <w:p>
            <w:pPr>
              <w:jc w:val="center"/>
              <w:rPr>
                <w:bCs/>
                <w:szCs w:val="21"/>
              </w:rPr>
            </w:pPr>
            <w:r>
              <w:rPr>
                <w:bCs/>
                <w:szCs w:val="21"/>
              </w:rPr>
              <w:t>采购包预算金额</w:t>
            </w:r>
          </w:p>
          <w:p>
            <w:pPr>
              <w:jc w:val="center"/>
              <w:rPr>
                <w:bCs/>
                <w:szCs w:val="21"/>
              </w:rPr>
            </w:pPr>
            <w:r>
              <w:rPr>
                <w:bCs/>
                <w:szCs w:val="21"/>
              </w:rPr>
              <w:t>（万元）</w:t>
            </w:r>
          </w:p>
        </w:tc>
        <w:tc>
          <w:tcPr>
            <w:tcW w:w="423" w:type="pct"/>
            <w:vAlign w:val="center"/>
          </w:tcPr>
          <w:p>
            <w:pPr>
              <w:jc w:val="center"/>
              <w:rPr>
                <w:rFonts w:hint="default" w:eastAsia="宋体"/>
                <w:bCs/>
                <w:szCs w:val="21"/>
                <w:lang w:val="en-US" w:eastAsia="zh-CN"/>
              </w:rPr>
            </w:pPr>
            <w:r>
              <w:rPr>
                <w:rFonts w:hint="eastAsia"/>
                <w:bCs/>
                <w:szCs w:val="21"/>
                <w:lang w:val="en-US" w:eastAsia="zh-CN"/>
              </w:rPr>
              <w:t>是否接受进口产品</w:t>
            </w:r>
          </w:p>
        </w:tc>
        <w:tc>
          <w:tcPr>
            <w:tcW w:w="423" w:type="pct"/>
            <w:vAlign w:val="center"/>
          </w:tcPr>
          <w:p>
            <w:pPr>
              <w:jc w:val="center"/>
              <w:rPr>
                <w:bCs/>
                <w:szCs w:val="21"/>
              </w:rPr>
            </w:pPr>
            <w:r>
              <w:rPr>
                <w:bCs/>
                <w:szCs w:val="21"/>
              </w:rPr>
              <w:t>数量</w:t>
            </w:r>
          </w:p>
        </w:tc>
        <w:tc>
          <w:tcPr>
            <w:tcW w:w="1947"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1" w:type="pct"/>
            <w:vAlign w:val="center"/>
          </w:tcPr>
          <w:p>
            <w:pPr>
              <w:jc w:val="center"/>
              <w:rPr>
                <w:bCs/>
                <w:szCs w:val="21"/>
              </w:rPr>
            </w:pPr>
            <w:r>
              <w:rPr>
                <w:bCs/>
                <w:szCs w:val="21"/>
              </w:rPr>
              <w:t>01</w:t>
            </w:r>
          </w:p>
        </w:tc>
        <w:tc>
          <w:tcPr>
            <w:tcW w:w="1275" w:type="pct"/>
            <w:vAlign w:val="center"/>
          </w:tcPr>
          <w:p>
            <w:pPr>
              <w:widowControl/>
              <w:adjustRightInd w:val="0"/>
              <w:snapToGrid w:val="0"/>
              <w:jc w:val="center"/>
              <w:rPr>
                <w:rFonts w:hint="default" w:eastAsia="宋体"/>
                <w:bCs/>
                <w:szCs w:val="21"/>
                <w:lang w:val="en-US" w:eastAsia="zh-CN"/>
              </w:rPr>
            </w:pPr>
            <w:r>
              <w:rPr>
                <w:rFonts w:hint="eastAsia"/>
                <w:bCs/>
                <w:szCs w:val="21"/>
                <w:lang w:val="en-US" w:eastAsia="zh-CN"/>
              </w:rPr>
              <w:t>配套设备</w:t>
            </w:r>
          </w:p>
        </w:tc>
        <w:tc>
          <w:tcPr>
            <w:tcW w:w="669" w:type="pct"/>
            <w:vAlign w:val="center"/>
          </w:tcPr>
          <w:p>
            <w:pPr>
              <w:widowControl/>
              <w:adjustRightInd w:val="0"/>
              <w:snapToGrid w:val="0"/>
              <w:jc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98.576</w:t>
            </w:r>
          </w:p>
        </w:tc>
        <w:tc>
          <w:tcPr>
            <w:tcW w:w="423"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否</w:t>
            </w:r>
          </w:p>
        </w:tc>
        <w:tc>
          <w:tcPr>
            <w:tcW w:w="423" w:type="pct"/>
            <w:vAlign w:val="center"/>
          </w:tcPr>
          <w:p>
            <w:pPr>
              <w:jc w:val="center"/>
              <w:rPr>
                <w:rFonts w:hint="eastAsia" w:ascii="宋体" w:hAnsi="宋体" w:eastAsia="宋体" w:cs="Yu Mincho Light"/>
                <w:kern w:val="0"/>
                <w:szCs w:val="21"/>
                <w:lang w:val="en-US" w:eastAsia="zh-CN"/>
              </w:rPr>
            </w:pPr>
            <w:r>
              <w:rPr>
                <w:rFonts w:hint="eastAsia" w:ascii="宋体" w:hAnsi="宋体" w:cs="Yu Mincho Light"/>
                <w:kern w:val="0"/>
                <w:szCs w:val="21"/>
              </w:rPr>
              <w:t>1</w:t>
            </w:r>
            <w:r>
              <w:rPr>
                <w:rFonts w:hint="eastAsia" w:ascii="宋体" w:hAnsi="宋体" w:cs="Yu Mincho Light"/>
                <w:kern w:val="0"/>
                <w:szCs w:val="21"/>
                <w:lang w:val="en-US" w:eastAsia="zh-CN"/>
              </w:rPr>
              <w:t>批</w:t>
            </w:r>
          </w:p>
        </w:tc>
        <w:tc>
          <w:tcPr>
            <w:tcW w:w="1947" w:type="pct"/>
            <w:vAlign w:val="center"/>
          </w:tcPr>
          <w:p>
            <w:pPr>
              <w:jc w:val="center"/>
              <w:rPr>
                <w:rFonts w:hint="eastAsia" w:eastAsia="宋体"/>
                <w:kern w:val="0"/>
                <w:szCs w:val="21"/>
                <w:lang w:eastAsia="zh-CN"/>
              </w:rPr>
            </w:pPr>
            <w:r>
              <w:rPr>
                <w:rFonts w:hint="eastAsia"/>
              </w:rPr>
              <w:t>对博远楼第二机房教学设备进行更新，改造完成后，满足教师与学生的需求，提升教学环境效果，保障日常教学、实验、竞赛和考试需求</w:t>
            </w:r>
            <w:r>
              <w:rPr>
                <w:rFonts w:hint="eastAsia"/>
                <w:kern w:val="0"/>
                <w:lang w:eastAsia="zh-CN"/>
              </w:rPr>
              <w:t>……</w:t>
            </w:r>
          </w:p>
        </w:tc>
      </w:tr>
    </w:tbl>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lang w:val="en-US" w:eastAsia="zh-CN"/>
        </w:rPr>
        <w:t>按合同约定期限完成供货及安装调试</w:t>
      </w:r>
      <w:r>
        <w:rPr>
          <w:rFonts w:hint="eastAsia" w:ascii="宋体" w:hAnsi="宋体"/>
          <w:sz w:val="24"/>
          <w:u w:val="single"/>
        </w:rPr>
        <w:t xml:space="preserve">  </w:t>
      </w:r>
      <w:r>
        <w:rPr>
          <w:rFonts w:hint="eastAsia" w:ascii="宋体" w:hAnsi="宋体"/>
          <w:color w:val="000000"/>
          <w:sz w:val="24"/>
        </w:rPr>
        <w:t>。</w:t>
      </w:r>
    </w:p>
    <w:p>
      <w:pPr>
        <w:spacing w:line="360" w:lineRule="auto"/>
        <w:ind w:firstLine="480" w:firstLineChars="200"/>
        <w:rPr>
          <w:rFonts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pPr>
        <w:pStyle w:val="3"/>
        <w:spacing w:before="0" w:line="360" w:lineRule="auto"/>
        <w:jc w:val="left"/>
        <w:rPr>
          <w:rFonts w:ascii="宋体" w:hAnsi="宋体" w:eastAsia="宋体"/>
          <w:sz w:val="24"/>
          <w:szCs w:val="24"/>
        </w:rPr>
      </w:pPr>
      <w:bookmarkStart w:id="10" w:name="_Toc35393622"/>
      <w:bookmarkStart w:id="11" w:name="_Toc28359003"/>
      <w:bookmarkStart w:id="12" w:name="_Toc35393791"/>
      <w:bookmarkStart w:id="13" w:name="_Toc28359080"/>
      <w:r>
        <w:rPr>
          <w:rFonts w:ascii="宋体" w:hAnsi="宋体" w:eastAsia="宋体"/>
          <w:sz w:val="24"/>
          <w:szCs w:val="24"/>
        </w:rPr>
        <w:t>二、申请人的资格要求（须同时满足）</w:t>
      </w:r>
      <w:bookmarkEnd w:id="10"/>
      <w:bookmarkEnd w:id="11"/>
      <w:bookmarkEnd w:id="12"/>
      <w:bookmarkEnd w:id="13"/>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4" w:name="_Toc28359004"/>
      <w:bookmarkStart w:id="15"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lang w:val="en-US" w:eastAsia="zh-CN"/>
        </w:rPr>
        <w:t>1</w:t>
      </w:r>
      <w:r>
        <w:rPr>
          <w:rFonts w:ascii="宋体" w:hAnsi="宋体"/>
          <w:sz w:val="24"/>
        </w:rPr>
        <w:t>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6" w:name="_Hlk100673152"/>
      <w:r>
        <w:rPr>
          <w:rFonts w:hint="eastAsia" w:ascii="宋体" w:hAnsi="宋体"/>
          <w:sz w:val="24"/>
          <w:lang w:val="en-US" w:eastAsia="zh-CN"/>
        </w:rPr>
        <w:t xml:space="preserve">2 </w:t>
      </w:r>
      <w:r>
        <w:rPr>
          <w:rFonts w:ascii="宋体" w:hAnsi="宋体"/>
          <w:sz w:val="24"/>
        </w:rPr>
        <w:t>其他特定资格</w:t>
      </w:r>
      <w:bookmarkEnd w:id="16"/>
      <w:r>
        <w:rPr>
          <w:rFonts w:ascii="宋体" w:hAnsi="宋体"/>
          <w:sz w:val="24"/>
        </w:rPr>
        <w:t>要求：</w:t>
      </w:r>
      <w:r>
        <w:rPr>
          <w:rFonts w:hint="eastAsia"/>
          <w:sz w:val="24"/>
          <w:u w:val="single"/>
        </w:rPr>
        <w:t xml:space="preserve"> </w:t>
      </w:r>
      <w:r>
        <w:rPr>
          <w:rFonts w:hint="eastAsia"/>
          <w:sz w:val="24"/>
          <w:u w:val="single"/>
          <w:lang w:val="en-US" w:eastAsia="zh-CN"/>
        </w:rPr>
        <w:t>无</w:t>
      </w:r>
      <w:r>
        <w:rPr>
          <w:rFonts w:hint="eastAsia"/>
          <w:sz w:val="24"/>
          <w:u w:val="single"/>
        </w:rPr>
        <w:t xml:space="preserve">  </w:t>
      </w:r>
      <w:r>
        <w:rPr>
          <w:rFonts w:hint="eastAsia"/>
          <w:sz w:val="24"/>
        </w:rPr>
        <w:t>。</w:t>
      </w:r>
    </w:p>
    <w:bookmarkEnd w:id="14"/>
    <w:bookmarkEnd w:id="15"/>
    <w:p>
      <w:pPr>
        <w:pStyle w:val="3"/>
        <w:widowControl/>
        <w:spacing w:before="0" w:line="360" w:lineRule="auto"/>
        <w:jc w:val="left"/>
        <w:rPr>
          <w:rFonts w:ascii="宋体" w:hAnsi="宋体" w:eastAsia="宋体"/>
          <w:sz w:val="24"/>
          <w:szCs w:val="24"/>
        </w:rPr>
      </w:pPr>
      <w:bookmarkStart w:id="17" w:name="_Toc35393792"/>
      <w:bookmarkStart w:id="18" w:name="_Toc35393623"/>
      <w:r>
        <w:rPr>
          <w:rFonts w:ascii="宋体" w:hAnsi="宋体" w:eastAsia="宋体"/>
          <w:sz w:val="24"/>
          <w:szCs w:val="24"/>
        </w:rPr>
        <w:t>三、获取招标文件</w:t>
      </w:r>
      <w:bookmarkEnd w:id="17"/>
      <w:bookmarkEnd w:id="18"/>
    </w:p>
    <w:p>
      <w:pPr>
        <w:adjustRightInd w:val="0"/>
        <w:snapToGrid w:val="0"/>
        <w:spacing w:line="360" w:lineRule="auto"/>
        <w:ind w:firstLine="480" w:firstLineChars="200"/>
        <w:rPr>
          <w:rFonts w:ascii="宋体" w:hAnsi="宋体"/>
          <w:sz w:val="24"/>
          <w:lang w:bidi="ar"/>
        </w:rPr>
      </w:pPr>
      <w:bookmarkStart w:id="19" w:name="_Toc28359005"/>
      <w:bookmarkStart w:id="20" w:name="_Toc28359082"/>
      <w:bookmarkStart w:id="21" w:name="_Toc35393793"/>
      <w:bookmarkStart w:id="22" w:name="_Toc35393624"/>
      <w:r>
        <w:rPr>
          <w:rFonts w:ascii="宋体" w:hAnsi="宋体"/>
          <w:sz w:val="24"/>
          <w:lang w:bidi="ar"/>
        </w:rPr>
        <w:t>1.时间：</w:t>
      </w:r>
      <w:r>
        <w:rPr>
          <w:rFonts w:hint="eastAsia" w:ascii="宋体" w:hAnsi="宋体"/>
          <w:sz w:val="24"/>
          <w:u w:val="single"/>
          <w:lang w:bidi="ar"/>
        </w:rPr>
        <w:t>202</w:t>
      </w:r>
      <w:r>
        <w:rPr>
          <w:rFonts w:hint="eastAsia" w:ascii="宋体" w:hAnsi="宋体"/>
          <w:sz w:val="24"/>
          <w:u w:val="single"/>
          <w:lang w:val="en-US" w:eastAsia="zh-CN" w:bidi="ar"/>
        </w:rPr>
        <w:t>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 6</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 7</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w:t>
      </w:r>
      <w:r>
        <w:rPr>
          <w:rFonts w:hint="eastAsia" w:ascii="宋体" w:hAnsi="宋体"/>
          <w:sz w:val="24"/>
          <w:u w:val="single"/>
          <w:lang w:val="en-US" w:eastAsia="zh-CN" w:bidi="ar"/>
        </w:rPr>
        <w:t>4</w:t>
      </w:r>
      <w:r>
        <w:rPr>
          <w:rFonts w:ascii="宋体" w:hAnsi="宋体"/>
          <w:sz w:val="24"/>
          <w:lang w:bidi="ar"/>
        </w:rPr>
        <w:t>年</w:t>
      </w:r>
      <w:r>
        <w:rPr>
          <w:rFonts w:hint="eastAsia" w:ascii="宋体" w:hAnsi="宋体"/>
          <w:sz w:val="24"/>
          <w:u w:val="single"/>
          <w:lang w:val="en-US" w:eastAsia="zh-CN" w:bidi="ar"/>
        </w:rPr>
        <w:t xml:space="preserve"> 6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17 </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w:t>
      </w:r>
      <w:r>
        <w:rPr>
          <w:rFonts w:hint="eastAsia" w:ascii="宋体" w:hAnsi="宋体"/>
          <w:sz w:val="24"/>
          <w:lang w:val="en-US" w:eastAsia="zh-CN" w:bidi="ar"/>
        </w:rPr>
        <w:t>7</w:t>
      </w:r>
      <w:r>
        <w:rPr>
          <w:rFonts w:hint="eastAsia" w:ascii="宋体" w:hAnsi="宋体"/>
          <w:sz w:val="24"/>
          <w:lang w:bidi="ar"/>
        </w:rPr>
        <w:t>时</w:t>
      </w:r>
      <w:r>
        <w:rPr>
          <w:rFonts w:hint="eastAsia" w:ascii="宋体" w:hAnsi="宋体"/>
          <w:sz w:val="24"/>
          <w:lang w:val="en-US" w:eastAsia="zh-CN" w:bidi="ar"/>
        </w:rPr>
        <w:t>0</w:t>
      </w:r>
      <w:r>
        <w:rPr>
          <w:rFonts w:hint="eastAsia" w:ascii="宋体" w:hAnsi="宋体"/>
          <w:sz w:val="24"/>
          <w:lang w:bidi="ar"/>
        </w:rPr>
        <w:t>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（1）只接受电汇或网银（电汇或网银须于202</w:t>
      </w:r>
      <w:r>
        <w:rPr>
          <w:rFonts w:hint="eastAsia" w:ascii="宋体" w:hAnsi="宋体"/>
          <w:sz w:val="24"/>
          <w:lang w:val="en-US" w:eastAsia="zh-CN" w:bidi="ar"/>
        </w:rPr>
        <w:t>4</w:t>
      </w:r>
      <w:r>
        <w:rPr>
          <w:rFonts w:hint="eastAsia" w:ascii="宋体" w:hAnsi="宋体"/>
          <w:sz w:val="24"/>
          <w:lang w:bidi="ar"/>
        </w:rPr>
        <w:t>年</w:t>
      </w:r>
      <w:r>
        <w:rPr>
          <w:rFonts w:hint="eastAsia" w:ascii="宋体" w:hAnsi="宋体"/>
          <w:sz w:val="24"/>
          <w:lang w:val="en-US" w:eastAsia="zh-CN" w:bidi="ar"/>
        </w:rPr>
        <w:t xml:space="preserve">  6  </w:t>
      </w:r>
      <w:r>
        <w:rPr>
          <w:rFonts w:hint="eastAsia" w:ascii="宋体" w:hAnsi="宋体"/>
          <w:sz w:val="24"/>
          <w:lang w:bidi="ar"/>
        </w:rPr>
        <w:t>月</w:t>
      </w:r>
      <w:r>
        <w:rPr>
          <w:rFonts w:hint="eastAsia" w:ascii="宋体" w:hAnsi="宋体"/>
          <w:sz w:val="24"/>
          <w:lang w:val="en-US" w:eastAsia="zh-CN" w:bidi="ar"/>
        </w:rPr>
        <w:t xml:space="preserve"> 17</w:t>
      </w:r>
      <w:r>
        <w:rPr>
          <w:rFonts w:hint="eastAsia" w:ascii="宋体" w:hAnsi="宋体"/>
          <w:sz w:val="24"/>
          <w:lang w:bidi="ar"/>
        </w:rPr>
        <w:t>日1</w:t>
      </w:r>
      <w:r>
        <w:rPr>
          <w:rFonts w:hint="eastAsia" w:ascii="宋体" w:hAnsi="宋体"/>
          <w:sz w:val="24"/>
          <w:lang w:val="en-US" w:eastAsia="zh-CN" w:bidi="ar"/>
        </w:rPr>
        <w:t>7</w:t>
      </w:r>
      <w:r>
        <w:rPr>
          <w:rFonts w:hint="eastAsia" w:ascii="宋体" w:hAnsi="宋体"/>
          <w:sz w:val="24"/>
          <w:lang w:bidi="ar"/>
        </w:rPr>
        <w:t>:</w:t>
      </w:r>
      <w:r>
        <w:rPr>
          <w:rFonts w:hint="eastAsia" w:ascii="宋体" w:hAnsi="宋体"/>
          <w:sz w:val="24"/>
          <w:lang w:val="en-US" w:eastAsia="zh-CN" w:bidi="ar"/>
        </w:rPr>
        <w:t>0</w:t>
      </w:r>
      <w:r>
        <w:rPr>
          <w:rFonts w:hint="eastAsia" w:ascii="宋体" w:hAnsi="宋体"/>
          <w:sz w:val="24"/>
          <w:lang w:bidi="ar"/>
        </w:rPr>
        <w:t>0前到账）。请</w:t>
      </w:r>
      <w:r>
        <w:rPr>
          <w:rFonts w:hint="eastAsia" w:ascii="宋体" w:hAnsi="宋体"/>
          <w:sz w:val="24"/>
          <w:lang w:val="en-US" w:eastAsia="zh-CN" w:bidi="ar"/>
        </w:rPr>
        <w:t>供应商</w:t>
      </w:r>
      <w:r>
        <w:rPr>
          <w:rFonts w:hint="eastAsia" w:ascii="宋体" w:hAnsi="宋体"/>
          <w:sz w:val="24"/>
          <w:lang w:bidi="ar"/>
        </w:rPr>
        <w:t>汇款时务必注明“</w:t>
      </w:r>
      <w:r>
        <w:rPr>
          <w:rFonts w:hint="eastAsia" w:ascii="宋体" w:hAnsi="宋体"/>
          <w:sz w:val="24"/>
          <w:lang w:val="en-US" w:eastAsia="zh-CN" w:bidi="ar"/>
        </w:rPr>
        <w:t>编号</w:t>
      </w:r>
      <w:r>
        <w:rPr>
          <w:rFonts w:hint="eastAsia" w:ascii="宋体" w:hAnsi="宋体"/>
          <w:sz w:val="24"/>
          <w:lang w:bidi="ar"/>
        </w:rPr>
        <w:t>+</w:t>
      </w:r>
      <w:r>
        <w:rPr>
          <w:rFonts w:hint="eastAsia" w:ascii="宋体" w:hAnsi="宋体"/>
          <w:sz w:val="24"/>
          <w:lang w:val="en-US" w:eastAsia="zh-CN" w:bidi="ar"/>
        </w:rPr>
        <w:t>包号+</w:t>
      </w:r>
      <w:r>
        <w:rPr>
          <w:rFonts w:hint="eastAsia" w:ascii="宋体" w:hAnsi="宋体"/>
          <w:sz w:val="24"/>
          <w:lang w:bidi="ar"/>
        </w:rPr>
        <w:t>用途”（比如：</w:t>
      </w:r>
      <w:r>
        <w:rPr>
          <w:rFonts w:hint="eastAsia" w:ascii="宋体" w:hAnsi="宋体"/>
          <w:sz w:val="24"/>
          <w:lang w:eastAsia="zh-CN" w:bidi="ar"/>
        </w:rPr>
        <w:t>ZC24-0479</w:t>
      </w:r>
      <w:r>
        <w:rPr>
          <w:rFonts w:hint="eastAsia" w:ascii="宋体" w:hAnsi="宋体"/>
          <w:sz w:val="24"/>
          <w:lang w:val="en-US" w:eastAsia="zh-CN" w:bidi="ar"/>
        </w:rPr>
        <w:t>-1</w:t>
      </w:r>
      <w:r>
        <w:rPr>
          <w:rFonts w:hint="eastAsia" w:ascii="宋体" w:hAnsi="宋体"/>
          <w:sz w:val="24"/>
          <w:lang w:bidi="ar"/>
        </w:rPr>
        <w:t>保证金或者</w:t>
      </w:r>
      <w:r>
        <w:rPr>
          <w:rFonts w:hint="eastAsia" w:ascii="宋体" w:hAnsi="宋体"/>
          <w:sz w:val="24"/>
          <w:lang w:eastAsia="zh-CN" w:bidi="ar"/>
        </w:rPr>
        <w:t>ZC24-0479</w:t>
      </w:r>
      <w:r>
        <w:rPr>
          <w:rFonts w:hint="eastAsia" w:ascii="宋体" w:hAnsi="宋体"/>
          <w:sz w:val="24"/>
          <w:lang w:val="en-US" w:eastAsia="zh-CN" w:bidi="ar"/>
        </w:rPr>
        <w:t>-1</w:t>
      </w:r>
      <w:r>
        <w:rPr>
          <w:rFonts w:hint="eastAsia" w:ascii="宋体" w:hAnsi="宋体"/>
          <w:sz w:val="24"/>
          <w:lang w:bidi="ar"/>
        </w:rPr>
        <w:t>标书款），以便财务查账及汇总。</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w:t>
      </w:r>
      <w:r>
        <w:rPr>
          <w:rFonts w:hint="eastAsia" w:ascii="宋体" w:hAnsi="宋体"/>
          <w:sz w:val="24"/>
          <w:lang w:eastAsia="zh-CN" w:bidi="ar"/>
        </w:rPr>
        <w:t>ZC24-0479</w:t>
      </w:r>
      <w:r>
        <w:rPr>
          <w:rFonts w:hint="eastAsia" w:ascii="宋体" w:hAnsi="宋体"/>
          <w:sz w:val="24"/>
          <w:lang w:bidi="ar"/>
        </w:rPr>
        <w:t>”完整填写报名信息并上传报名费转账凭证提交报名资料（如</w:t>
      </w:r>
      <w:r>
        <w:rPr>
          <w:rFonts w:hint="eastAsia" w:ascii="宋体" w:hAnsi="宋体"/>
          <w:sz w:val="24"/>
          <w:lang w:val="en-US" w:eastAsia="zh-CN" w:bidi="ar"/>
        </w:rPr>
        <w:t>遴选</w:t>
      </w:r>
      <w:r>
        <w:rPr>
          <w:rFonts w:hint="eastAsia" w:ascii="宋体" w:hAnsi="宋体"/>
          <w:sz w:val="24"/>
          <w:lang w:bidi="ar"/>
        </w:rPr>
        <w:t>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 xml:space="preserve">（3）采购文件请报名完成后自行下载，请点击：明德致信公司网站“招标（采购）公告”频道：http://www.zbbmcc.com/node/119，无需注册。按项目名称或编号查找对应项目，点击标题下红色“下载”按钮即可。  </w:t>
      </w:r>
    </w:p>
    <w:p>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4.售价：</w:t>
      </w:r>
      <w:r>
        <w:rPr>
          <w:rFonts w:hint="eastAsia" w:ascii="宋体" w:hAnsi="宋体"/>
          <w:sz w:val="24"/>
          <w:lang w:bidi="ar"/>
        </w:rPr>
        <w:t>人民币500元/包（售后不退）。</w:t>
      </w:r>
    </w:p>
    <w:p>
      <w:pPr>
        <w:adjustRightInd w:val="0"/>
        <w:snapToGrid w:val="0"/>
        <w:spacing w:line="360" w:lineRule="auto"/>
        <w:ind w:firstLine="480" w:firstLineChars="200"/>
        <w:rPr>
          <w:rFonts w:hint="eastAsia" w:ascii="宋体" w:hAnsi="宋体"/>
          <w:sz w:val="24"/>
          <w:lang w:val="en-US" w:eastAsia="zh-CN" w:bidi="ar"/>
        </w:rPr>
      </w:pPr>
      <w:r>
        <w:rPr>
          <w:rFonts w:hint="eastAsia" w:ascii="宋体" w:hAnsi="宋体"/>
          <w:sz w:val="24"/>
          <w:lang w:val="en-US" w:eastAsia="zh-CN" w:bidi="ar"/>
        </w:rPr>
        <w:t>账户名称：北京明德致信咨询有限公司</w:t>
      </w:r>
    </w:p>
    <w:p>
      <w:pPr>
        <w:adjustRightInd w:val="0"/>
        <w:snapToGrid w:val="0"/>
        <w:spacing w:line="360" w:lineRule="auto"/>
        <w:ind w:firstLine="480" w:firstLineChars="200"/>
        <w:rPr>
          <w:rFonts w:hint="eastAsia" w:ascii="宋体" w:hAnsi="宋体"/>
          <w:sz w:val="24"/>
          <w:lang w:val="en-US" w:eastAsia="zh-CN" w:bidi="ar"/>
        </w:rPr>
      </w:pPr>
      <w:r>
        <w:rPr>
          <w:rFonts w:hint="eastAsia" w:ascii="宋体" w:hAnsi="宋体"/>
          <w:sz w:val="24"/>
          <w:lang w:val="en-US" w:eastAsia="zh-CN" w:bidi="ar"/>
        </w:rPr>
        <w:t>开 户 行：中国工商银行股份有限公司北京东升路支行</w:t>
      </w:r>
    </w:p>
    <w:p>
      <w:pPr>
        <w:adjustRightInd w:val="0"/>
        <w:snapToGrid w:val="0"/>
        <w:spacing w:line="360" w:lineRule="auto"/>
        <w:ind w:firstLine="480" w:firstLineChars="200"/>
        <w:rPr>
          <w:rFonts w:hint="eastAsia" w:ascii="宋体" w:hAnsi="宋体"/>
          <w:sz w:val="24"/>
          <w:lang w:val="en-US" w:eastAsia="zh-CN" w:bidi="ar"/>
        </w:rPr>
      </w:pPr>
      <w:r>
        <w:rPr>
          <w:rFonts w:hint="eastAsia" w:ascii="宋体" w:hAnsi="宋体"/>
          <w:sz w:val="24"/>
          <w:lang w:val="en-US" w:eastAsia="zh-CN" w:bidi="ar"/>
        </w:rPr>
        <w:t>账    号：0200 0062 1920 0492 968</w:t>
      </w:r>
    </w:p>
    <w:p>
      <w:pPr>
        <w:pStyle w:val="3"/>
        <w:widowControl/>
        <w:spacing w:before="0" w:line="360" w:lineRule="auto"/>
        <w:jc w:val="left"/>
        <w:rPr>
          <w:rFonts w:ascii="宋体" w:hAnsi="宋体" w:eastAsia="宋体"/>
          <w:sz w:val="24"/>
          <w:szCs w:val="24"/>
        </w:rPr>
      </w:pPr>
      <w:r>
        <w:rPr>
          <w:rFonts w:ascii="宋体" w:hAnsi="宋体" w:eastAsia="宋体"/>
          <w:sz w:val="24"/>
          <w:szCs w:val="24"/>
        </w:rPr>
        <w:t>四、提交投标文件</w:t>
      </w:r>
      <w:bookmarkEnd w:id="19"/>
      <w:bookmarkEnd w:id="20"/>
      <w:r>
        <w:rPr>
          <w:rFonts w:ascii="宋体" w:hAnsi="宋体" w:eastAsia="宋体"/>
          <w:sz w:val="24"/>
          <w:szCs w:val="24"/>
        </w:rPr>
        <w:t>截止时间、开标时间和地点</w:t>
      </w:r>
      <w:bookmarkEnd w:id="21"/>
      <w:bookmarkEnd w:id="22"/>
    </w:p>
    <w:p>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rPr>
        <w:t>年</w:t>
      </w:r>
      <w:r>
        <w:rPr>
          <w:rFonts w:hint="eastAsia" w:ascii="宋体" w:hAnsi="宋体"/>
          <w:sz w:val="24"/>
          <w:u w:val="single"/>
          <w:lang w:val="en-US" w:eastAsia="zh-CN"/>
        </w:rPr>
        <w:t xml:space="preserve">  7 </w:t>
      </w:r>
      <w:r>
        <w:rPr>
          <w:rFonts w:ascii="宋体" w:hAnsi="宋体"/>
          <w:sz w:val="24"/>
        </w:rPr>
        <w:t>月</w:t>
      </w:r>
      <w:r>
        <w:rPr>
          <w:rFonts w:hint="eastAsia" w:ascii="宋体" w:hAnsi="宋体"/>
          <w:sz w:val="24"/>
          <w:u w:val="single"/>
          <w:lang w:val="en-US" w:eastAsia="zh-CN"/>
        </w:rPr>
        <w:t xml:space="preserve">  2  </w:t>
      </w:r>
      <w:r>
        <w:rPr>
          <w:rFonts w:ascii="宋体" w:hAnsi="宋体"/>
          <w:sz w:val="24"/>
        </w:rPr>
        <w:t>日</w:t>
      </w:r>
      <w:r>
        <w:rPr>
          <w:rFonts w:hint="eastAsia" w:ascii="宋体" w:hAnsi="宋体"/>
          <w:sz w:val="24"/>
          <w:u w:val="single"/>
        </w:rPr>
        <w:t>09</w:t>
      </w:r>
      <w:r>
        <w:rPr>
          <w:rFonts w:ascii="宋体" w:hAnsi="宋体"/>
          <w:sz w:val="24"/>
        </w:rPr>
        <w:t>点</w:t>
      </w:r>
      <w:r>
        <w:rPr>
          <w:rFonts w:hint="eastAsia"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pPr>
        <w:spacing w:line="360" w:lineRule="auto"/>
        <w:ind w:firstLine="480" w:firstLineChars="200"/>
        <w:rPr>
          <w:rFonts w:ascii="宋体" w:hAnsi="宋体"/>
          <w:sz w:val="24"/>
          <w:lang w:val="zh-TW"/>
        </w:rPr>
      </w:pPr>
      <w:r>
        <w:rPr>
          <w:rFonts w:ascii="宋体" w:hAnsi="宋体"/>
          <w:sz w:val="24"/>
        </w:rPr>
        <w:t>地点：</w:t>
      </w:r>
      <w:r>
        <w:rPr>
          <w:rFonts w:hint="eastAsia"/>
          <w:sz w:val="24"/>
          <w:u w:val="single"/>
        </w:rPr>
        <w:t>北京市海淀区学院路30号科大天工大厦B座</w:t>
      </w:r>
      <w:r>
        <w:rPr>
          <w:rFonts w:hint="eastAsia"/>
          <w:sz w:val="24"/>
          <w:u w:val="single"/>
          <w:lang w:val="en-US" w:eastAsia="zh-CN"/>
        </w:rPr>
        <w:t>17层1706第四 会议室</w:t>
      </w:r>
      <w:r>
        <w:rPr>
          <w:rFonts w:hint="eastAsia"/>
          <w:sz w:val="24"/>
          <w:u w:val="single"/>
        </w:rPr>
        <w:t>（北四环学院桥东北角）</w:t>
      </w:r>
      <w:r>
        <w:rPr>
          <w:rFonts w:hint="eastAsia"/>
          <w:sz w:val="24"/>
        </w:rPr>
        <w:t>。</w:t>
      </w:r>
    </w:p>
    <w:p>
      <w:pPr>
        <w:pStyle w:val="3"/>
        <w:spacing w:before="0" w:line="360" w:lineRule="auto"/>
        <w:jc w:val="left"/>
        <w:rPr>
          <w:rFonts w:ascii="宋体" w:hAnsi="宋体" w:eastAsia="宋体"/>
          <w:sz w:val="24"/>
          <w:szCs w:val="24"/>
        </w:rPr>
      </w:pPr>
      <w:bookmarkStart w:id="23" w:name="_Toc28359084"/>
      <w:bookmarkStart w:id="24" w:name="_Toc35393794"/>
      <w:bookmarkStart w:id="25" w:name="_Toc35393625"/>
      <w:bookmarkStart w:id="26" w:name="_Toc28359007"/>
      <w:r>
        <w:rPr>
          <w:rFonts w:ascii="宋体" w:hAnsi="宋体" w:eastAsia="宋体"/>
          <w:sz w:val="24"/>
          <w:szCs w:val="24"/>
        </w:rPr>
        <w:t>五、公告期限</w:t>
      </w:r>
      <w:bookmarkEnd w:id="23"/>
      <w:bookmarkEnd w:id="24"/>
      <w:bookmarkEnd w:id="25"/>
      <w:bookmarkEnd w:id="26"/>
    </w:p>
    <w:p>
      <w:pPr>
        <w:spacing w:line="360" w:lineRule="auto"/>
        <w:ind w:firstLine="480" w:firstLineChars="200"/>
        <w:rPr>
          <w:rFonts w:ascii="宋体" w:hAnsi="宋体"/>
          <w:kern w:val="0"/>
          <w:sz w:val="24"/>
        </w:rPr>
      </w:pPr>
      <w:r>
        <w:rPr>
          <w:rFonts w:ascii="宋体" w:hAnsi="宋体"/>
          <w:kern w:val="0"/>
          <w:sz w:val="24"/>
        </w:rPr>
        <w:t>自本公告发布之日起5个工作日。</w:t>
      </w:r>
    </w:p>
    <w:p>
      <w:pPr>
        <w:pStyle w:val="3"/>
        <w:spacing w:before="0" w:line="360" w:lineRule="auto"/>
        <w:jc w:val="left"/>
        <w:rPr>
          <w:rFonts w:ascii="宋体" w:hAnsi="宋体" w:eastAsia="宋体"/>
          <w:sz w:val="24"/>
          <w:szCs w:val="24"/>
        </w:rPr>
      </w:pPr>
      <w:bookmarkStart w:id="27" w:name="_Toc35393795"/>
      <w:bookmarkStart w:id="28" w:name="_Toc35393626"/>
      <w:r>
        <w:rPr>
          <w:rFonts w:ascii="宋体" w:hAnsi="宋体" w:eastAsia="宋体"/>
          <w:sz w:val="24"/>
          <w:szCs w:val="24"/>
        </w:rPr>
        <w:t>六、其他补充事宜</w:t>
      </w:r>
      <w:bookmarkEnd w:id="27"/>
      <w:bookmarkEnd w:id="28"/>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w:t>
      </w:r>
      <w:r>
        <w:rPr>
          <w:rFonts w:hint="eastAsia" w:ascii="宋体" w:hAnsi="宋体" w:cs="宋体"/>
          <w:sz w:val="24"/>
        </w:rPr>
        <w:t xml:space="preserve"> </w:t>
      </w:r>
      <w:r>
        <w:rPr>
          <w:rFonts w:hint="eastAsia" w:ascii="宋体" w:hAnsi="宋体"/>
          <w:sz w:val="24"/>
        </w:rPr>
        <w:t>银行账户信息，投标保证金及中标服务费收取的唯一账户：汇款或转账时请务必附言“项目编号+包号+用途”，例如：</w:t>
      </w:r>
      <w:r>
        <w:rPr>
          <w:rFonts w:hint="eastAsia" w:ascii="宋体" w:hAnsi="宋体"/>
          <w:sz w:val="24"/>
          <w:lang w:eastAsia="zh-CN"/>
        </w:rPr>
        <w:t>ZC24-0479</w:t>
      </w:r>
      <w:r>
        <w:rPr>
          <w:rFonts w:hint="eastAsia" w:ascii="宋体" w:hAnsi="宋体"/>
          <w:sz w:val="24"/>
        </w:rPr>
        <w:t>-1保证金或服务费。</w:t>
      </w:r>
    </w:p>
    <w:p>
      <w:pPr>
        <w:spacing w:line="360" w:lineRule="auto"/>
        <w:ind w:firstLine="480" w:firstLineChars="200"/>
        <w:rPr>
          <w:rFonts w:ascii="宋体" w:hAnsi="宋体"/>
          <w:sz w:val="24"/>
        </w:rPr>
      </w:pPr>
      <w:r>
        <w:rPr>
          <w:rFonts w:hint="eastAsia" w:ascii="宋体" w:hAnsi="宋体"/>
          <w:sz w:val="24"/>
        </w:rPr>
        <w:t>收款单位：北京明德致信咨询有限公司；</w:t>
      </w:r>
    </w:p>
    <w:p>
      <w:pPr>
        <w:spacing w:line="360" w:lineRule="auto"/>
        <w:ind w:firstLine="480" w:firstLineChars="200"/>
        <w:rPr>
          <w:rFonts w:ascii="宋体" w:hAnsi="宋体"/>
          <w:sz w:val="24"/>
        </w:rPr>
      </w:pPr>
      <w:r>
        <w:rPr>
          <w:rFonts w:hint="eastAsia" w:ascii="宋体" w:hAnsi="宋体"/>
          <w:sz w:val="24"/>
        </w:rPr>
        <w:t xml:space="preserve">开户行：中国工商银行股份有限公司北京东升路支行； </w:t>
      </w:r>
    </w:p>
    <w:p>
      <w:pPr>
        <w:spacing w:line="360" w:lineRule="auto"/>
        <w:ind w:firstLine="480" w:firstLineChars="200"/>
        <w:rPr>
          <w:rFonts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.发布公告的媒介：本公告在中国政府采购网发布。</w:t>
      </w:r>
    </w:p>
    <w:p>
      <w:pPr>
        <w:spacing w:line="360" w:lineRule="auto"/>
        <w:ind w:firstLine="480" w:firstLineChars="200"/>
        <w:rPr>
          <w:rFonts w:ascii="宋体" w:hAnsi="宋体"/>
          <w:sz w:val="24"/>
        </w:rPr>
      </w:pPr>
      <w:r>
        <w:rPr>
          <w:rFonts w:hint="eastAsia" w:ascii="宋体" w:hAnsi="宋体"/>
          <w:sz w:val="24"/>
        </w:rPr>
        <w:t>6.投标文件请于投标当日投标截止时间之前递交至投标地点，逾期递交的文件恕不接受。</w:t>
      </w:r>
    </w:p>
    <w:p>
      <w:pPr>
        <w:spacing w:line="360" w:lineRule="auto"/>
        <w:ind w:left="1" w:firstLine="480" w:firstLineChars="200"/>
        <w:rPr>
          <w:rFonts w:ascii="宋体" w:hAnsi="宋体"/>
          <w:sz w:val="24"/>
        </w:rPr>
      </w:pPr>
      <w:r>
        <w:rPr>
          <w:rFonts w:hint="eastAsia" w:ascii="宋体" w:hAnsi="宋体"/>
          <w:sz w:val="24"/>
          <w:lang w:val="en-US" w:eastAsia="zh-CN"/>
        </w:rPr>
        <w:t>7</w:t>
      </w:r>
      <w:r>
        <w:rPr>
          <w:rFonts w:hint="eastAsia" w:ascii="宋体" w:hAnsi="宋体"/>
          <w:sz w:val="24"/>
        </w:rPr>
        <w:t>.如本公告内容和招标文件内容不一致，以招标文件为准。</w:t>
      </w:r>
    </w:p>
    <w:p>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.本项目招标编号为：BMCC-</w:t>
      </w:r>
      <w:r>
        <w:rPr>
          <w:rFonts w:hint="eastAsia" w:ascii="宋体" w:hAnsi="宋体"/>
          <w:sz w:val="24"/>
          <w:lang w:eastAsia="zh-CN"/>
        </w:rPr>
        <w:t>ZC24-0479</w:t>
      </w:r>
      <w:r>
        <w:rPr>
          <w:rFonts w:hint="eastAsia" w:ascii="宋体" w:hAnsi="宋体"/>
          <w:sz w:val="24"/>
        </w:rPr>
        <w:t>。</w:t>
      </w:r>
    </w:p>
    <w:p>
      <w:pPr>
        <w:pStyle w:val="33"/>
      </w:pPr>
    </w:p>
    <w:p>
      <w:pPr>
        <w:pStyle w:val="3"/>
        <w:spacing w:before="0" w:line="360" w:lineRule="auto"/>
        <w:jc w:val="left"/>
        <w:rPr>
          <w:rFonts w:ascii="宋体" w:hAnsi="宋体" w:eastAsia="宋体"/>
          <w:sz w:val="24"/>
          <w:szCs w:val="24"/>
        </w:rPr>
      </w:pPr>
      <w:bookmarkStart w:id="29" w:name="_Toc28359085"/>
      <w:bookmarkStart w:id="30" w:name="_Toc35393796"/>
      <w:bookmarkStart w:id="31" w:name="_Toc35393627"/>
      <w:bookmarkStart w:id="32" w:name="_Toc28359008"/>
      <w:r>
        <w:rPr>
          <w:rFonts w:ascii="宋体" w:hAnsi="宋体" w:eastAsia="宋体"/>
          <w:sz w:val="24"/>
          <w:szCs w:val="24"/>
        </w:rPr>
        <w:t>七、对本次招标提出询问，请按以下方式联系。</w:t>
      </w:r>
      <w:bookmarkEnd w:id="29"/>
      <w:bookmarkEnd w:id="30"/>
      <w:bookmarkEnd w:id="31"/>
      <w:bookmarkEnd w:id="32"/>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rFonts w:hint="eastAsia" w:eastAsia="宋体"/>
          <w:sz w:val="24"/>
          <w:lang w:eastAsia="zh-CN"/>
        </w:rPr>
      </w:pPr>
      <w:bookmarkStart w:id="33" w:name="_Toc28359086"/>
      <w:bookmarkStart w:id="34" w:name="_Toc28359009"/>
      <w:r>
        <w:rPr>
          <w:sz w:val="24"/>
        </w:rPr>
        <w:t>名    称：</w:t>
      </w:r>
      <w:r>
        <w:rPr>
          <w:rFonts w:hint="eastAsia"/>
          <w:sz w:val="24"/>
          <w:u w:val="single"/>
          <w:lang w:eastAsia="zh-CN"/>
        </w:rPr>
        <w:t>北方工业大学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北京市石景山区晋元庄路5号院</w:t>
      </w:r>
    </w:p>
    <w:p>
      <w:pPr>
        <w:spacing w:line="360" w:lineRule="auto"/>
        <w:ind w:left="1079" w:leftChars="371" w:hanging="300" w:hangingChars="125"/>
        <w:jc w:val="left"/>
        <w:rPr>
          <w:sz w:val="24"/>
        </w:rPr>
      </w:pPr>
      <w:r>
        <w:rPr>
          <w:rFonts w:hint="eastAsia"/>
          <w:sz w:val="24"/>
        </w:rPr>
        <w:t>联系方式：</w:t>
      </w:r>
      <w:r>
        <w:rPr>
          <w:rFonts w:hint="eastAsia"/>
          <w:sz w:val="24"/>
          <w:u w:val="single"/>
        </w:rPr>
        <w:t>刘老师</w:t>
      </w:r>
      <w:r>
        <w:rPr>
          <w:rFonts w:hint="eastAsia"/>
          <w:sz w:val="24"/>
          <w:u w:val="single"/>
          <w:lang w:val="en-US" w:eastAsia="zh-CN"/>
        </w:rPr>
        <w:t xml:space="preserve"> </w:t>
      </w:r>
      <w:r>
        <w:rPr>
          <w:rFonts w:hint="eastAsia"/>
          <w:sz w:val="24"/>
          <w:u w:val="single"/>
        </w:rPr>
        <w:t>010-88803417</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3"/>
      <w:bookmarkEnd w:id="34"/>
    </w:p>
    <w:p>
      <w:pPr>
        <w:spacing w:line="360" w:lineRule="auto"/>
        <w:ind w:left="1076" w:leftChars="371" w:hanging="297" w:hangingChars="124"/>
        <w:jc w:val="left"/>
        <w:rPr>
          <w:sz w:val="24"/>
        </w:rPr>
      </w:pPr>
      <w:bookmarkStart w:id="35" w:name="_Toc28359087"/>
      <w:bookmarkStart w:id="36"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w:t>
      </w:r>
      <w:r>
        <w:rPr>
          <w:rFonts w:hint="eastAsia"/>
          <w:sz w:val="24"/>
          <w:u w:val="single"/>
          <w:lang w:val="en-US" w:eastAsia="zh-CN"/>
        </w:rPr>
        <w:t>1709</w:t>
      </w:r>
      <w:r>
        <w:rPr>
          <w:rFonts w:hint="eastAsia"/>
          <w:sz w:val="24"/>
          <w:u w:val="single"/>
        </w:rPr>
        <w:t>室</w:t>
      </w:r>
    </w:p>
    <w:p>
      <w:pPr>
        <w:spacing w:line="360" w:lineRule="auto"/>
        <w:ind w:left="1076" w:leftChars="371" w:hanging="297" w:hangingChars="124"/>
        <w:jc w:val="left"/>
        <w:rPr>
          <w:rFonts w:hint="default" w:eastAsia="宋体"/>
          <w:sz w:val="24"/>
          <w:u w:val="single"/>
          <w:lang w:val="en-US" w:eastAsia="zh-CN"/>
        </w:rPr>
      </w:pPr>
      <w:r>
        <w:rPr>
          <w:sz w:val="24"/>
        </w:rPr>
        <w:t>联系方式：</w:t>
      </w:r>
      <w:r>
        <w:rPr>
          <w:rFonts w:hint="eastAsia"/>
          <w:sz w:val="24"/>
          <w:u w:val="single"/>
        </w:rPr>
        <w:t xml:space="preserve"> 王经理、周</w:t>
      </w:r>
      <w:r>
        <w:rPr>
          <w:rFonts w:hint="eastAsia"/>
          <w:sz w:val="24"/>
          <w:u w:val="single"/>
          <w:lang w:val="en-US" w:eastAsia="zh-CN"/>
        </w:rPr>
        <w:t>洁琼</w:t>
      </w:r>
      <w:r>
        <w:rPr>
          <w:rFonts w:hint="eastAsia"/>
          <w:sz w:val="24"/>
          <w:u w:val="single"/>
        </w:rPr>
        <w:t>、吕绍山010－82370045，</w:t>
      </w:r>
      <w:r>
        <w:rPr>
          <w:rFonts w:hint="eastAsia"/>
          <w:sz w:val="24"/>
          <w:u w:val="single"/>
          <w:lang w:val="en-US" w:eastAsia="zh-CN"/>
        </w:rPr>
        <w:t>010-61196135</w:t>
      </w:r>
    </w:p>
    <w:p>
      <w:pPr>
        <w:spacing w:line="360" w:lineRule="auto"/>
        <w:ind w:firstLine="723" w:firstLineChars="300"/>
        <w:rPr>
          <w:rFonts w:ascii="宋体" w:hAnsi="宋体"/>
          <w:b/>
          <w:sz w:val="24"/>
          <w:u w:val="single"/>
        </w:rPr>
      </w:pPr>
      <w:r>
        <w:rPr>
          <w:rFonts w:ascii="宋体" w:hAnsi="宋体"/>
          <w:b/>
          <w:sz w:val="24"/>
        </w:rPr>
        <w:t>3.项目联系方式</w:t>
      </w:r>
      <w:bookmarkEnd w:id="35"/>
      <w:bookmarkEnd w:id="36"/>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rFonts w:hint="eastAsia"/>
          <w:sz w:val="24"/>
          <w:u w:val="single"/>
        </w:rPr>
        <w:t>王经理、周</w:t>
      </w:r>
      <w:r>
        <w:rPr>
          <w:rFonts w:hint="eastAsia"/>
          <w:sz w:val="24"/>
          <w:u w:val="single"/>
          <w:lang w:val="en-US" w:eastAsia="zh-CN"/>
        </w:rPr>
        <w:t>洁琼</w:t>
      </w:r>
      <w:r>
        <w:rPr>
          <w:rFonts w:hint="eastAsia"/>
          <w:sz w:val="24"/>
          <w:u w:val="single"/>
        </w:rPr>
        <w:t>、吕绍山</w:t>
      </w:r>
    </w:p>
    <w:p>
      <w:pPr>
        <w:pStyle w:val="2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hint="eastAsia"/>
          <w:sz w:val="24"/>
          <w:u w:val="single"/>
        </w:rPr>
        <w:t xml:space="preserve"> 王经理、周</w:t>
      </w:r>
      <w:r>
        <w:rPr>
          <w:rFonts w:hint="eastAsia"/>
          <w:sz w:val="24"/>
          <w:u w:val="single"/>
          <w:lang w:val="en-US" w:eastAsia="zh-CN"/>
        </w:rPr>
        <w:t>洁琼</w:t>
      </w:r>
      <w:r>
        <w:rPr>
          <w:rFonts w:hint="eastAsia"/>
          <w:sz w:val="24"/>
          <w:u w:val="single"/>
        </w:rPr>
        <w:t>、吕绍山010－82370045，</w:t>
      </w:r>
      <w:r>
        <w:rPr>
          <w:rFonts w:hint="eastAsia"/>
          <w:sz w:val="24"/>
          <w:u w:val="single"/>
          <w:lang w:val="en-US" w:eastAsia="zh-CN"/>
        </w:rPr>
        <w:t>010-61196135</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7" w:name="_Toc1650"/>
      <w:bookmarkStart w:id="38" w:name="_Toc305158854"/>
      <w:bookmarkStart w:id="39" w:name="_Toc127161488"/>
      <w:bookmarkStart w:id="40" w:name="_Toc512937850"/>
      <w:bookmarkStart w:id="41" w:name="_Toc226965856"/>
      <w:bookmarkStart w:id="42" w:name="_Toc150774783"/>
      <w:bookmarkStart w:id="43" w:name="_Toc195842950"/>
      <w:bookmarkStart w:id="44" w:name="_Toc127151777"/>
      <w:bookmarkStart w:id="45" w:name="_Toc353825548"/>
      <w:bookmarkStart w:id="46" w:name="_Toc305158928"/>
      <w:bookmarkStart w:id="47" w:name="_Toc265228423"/>
      <w:bookmarkStart w:id="48" w:name="_Toc264969275"/>
      <w:bookmarkStart w:id="49" w:name="_Toc353873938"/>
      <w:r>
        <w:rPr>
          <w:rFonts w:ascii="宋体" w:hAnsi="宋体"/>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pPr>
        <w:pStyle w:val="3"/>
        <w:tabs>
          <w:tab w:val="center" w:pos="4592"/>
          <w:tab w:val="left" w:pos="7860"/>
        </w:tabs>
        <w:spacing w:before="0" w:line="360" w:lineRule="auto"/>
        <w:rPr>
          <w:rFonts w:ascii="宋体" w:hAnsi="宋体" w:eastAsia="宋体"/>
          <w:sz w:val="28"/>
        </w:rPr>
      </w:pPr>
      <w:bookmarkStart w:id="50" w:name="_Toc150480757"/>
      <w:bookmarkStart w:id="51" w:name="_Toc195842884"/>
      <w:bookmarkStart w:id="52" w:name="_Toc226309763"/>
      <w:bookmarkStart w:id="53" w:name="_Toc151193907"/>
      <w:bookmarkStart w:id="54" w:name="_Toc164351613"/>
      <w:bookmarkStart w:id="55" w:name="_Toc151193761"/>
      <w:bookmarkStart w:id="56" w:name="_Toc164229214"/>
      <w:bookmarkStart w:id="57" w:name="_Toc164229360"/>
      <w:bookmarkStart w:id="58" w:name="_Toc151193833"/>
      <w:bookmarkStart w:id="59" w:name="_Toc226965709"/>
      <w:bookmarkStart w:id="60" w:name="_Toc151193689"/>
      <w:bookmarkStart w:id="61" w:name="_Toc150509270"/>
      <w:bookmarkStart w:id="62" w:name="_Toc164608788"/>
      <w:bookmarkStart w:id="63" w:name="_Toc520356144"/>
      <w:bookmarkStart w:id="64" w:name="_Toc150774724"/>
      <w:bookmarkStart w:id="65" w:name="_Toc150774619"/>
      <w:bookmarkStart w:id="66" w:name="_Toc142311021"/>
      <w:bookmarkStart w:id="67" w:name="_Toc164608633"/>
      <w:bookmarkStart w:id="68" w:name="_Toc151190146"/>
      <w:bookmarkStart w:id="69" w:name="_Toc127151519"/>
      <w:bookmarkStart w:id="70" w:name="_Toc226337215"/>
      <w:bookmarkStart w:id="71" w:name="_Toc149720812"/>
      <w:bookmarkStart w:id="72" w:name="_Toc127161433"/>
      <w:bookmarkStart w:id="73" w:name="_Toc151193617"/>
      <w:bookmarkStart w:id="74" w:name="_Toc127151720"/>
      <w:bookmarkStart w:id="75" w:name="_Toc226965792"/>
      <w:r>
        <w:rPr>
          <w:rFonts w:ascii="宋体" w:hAnsi="宋体" w:eastAsia="宋体"/>
          <w:sz w:val="28"/>
        </w:rPr>
        <w:t>投标人须知资料表</w:t>
      </w:r>
    </w:p>
    <w:p>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eastAsia="宋体"/>
                <w:sz w:val="24"/>
                <w:szCs w:val="24"/>
                <w:lang w:val="en-US" w:eastAsia="zh-CN"/>
              </w:rPr>
            </w:pPr>
            <w:r>
              <w:rPr>
                <w:rFonts w:hint="eastAsia" w:hAnsi="宋体"/>
                <w:sz w:val="24"/>
                <w:szCs w:val="24"/>
                <w:lang w:val="en-US" w:eastAsia="zh-CN"/>
              </w:rPr>
              <w:t>2.1</w:t>
            </w:r>
          </w:p>
        </w:tc>
        <w:tc>
          <w:tcPr>
            <w:tcW w:w="1701" w:type="dxa"/>
            <w:vAlign w:val="center"/>
          </w:tcPr>
          <w:p>
            <w:pPr>
              <w:spacing w:line="288" w:lineRule="auto"/>
              <w:jc w:val="center"/>
              <w:rPr>
                <w:rFonts w:hint="default" w:ascii="宋体" w:hAnsi="宋体" w:eastAsia="宋体"/>
                <w:sz w:val="24"/>
                <w:lang w:val="en-US" w:eastAsia="zh-CN"/>
              </w:rPr>
            </w:pPr>
            <w:r>
              <w:rPr>
                <w:rFonts w:hint="eastAsia" w:ascii="宋体" w:hAnsi="宋体"/>
                <w:sz w:val="24"/>
                <w:lang w:val="en-US" w:eastAsia="zh-CN"/>
              </w:rPr>
              <w:t>资金来源</w:t>
            </w:r>
          </w:p>
        </w:tc>
        <w:tc>
          <w:tcPr>
            <w:tcW w:w="7540" w:type="dxa"/>
            <w:vAlign w:val="center"/>
          </w:tcPr>
          <w:p>
            <w:pPr>
              <w:spacing w:line="288" w:lineRule="auto"/>
              <w:jc w:val="left"/>
              <w:rPr>
                <w:rFonts w:hint="default" w:ascii="宋体" w:hAnsi="宋体" w:eastAsia="宋体"/>
                <w:sz w:val="24"/>
                <w:lang w:val="en-US" w:eastAsia="zh-CN"/>
              </w:rPr>
            </w:pPr>
            <w:r>
              <w:rPr>
                <w:rFonts w:hint="eastAsia" w:ascii="宋体" w:hAnsi="宋体"/>
                <w:sz w:val="24"/>
                <w:lang w:val="en-US" w:eastAsia="zh-CN"/>
              </w:rPr>
              <w:t>本项目未达政府采购限额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sz w:val="24"/>
              </w:rPr>
              <w:t>□服务</w:t>
            </w:r>
          </w:p>
          <w:p>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hint="eastAsia" w:ascii="宋体" w:hAnsi="宋体"/>
                <w:sz w:val="24"/>
                <w:lang w:eastAsia="zh-CN"/>
              </w:rPr>
              <w:t>□</w:t>
            </w: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sz w:val="24"/>
                <w:szCs w:val="24"/>
              </w:rPr>
            </w:pPr>
            <w:r>
              <w:rPr>
                <w:rFonts w:hAnsi="宋体"/>
                <w:sz w:val="24"/>
              </w:rPr>
              <w:t>□</w:t>
            </w:r>
            <w:r>
              <w:rPr>
                <w:rFonts w:hint="default" w:hAnsi="宋体"/>
                <w:sz w:val="24"/>
                <w:szCs w:val="24"/>
              </w:rPr>
              <w:t>关于核心产品本项目__包不适用。</w:t>
            </w:r>
          </w:p>
          <w:p>
            <w:pPr>
              <w:pStyle w:val="22"/>
              <w:adjustRightInd w:val="0"/>
              <w:snapToGrid w:val="0"/>
              <w:spacing w:line="288" w:lineRule="auto"/>
              <w:rPr>
                <w:rFonts w:hint="default" w:hAnsi="宋体"/>
                <w:sz w:val="24"/>
                <w:szCs w:val="24"/>
              </w:rPr>
            </w:pPr>
            <w:r>
              <w:rPr>
                <w:rFonts w:hAnsi="宋体"/>
                <w:sz w:val="24"/>
              </w:rPr>
              <w:t>□本项目包为单一产品采购项目</w:t>
            </w:r>
          </w:p>
          <w:p>
            <w:pPr>
              <w:pStyle w:val="22"/>
              <w:adjustRightInd w:val="0"/>
              <w:snapToGrid w:val="0"/>
              <w:spacing w:line="288" w:lineRule="auto"/>
              <w:rPr>
                <w:rFonts w:hAnsi="宋体"/>
                <w:sz w:val="24"/>
              </w:rPr>
            </w:pPr>
            <w:r>
              <w:rPr>
                <w:rFonts w:hAnsi="宋体"/>
                <w:b/>
                <w:color w:val="000000"/>
                <w:sz w:val="24"/>
              </w:rPr>
              <w:t>■</w:t>
            </w:r>
            <w:r>
              <w:rPr>
                <w:rFonts w:hAnsi="宋体"/>
                <w:sz w:val="24"/>
              </w:rPr>
              <w:t>本项目包为非单一产品采购项目，各分包的核心产品为：</w:t>
            </w:r>
          </w:p>
          <w:p>
            <w:pPr>
              <w:pStyle w:val="22"/>
              <w:adjustRightInd w:val="0"/>
              <w:snapToGrid w:val="0"/>
              <w:spacing w:line="288" w:lineRule="auto"/>
              <w:rPr>
                <w:rFonts w:hint="default" w:hAnsi="宋体" w:eastAsia="宋体"/>
                <w:sz w:val="24"/>
                <w:szCs w:val="24"/>
                <w:lang w:val="en-US" w:eastAsia="zh-CN"/>
              </w:rPr>
            </w:pPr>
            <w:r>
              <w:rPr>
                <w:rFonts w:hint="eastAsia" w:hAnsi="宋体"/>
                <w:b/>
                <w:bCs/>
                <w:sz w:val="24"/>
                <w:szCs w:val="24"/>
                <w:lang w:val="en-US" w:eastAsia="zh-CN"/>
              </w:rPr>
              <w:t>01包：</w:t>
            </w:r>
            <w:r>
              <w:rPr>
                <w:rFonts w:hint="eastAsia" w:cs="宋体" w:asciiTheme="minorEastAsia" w:hAnsiTheme="minorEastAsia"/>
                <w:b/>
                <w:bCs/>
                <w:kern w:val="0"/>
                <w:sz w:val="24"/>
                <w:szCs w:val="24"/>
                <w:u w:val="single"/>
                <w:lang w:val="en-US" w:eastAsia="zh-CN"/>
              </w:rPr>
              <w:t xml:space="preserve">  教学工作站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ascii="宋体" w:hAnsi="宋体"/>
                <w:sz w:val="24"/>
              </w:rPr>
              <w:t>开标前答疑会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ascii="宋体" w:hAnsi="宋体"/>
                <w:sz w:val="24"/>
              </w:rPr>
              <w:t>投标样品递交：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0" w:firstLineChars="250"/>
              <w:jc w:val="left"/>
              <w:rPr>
                <w:rFonts w:ascii="宋体" w:hAnsi="宋体"/>
                <w:sz w:val="24"/>
              </w:rPr>
            </w:pP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（3）样品递交要求：____；</w:t>
            </w:r>
          </w:p>
          <w:p>
            <w:pPr>
              <w:spacing w:line="288" w:lineRule="auto"/>
              <w:jc w:val="left"/>
              <w:rPr>
                <w:rFonts w:ascii="宋体" w:hAnsi="宋体"/>
                <w:sz w:val="24"/>
              </w:rPr>
            </w:pPr>
            <w:r>
              <w:rPr>
                <w:rFonts w:ascii="宋体" w:hAnsi="宋体"/>
                <w:sz w:val="24"/>
              </w:rPr>
              <w:t>（4）未中标人样品退还：___；</w:t>
            </w:r>
          </w:p>
          <w:p>
            <w:pPr>
              <w:spacing w:line="288" w:lineRule="auto"/>
              <w:jc w:val="left"/>
              <w:rPr>
                <w:rFonts w:ascii="宋体" w:hAnsi="宋体"/>
                <w:sz w:val="24"/>
                <w:u w:val="single"/>
              </w:rPr>
            </w:pPr>
            <w:r>
              <w:rPr>
                <w:rFonts w:ascii="宋体" w:hAnsi="宋体"/>
                <w:sz w:val="24"/>
              </w:rPr>
              <w:t>（5）中标人样品保管、封存及退还：______；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3300"/>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包号</w:t>
                  </w:r>
                </w:p>
              </w:tc>
              <w:tc>
                <w:tcPr>
                  <w:tcW w:w="2182"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标的名称</w:t>
                  </w:r>
                </w:p>
              </w:tc>
              <w:tc>
                <w:tcPr>
                  <w:tcW w:w="2361"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restart"/>
                  <w:tcBorders>
                    <w:top w:val="single" w:color="auto" w:sz="4" w:space="0"/>
                    <w:left w:val="single" w:color="auto" w:sz="4" w:space="0"/>
                    <w:right w:val="single" w:color="auto" w:sz="4" w:space="0"/>
                  </w:tcBorders>
                  <w:vAlign w:val="center"/>
                </w:tcPr>
                <w:p>
                  <w:pPr>
                    <w:jc w:val="center"/>
                    <w:rPr>
                      <w:bCs/>
                      <w:szCs w:val="21"/>
                    </w:rPr>
                  </w:pPr>
                  <w:r>
                    <w:rPr>
                      <w:bCs/>
                      <w:szCs w:val="21"/>
                    </w:rPr>
                    <w:t>01</w:t>
                  </w: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lang w:val="en-US" w:eastAsia="zh-CN"/>
                    </w:rPr>
                  </w:pPr>
                  <w:r>
                    <w:rPr>
                      <w:rFonts w:hint="eastAsia"/>
                      <w:sz w:val="24"/>
                      <w:szCs w:val="24"/>
                    </w:rPr>
                    <w:t>教学工作站</w:t>
                  </w:r>
                </w:p>
              </w:tc>
              <w:tc>
                <w:tcPr>
                  <w:tcW w:w="2361" w:type="pct"/>
                  <w:vMerge w:val="restart"/>
                  <w:tcBorders>
                    <w:top w:val="single" w:color="auto" w:sz="4" w:space="0"/>
                    <w:left w:val="single" w:color="auto" w:sz="4" w:space="0"/>
                    <w:right w:val="single" w:color="auto" w:sz="4" w:space="0"/>
                  </w:tcBorders>
                  <w:vAlign w:val="center"/>
                </w:tcPr>
                <w:p>
                  <w:pPr>
                    <w:jc w:val="center"/>
                    <w:rPr>
                      <w:rFonts w:hint="default" w:eastAsia="宋体"/>
                      <w:kern w:val="0"/>
                      <w:szCs w:val="21"/>
                      <w:lang w:val="en-US" w:eastAsia="zh-CN"/>
                    </w:rPr>
                  </w:pPr>
                  <w:r>
                    <w:rPr>
                      <w:rFonts w:hint="eastAsia" w:cs="Times New Roman"/>
                      <w:sz w:val="24"/>
                      <w:lang w:val="en-US" w:eastAsia="zh-CN"/>
                    </w:rPr>
                    <w:t>工</w:t>
                  </w:r>
                  <w:r>
                    <w:rPr>
                      <w:rFonts w:hint="eastAsia" w:ascii="Times New Roman" w:hAnsi="Times New Roman" w:cs="Times New Roman"/>
                      <w:sz w:val="24"/>
                      <w:lang w:val="en-US" w:eastAsia="zh-CN"/>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交换机</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展示系统</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空气净化系统</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机柜</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中控</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交互控制面板</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编程控制</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数字红外无线教学扩声系统主机</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数字红外接收器</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屏蔽延长线</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数字红外无线麦克风</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jc w:val="center"/>
                    <w:rPr>
                      <w:bCs/>
                      <w:szCs w:val="21"/>
                    </w:rP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线阵列音柱</w:t>
                  </w:r>
                </w:p>
              </w:tc>
              <w:tc>
                <w:tcPr>
                  <w:tcW w:w="2361" w:type="pct"/>
                  <w:vMerge w:val="continue"/>
                  <w:tcBorders>
                    <w:left w:val="single" w:color="auto" w:sz="4" w:space="0"/>
                    <w:right w:val="single" w:color="auto" w:sz="4" w:space="0"/>
                  </w:tcBorders>
                  <w:vAlign w:val="center"/>
                </w:tcPr>
                <w:p>
                  <w:pPr>
                    <w:jc w:val="center"/>
                    <w:rPr>
                      <w:rFonts w:hint="eastAsia"/>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55" w:type="pct"/>
                  <w:vMerge w:val="continue"/>
                  <w:tcBorders>
                    <w:left w:val="single" w:color="auto" w:sz="4" w:space="0"/>
                    <w:right w:val="single" w:color="auto" w:sz="4" w:space="0"/>
                  </w:tcBorders>
                  <w:vAlign w:val="center"/>
                </w:tcPr>
                <w:p>
                  <w:pPr>
                    <w:widowControl/>
                    <w:adjustRightInd w:val="0"/>
                    <w:snapToGrid w:val="0"/>
                    <w:jc w:val="center"/>
                  </w:pPr>
                </w:p>
              </w:tc>
              <w:tc>
                <w:tcPr>
                  <w:tcW w:w="3300"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sz w:val="24"/>
                      <w:szCs w:val="24"/>
                    </w:rPr>
                    <w:t>有线麦克</w:t>
                  </w:r>
                </w:p>
              </w:tc>
              <w:tc>
                <w:tcPr>
                  <w:tcW w:w="2361" w:type="pct"/>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宋体" w:cs="Times New Roman"/>
                      <w:bCs/>
                      <w:kern w:val="2"/>
                      <w:sz w:val="21"/>
                      <w:szCs w:val="21"/>
                      <w:lang w:val="en-US" w:eastAsia="zh-CN" w:bidi="ar-SA"/>
                    </w:rPr>
                  </w:pP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投标报价</w:t>
            </w:r>
          </w:p>
        </w:tc>
        <w:tc>
          <w:tcPr>
            <w:tcW w:w="7540" w:type="dxa"/>
            <w:vAlign w:val="center"/>
          </w:tcPr>
          <w:p>
            <w:pPr>
              <w:spacing w:line="288" w:lineRule="auto"/>
              <w:jc w:val="left"/>
              <w:rPr>
                <w:rFonts w:ascii="宋体" w:hAnsi="宋体"/>
                <w:sz w:val="24"/>
              </w:rPr>
            </w:pPr>
            <w:r>
              <w:rPr>
                <w:rFonts w:hint="eastAsia" w:ascii="宋体" w:hAnsi="宋体"/>
                <w:sz w:val="24"/>
              </w:rPr>
              <w:t>投标报价的特殊规定：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ascii="宋体" w:hAnsi="宋体"/>
                <w:sz w:val="24"/>
              </w:rPr>
              <w:t>投标保证金</w:t>
            </w:r>
          </w:p>
        </w:tc>
        <w:tc>
          <w:tcPr>
            <w:tcW w:w="7540" w:type="dxa"/>
            <w:vAlign w:val="center"/>
          </w:tcPr>
          <w:p>
            <w:pPr>
              <w:pStyle w:val="22"/>
              <w:adjustRightInd w:val="0"/>
              <w:snapToGrid w:val="0"/>
              <w:spacing w:line="288" w:lineRule="auto"/>
              <w:rPr>
                <w:rFonts w:hint="default" w:hAnsi="宋体"/>
                <w:sz w:val="24"/>
                <w:szCs w:val="24"/>
              </w:rPr>
            </w:pPr>
            <w:r>
              <w:rPr>
                <w:rFonts w:hint="default" w:hAnsi="宋体"/>
                <w:sz w:val="24"/>
                <w:szCs w:val="24"/>
              </w:rPr>
              <w:t>投标保证金金额：</w:t>
            </w:r>
          </w:p>
          <w:p>
            <w:r>
              <w:rPr>
                <w:rFonts w:hint="default" w:hAnsi="宋体"/>
                <w:sz w:val="24"/>
                <w:szCs w:val="24"/>
              </w:rPr>
              <w:t>01包：</w:t>
            </w:r>
            <w:r>
              <w:rPr>
                <w:rFonts w:hAnsi="宋体"/>
                <w:sz w:val="24"/>
                <w:u w:val="single"/>
              </w:rPr>
              <w:t>人民币</w:t>
            </w:r>
            <w:r>
              <w:rPr>
                <w:rFonts w:hint="eastAsia" w:hAnsi="宋体"/>
                <w:sz w:val="24"/>
                <w:u w:val="single"/>
                <w:lang w:val="en-US" w:eastAsia="zh-CN"/>
              </w:rPr>
              <w:t>19700</w:t>
            </w:r>
            <w:r>
              <w:rPr>
                <w:rFonts w:hAnsi="宋体"/>
                <w:sz w:val="24"/>
              </w:rPr>
              <w:t>元</w:t>
            </w:r>
            <w:r>
              <w:rPr>
                <w:rFonts w:hint="eastAsia" w:hAnsi="宋体"/>
                <w:sz w:val="24"/>
              </w:rPr>
              <w:t>。</w:t>
            </w:r>
          </w:p>
          <w:p/>
          <w:p>
            <w:pPr>
              <w:spacing w:line="288" w:lineRule="auto"/>
              <w:jc w:val="left"/>
              <w:rPr>
                <w:rFonts w:ascii="宋体" w:hAnsi="宋体"/>
                <w:sz w:val="24"/>
                <w:u w:val="single"/>
              </w:rPr>
            </w:pPr>
            <w:r>
              <w:rPr>
                <w:rFonts w:ascii="宋体" w:hAnsi="宋体"/>
                <w:sz w:val="24"/>
              </w:rPr>
              <w:t>投标保证金收受人信息：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p>
          <w:p>
            <w:pPr>
              <w:spacing w:line="288" w:lineRule="auto"/>
              <w:jc w:val="left"/>
              <w:rPr>
                <w:rFonts w:ascii="宋体" w:hAnsi="宋体"/>
                <w:sz w:val="24"/>
              </w:rPr>
            </w:pPr>
            <w:r>
              <w:rPr>
                <w:rFonts w:hint="eastAsia" w:ascii="宋体" w:hAnsi="宋体"/>
                <w:sz w:val="24"/>
              </w:rPr>
              <w:t>注：汇款或转账时请务必附言“项目编号+包号+用途”，例如：</w:t>
            </w:r>
            <w:r>
              <w:rPr>
                <w:rFonts w:hint="eastAsia" w:ascii="宋体" w:hAnsi="宋体"/>
                <w:sz w:val="24"/>
                <w:lang w:eastAsia="zh-CN"/>
              </w:rPr>
              <w:t>ZC24-0479</w:t>
            </w:r>
            <w:r>
              <w:rPr>
                <w:rFonts w:hint="eastAsia" w:ascii="宋体" w:hAnsi="宋体"/>
                <w:sz w:val="24"/>
              </w:rPr>
              <w:t>-1保证金。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ascii="宋体" w:hAnsi="宋体"/>
                <w:sz w:val="24"/>
              </w:rPr>
              <w:t>投标保证金可以不予退还的其他情形：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（1）在开标之日后到投标有效期满前，投标人因自身原因撤回投标的；</w:t>
            </w:r>
          </w:p>
          <w:p>
            <w:pPr>
              <w:pStyle w:val="22"/>
              <w:tabs>
                <w:tab w:val="left" w:pos="2240"/>
              </w:tabs>
              <w:spacing w:line="360" w:lineRule="auto"/>
              <w:rPr>
                <w:rFonts w:hint="default" w:hAnsi="宋体"/>
                <w:sz w:val="24"/>
                <w:szCs w:val="24"/>
              </w:rPr>
            </w:pPr>
            <w:r>
              <w:rPr>
                <w:rFonts w:hAnsi="宋体"/>
                <w:sz w:val="24"/>
                <w:szCs w:val="24"/>
              </w:rPr>
              <w:t>（2）投标人以他人名义投标、相互串通投标或者以其他方式弄虚作假的，投标人提交的投标文件中提交虚假资料或失实资料的；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（3）除因不可抗力或招标文件认可的情形以外，中标人放弃中标或者不按招标文件规定与采购人签订合同的；</w:t>
            </w:r>
          </w:p>
          <w:p>
            <w:pPr>
              <w:pStyle w:val="22"/>
              <w:tabs>
                <w:tab w:val="left" w:pos="2240"/>
              </w:tabs>
              <w:spacing w:line="360" w:lineRule="auto"/>
              <w:rPr>
                <w:rFonts w:hint="default" w:hAnsi="宋体"/>
                <w:sz w:val="24"/>
                <w:szCs w:val="24"/>
              </w:rPr>
            </w:pPr>
            <w:r>
              <w:rPr>
                <w:rFonts w:hAnsi="宋体"/>
                <w:sz w:val="24"/>
                <w:szCs w:val="24"/>
              </w:rPr>
              <w:t>（4）中标人未按招标文件规定缴纳中标服务费的；</w:t>
            </w:r>
          </w:p>
          <w:p>
            <w:pPr>
              <w:pStyle w:val="22"/>
              <w:tabs>
                <w:tab w:val="left" w:pos="2240"/>
              </w:tabs>
              <w:spacing w:line="360" w:lineRule="auto"/>
              <w:rPr>
                <w:rFonts w:hint="default" w:hAnsi="宋体"/>
                <w:sz w:val="24"/>
                <w:szCs w:val="24"/>
              </w:rPr>
            </w:pPr>
            <w:r>
              <w:rPr>
                <w:rFonts w:hAnsi="宋体"/>
                <w:sz w:val="24"/>
                <w:szCs w:val="24"/>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ascii="宋体" w:hAnsi="宋体"/>
                <w:sz w:val="24"/>
              </w:rPr>
              <w:t>投标有效期</w:t>
            </w:r>
          </w:p>
        </w:tc>
        <w:tc>
          <w:tcPr>
            <w:tcW w:w="7540" w:type="dxa"/>
            <w:vAlign w:val="center"/>
          </w:tcPr>
          <w:p>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投标文件份数</w:t>
            </w:r>
          </w:p>
        </w:tc>
        <w:tc>
          <w:tcPr>
            <w:tcW w:w="7540" w:type="dxa"/>
            <w:vAlign w:val="center"/>
          </w:tcPr>
          <w:p>
            <w:pPr>
              <w:spacing w:line="360" w:lineRule="auto"/>
              <w:rPr>
                <w:rFonts w:ascii="宋体" w:hAnsi="宋体"/>
                <w:sz w:val="24"/>
              </w:rPr>
            </w:pPr>
            <w:r>
              <w:rPr>
                <w:rFonts w:hint="eastAsia" w:ascii="宋体" w:hAnsi="宋体"/>
                <w:sz w:val="24"/>
              </w:rPr>
              <w:t>投标文件：正本：</w:t>
            </w:r>
            <w:r>
              <w:rPr>
                <w:rFonts w:ascii="宋体" w:hAnsi="宋体"/>
                <w:sz w:val="24"/>
              </w:rPr>
              <w:t>1份；副本：5份；电子版：1份。</w:t>
            </w:r>
          </w:p>
          <w:p>
            <w:pPr>
              <w:spacing w:line="360" w:lineRule="auto"/>
              <w:rPr>
                <w:rFonts w:ascii="宋体" w:hAnsi="宋体"/>
                <w:b/>
                <w:bCs/>
                <w:sz w:val="24"/>
                <w:u w:val="single"/>
              </w:rPr>
            </w:pPr>
            <w:r>
              <w:rPr>
                <w:rFonts w:hint="eastAsia" w:ascii="宋体" w:hAnsi="宋体"/>
                <w:b/>
                <w:bCs/>
                <w:sz w:val="24"/>
                <w:u w:val="single"/>
              </w:rPr>
              <w:t>电子版内容为投标文件的word格式可编辑版本和正本盖章后扫描的PDF文本格式，电子版投标文件以U盘形式提交。</w:t>
            </w:r>
          </w:p>
          <w:p>
            <w:pPr>
              <w:spacing w:line="360" w:lineRule="auto"/>
              <w:rPr>
                <w:rFonts w:ascii="宋体" w:hAnsi="宋体"/>
                <w:sz w:val="24"/>
              </w:rPr>
            </w:pPr>
            <w:r>
              <w:rPr>
                <w:rFonts w:hint="eastAsia" w:ascii="宋体" w:hAnsi="宋体"/>
                <w:b/>
                <w:bCs/>
                <w:sz w:val="24"/>
                <w:u w:val="single"/>
              </w:rPr>
              <w:t>同时，提交单独密封的投标保证金付款凭证复印件一份。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pPr>
              <w:pStyle w:val="22"/>
              <w:adjustRightInd w:val="0"/>
              <w:snapToGrid w:val="0"/>
              <w:spacing w:line="288" w:lineRule="auto"/>
              <w:rPr>
                <w:rFonts w:hint="default" w:hAnsi="宋体"/>
                <w:sz w:val="24"/>
                <w:szCs w:val="24"/>
              </w:rPr>
            </w:pPr>
            <w:r>
              <w:rPr>
                <w:rFonts w:hint="default" w:hAnsi="宋体"/>
                <w:sz w:val="24"/>
                <w:szCs w:val="24"/>
              </w:rPr>
              <w:t>中标候选人并列的，采购人是否委托评标委员会确定中标人：</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int="default" w:hAnsi="宋体"/>
                <w:sz w:val="24"/>
                <w:szCs w:val="24"/>
              </w:rPr>
              <w:t>中标候选人并列的，按照以下方式确定中标人：</w:t>
            </w:r>
          </w:p>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得分且投标报价均相同的，以</w:t>
            </w:r>
            <w:r>
              <w:rPr>
                <w:rFonts w:hAnsi="宋体"/>
                <w:sz w:val="24"/>
                <w:szCs w:val="24"/>
                <w:u w:val="single"/>
              </w:rPr>
              <w:t>技术部分</w:t>
            </w:r>
            <w:r>
              <w:rPr>
                <w:rFonts w:hint="default" w:hAnsi="宋体"/>
                <w:sz w:val="24"/>
                <w:szCs w:val="24"/>
              </w:rPr>
              <w:t>得分高者为中标人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w:t>
            </w:r>
            <w:r>
              <w:rPr>
                <w:rFonts w:hint="eastAsia"/>
                <w:sz w:val="24"/>
                <w:u w:val="single"/>
                <w:lang w:val="en-US" w:eastAsia="zh-CN"/>
              </w:rPr>
              <w:t>170</w:t>
            </w:r>
            <w:r>
              <w:rPr>
                <w:rFonts w:hint="eastAsia"/>
                <w:sz w:val="24"/>
                <w:u w:val="single"/>
              </w:rPr>
              <w:t>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取费费率表如下，按中标金额差额定率累进法计算，计算基数为分包合同总价</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w:pict>
                      <v:shape id="AutoShape 2" o:spid="_x0000_s1026" o:spt="32" type="#_x0000_t32" style="position:absolute;left:0pt;margin-left:1.8pt;margin-top:2.45pt;height:28.2pt;width:147.5pt;z-index:251659264;mso-width-relative:page;mso-height-relative:page;" filled="f"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Y8tbTVAAAABgEAAA8AAAAAAAAAAQAgAAAAIgAAAGRycy9kb3ducmV2LnhtbFBL&#10;AQIUABQAAAAIAIdO4kCK59JWwAEAAIUDAAAOAAAAAAAAAAEAIAAAACQBAABkcnMvZTJvRG9jLnht&#10;bFBLBQYAAAAABgAGAFkBAABWBQAAAAA=&#10;">
                        <v:path arrowok="t"/>
                        <v:fill on="f" focussize="0,0"/>
                        <v:stroke/>
                        <v:imagedata o:title=""/>
                        <o:lock v:ext="edit"/>
                      </v:shape>
                    </w:pic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4"/>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100—500</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lang w:val="en-US" w:eastAsia="zh-CN"/>
                    </w:rPr>
                    <w:t>1.1</w:t>
                  </w:r>
                  <w:r>
                    <w:rPr>
                      <w:rFonts w:hint="eastAsia"/>
                      <w:b/>
                      <w:bCs/>
                      <w:szCs w:val="18"/>
                    </w:rPr>
                    <w:t>％</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中标人在领取中标通知书时须向采购代理机构缴纳中标服务费</w:t>
            </w:r>
            <w:r>
              <w:rPr>
                <w:rFonts w:ascii="宋体" w:hAnsi="宋体"/>
                <w:sz w:val="24"/>
              </w:rPr>
              <w:t>。</w:t>
            </w:r>
          </w:p>
        </w:tc>
      </w:tr>
    </w:tbl>
    <w:p>
      <w:pPr>
        <w:tabs>
          <w:tab w:val="left" w:pos="5580"/>
        </w:tabs>
        <w:adjustRightInd w:val="0"/>
        <w:spacing w:line="360" w:lineRule="auto"/>
        <w:jc w:val="distribute"/>
        <w:rPr>
          <w:rFonts w:ascii="宋体" w:hAnsi="宋体"/>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6" w:name="_Toc150774722"/>
      <w:bookmarkStart w:id="77" w:name="_Toc265228355"/>
      <w:bookmarkStart w:id="78" w:name="_Toc305158859"/>
      <w:bookmarkStart w:id="79" w:name="_Toc142311019"/>
      <w:bookmarkStart w:id="80" w:name="_Toc353873932"/>
      <w:bookmarkStart w:id="81" w:name="_Toc195842882"/>
      <w:bookmarkStart w:id="82" w:name="_Toc353873662"/>
      <w:bookmarkStart w:id="83" w:name="_Toc150480755"/>
      <w:bookmarkStart w:id="84" w:name="_Toc305158785"/>
      <w:bookmarkStart w:id="85" w:name="_Toc127151517"/>
      <w:bookmarkStart w:id="86" w:name="_Toc264969207"/>
      <w:bookmarkStart w:id="87" w:name="_Toc226337213"/>
      <w:bookmarkStart w:id="88" w:name="_Toc353825542"/>
      <w:bookmarkStart w:id="89" w:name="_Toc226965790"/>
      <w:r>
        <w:rPr>
          <w:rFonts w:ascii="宋体" w:hAnsi="宋体"/>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3"/>
        <w:tabs>
          <w:tab w:val="center" w:pos="4592"/>
          <w:tab w:val="left" w:pos="7860"/>
        </w:tabs>
        <w:spacing w:before="0" w:line="360" w:lineRule="auto"/>
        <w:rPr>
          <w:rFonts w:ascii="宋体" w:hAnsi="宋体" w:eastAsia="宋体"/>
          <w:sz w:val="28"/>
        </w:rPr>
      </w:pPr>
      <w:bookmarkStart w:id="90" w:name="_Toc226965791"/>
      <w:bookmarkStart w:id="91" w:name="_Toc264969208"/>
      <w:bookmarkStart w:id="92" w:name="_Toc142311020"/>
      <w:bookmarkStart w:id="93" w:name="_Toc195842883"/>
      <w:bookmarkStart w:id="94" w:name="_Toc150774723"/>
      <w:bookmarkStart w:id="95" w:name="_Toc151193688"/>
      <w:bookmarkStart w:id="96" w:name="_Toc150774618"/>
      <w:bookmarkStart w:id="97" w:name="_Toc151193760"/>
      <w:bookmarkStart w:id="98" w:name="_Toc151190145"/>
      <w:bookmarkStart w:id="99" w:name="_Toc520356143"/>
      <w:bookmarkStart w:id="100" w:name="_Toc265228356"/>
      <w:bookmarkStart w:id="101" w:name="_Toc150480756"/>
      <w:bookmarkStart w:id="102" w:name="_Toc305158860"/>
      <w:bookmarkStart w:id="103" w:name="_Toc127151518"/>
      <w:bookmarkStart w:id="104" w:name="_Toc226965708"/>
      <w:bookmarkStart w:id="105" w:name="_Toc226309762"/>
      <w:bookmarkStart w:id="106" w:name="_Toc226337214"/>
      <w:bookmarkStart w:id="107" w:name="_Toc150509269"/>
      <w:bookmarkStart w:id="108" w:name="_Toc151193906"/>
      <w:bookmarkStart w:id="109" w:name="_Toc305158786"/>
      <w:bookmarkStart w:id="110" w:name="_Toc151193616"/>
      <w:bookmarkStart w:id="111" w:name="_Toc151193832"/>
      <w:r>
        <w:rPr>
          <w:rFonts w:ascii="宋体" w:hAnsi="宋体" w:eastAsia="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2" w:name="_Toc265228357"/>
      <w:bookmarkStart w:id="113" w:name="_Toc305158861"/>
      <w:bookmarkStart w:id="114" w:name="_Toc305158787"/>
      <w:bookmarkStart w:id="115" w:name="_Toc264969209"/>
      <w:r>
        <w:rPr>
          <w:rFonts w:ascii="宋体" w:hAnsi="宋体"/>
          <w:sz w:val="24"/>
        </w:rPr>
        <w:t>采购人、采购代理机构、投标人</w:t>
      </w:r>
      <w:bookmarkEnd w:id="112"/>
      <w:bookmarkEnd w:id="113"/>
      <w:bookmarkEnd w:id="114"/>
      <w:bookmarkEnd w:id="115"/>
      <w:r>
        <w:rPr>
          <w:rFonts w:hint="eastAsia" w:ascii="宋体" w:hAnsi="宋体"/>
          <w:sz w:val="24"/>
        </w:rPr>
        <w:t>、联合体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6" w:name="_Toc150774620"/>
      <w:bookmarkStart w:id="117" w:name="_Toc149720813"/>
      <w:bookmarkStart w:id="118" w:name="_Toc226309764"/>
      <w:bookmarkStart w:id="119" w:name="_Toc164351614"/>
      <w:bookmarkStart w:id="120" w:name="_Toc164229215"/>
      <w:bookmarkStart w:id="121" w:name="_Toc226965793"/>
      <w:bookmarkStart w:id="122" w:name="_Toc265228358"/>
      <w:bookmarkStart w:id="123" w:name="_Toc226337216"/>
      <w:bookmarkStart w:id="124" w:name="_Toc151193834"/>
      <w:bookmarkStart w:id="125" w:name="_Toc127151721"/>
      <w:bookmarkStart w:id="126" w:name="_Toc226965710"/>
      <w:bookmarkStart w:id="127" w:name="_Toc164229361"/>
      <w:bookmarkStart w:id="128" w:name="_Toc264969210"/>
      <w:bookmarkStart w:id="129" w:name="_Toc164608789"/>
      <w:bookmarkStart w:id="130" w:name="_Toc142311022"/>
      <w:bookmarkStart w:id="131" w:name="_Toc150509271"/>
      <w:bookmarkStart w:id="132" w:name="_Toc151193908"/>
      <w:bookmarkStart w:id="133" w:name="_Toc151193690"/>
      <w:bookmarkStart w:id="134" w:name="_Toc164608634"/>
      <w:bookmarkStart w:id="135" w:name="_Toc150480758"/>
      <w:bookmarkStart w:id="136" w:name="_Toc150774725"/>
      <w:bookmarkStart w:id="137" w:name="_Toc127161434"/>
      <w:bookmarkStart w:id="138" w:name="_Toc151190147"/>
      <w:bookmarkStart w:id="139" w:name="_Toc151193618"/>
      <w:bookmarkStart w:id="140" w:name="_Toc305158788"/>
      <w:bookmarkStart w:id="141" w:name="_Toc195842885"/>
      <w:bookmarkStart w:id="142" w:name="_Toc127151520"/>
      <w:bookmarkStart w:id="143" w:name="_Toc305158862"/>
      <w:bookmarkStart w:id="144" w:name="_Toc151193762"/>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150480760"/>
      <w:bookmarkStart w:id="146" w:name="_Toc265228360"/>
      <w:bookmarkStart w:id="147" w:name="_Toc127151522"/>
      <w:bookmarkStart w:id="148" w:name="_Toc305158790"/>
      <w:bookmarkStart w:id="149" w:name="_Toc151193692"/>
      <w:bookmarkStart w:id="150" w:name="_Toc226337218"/>
      <w:bookmarkStart w:id="151" w:name="_Toc151190149"/>
      <w:bookmarkStart w:id="152" w:name="_Toc520356146"/>
      <w:bookmarkStart w:id="153" w:name="_Toc151193620"/>
      <w:bookmarkStart w:id="154" w:name="_Toc226965795"/>
      <w:bookmarkStart w:id="155" w:name="_Toc150774622"/>
      <w:bookmarkStart w:id="156" w:name="_Toc151193836"/>
      <w:bookmarkStart w:id="157" w:name="_Toc151193910"/>
      <w:bookmarkStart w:id="158" w:name="_Toc226965712"/>
      <w:bookmarkStart w:id="159" w:name="_Toc150774727"/>
      <w:bookmarkStart w:id="160" w:name="_Toc226309766"/>
      <w:bookmarkStart w:id="161" w:name="_Toc305158864"/>
      <w:bookmarkStart w:id="162" w:name="_Toc264969212"/>
      <w:bookmarkStart w:id="163" w:name="_Toc142311024"/>
      <w:bookmarkStart w:id="164" w:name="_Toc150509273"/>
      <w:bookmarkStart w:id="165" w:name="_Toc151193764"/>
      <w:bookmarkStart w:id="166" w:name="_Toc195842887"/>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pPr>
        <w:pStyle w:val="3"/>
        <w:spacing w:before="0" w:line="360" w:lineRule="auto"/>
        <w:rPr>
          <w:rFonts w:ascii="宋体" w:hAnsi="宋体" w:eastAsia="宋体"/>
          <w:sz w:val="28"/>
        </w:rPr>
      </w:pPr>
      <w:bookmarkStart w:id="167" w:name="_1.8_计量单位"/>
      <w:bookmarkEnd w:id="167"/>
      <w:r>
        <w:rPr>
          <w:rFonts w:ascii="宋体" w:hAnsi="宋体"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numPr>
          <w:ilvl w:val="0"/>
          <w:numId w:val="8"/>
        </w:numPr>
        <w:tabs>
          <w:tab w:val="left" w:pos="360"/>
        </w:tabs>
        <w:snapToGrid w:val="0"/>
        <w:spacing w:line="360" w:lineRule="auto"/>
        <w:ind w:left="357" w:hanging="357"/>
        <w:outlineLvl w:val="1"/>
        <w:rPr>
          <w:rFonts w:ascii="宋体" w:hAnsi="宋体"/>
          <w:sz w:val="24"/>
        </w:rPr>
      </w:pPr>
      <w:bookmarkStart w:id="168" w:name="_Toc151193621"/>
      <w:bookmarkStart w:id="169" w:name="_Toc226965796"/>
      <w:bookmarkStart w:id="170" w:name="_Toc150774623"/>
      <w:bookmarkStart w:id="171" w:name="_Toc127161437"/>
      <w:bookmarkStart w:id="172" w:name="_Toc151190150"/>
      <w:bookmarkStart w:id="173" w:name="_Toc151193693"/>
      <w:bookmarkStart w:id="174" w:name="_Toc226337219"/>
      <w:bookmarkStart w:id="175" w:name="_Toc226965713"/>
      <w:bookmarkStart w:id="176" w:name="_Toc164229364"/>
      <w:bookmarkStart w:id="177" w:name="_Toc150509274"/>
      <w:bookmarkStart w:id="178" w:name="_Toc520356147"/>
      <w:bookmarkStart w:id="179" w:name="_Toc305158865"/>
      <w:bookmarkStart w:id="180" w:name="_Toc150774728"/>
      <w:bookmarkStart w:id="181" w:name="_Toc151193765"/>
      <w:bookmarkStart w:id="182" w:name="_Toc226309767"/>
      <w:bookmarkStart w:id="183" w:name="_Toc164351617"/>
      <w:bookmarkStart w:id="184" w:name="_Toc149720816"/>
      <w:bookmarkStart w:id="185" w:name="_Toc195842888"/>
      <w:bookmarkStart w:id="186" w:name="_Toc142311025"/>
      <w:bookmarkStart w:id="187" w:name="_Toc151193837"/>
      <w:bookmarkStart w:id="188" w:name="_Toc164608792"/>
      <w:bookmarkStart w:id="189" w:name="_Toc265228361"/>
      <w:bookmarkStart w:id="190" w:name="_Toc127151523"/>
      <w:bookmarkStart w:id="191" w:name="_Toc164229218"/>
      <w:bookmarkStart w:id="192" w:name="_Toc305158791"/>
      <w:bookmarkStart w:id="193" w:name="_Toc150480761"/>
      <w:bookmarkStart w:id="194" w:name="_Toc264969213"/>
      <w:bookmarkStart w:id="195" w:name="_Toc151193911"/>
      <w:bookmarkStart w:id="196" w:name="_Toc127151724"/>
      <w:bookmarkStart w:id="197" w:name="_Toc164608637"/>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要求提供货物与服务的内容及详细技术需求、投标须知和合同条件等在招标文件中均有说明。</w:t>
      </w:r>
      <w:r>
        <w:rPr>
          <w:rFonts w:ascii="宋体" w:hAnsi="宋体"/>
          <w:sz w:val="24"/>
        </w:rPr>
        <w:t>招标文件包括以下部分：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投标人应注意招标文件</w:t>
      </w:r>
      <w:r>
        <w:rPr>
          <w:rFonts w:ascii="宋体" w:hAnsi="宋体"/>
          <w:sz w:val="24"/>
        </w:rPr>
        <w:t>第五章《采购需求》</w:t>
      </w:r>
      <w:r>
        <w:rPr>
          <w:rFonts w:hint="eastAsia" w:ascii="宋体" w:hAnsi="宋体"/>
          <w:sz w:val="24"/>
        </w:rPr>
        <w:t>中指出的工艺、材料和设备的标准，以及参照的牌号或分类号仅起说明作用，并没有任何限制性。投标人在投标中可以选用替代标准、牌号或分类号，但这些替代要实质上相当于或优于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除非有特殊要求，招标文件不单独提供货物安装使用地的自然环境、气候条件、公用设施等情况，投标人被视为熟悉上述与履行合同有关的一切情况。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226309770"/>
      <w:bookmarkStart w:id="200" w:name="_Toc226965799"/>
      <w:bookmarkStart w:id="201" w:name="_Toc264969216"/>
      <w:bookmarkStart w:id="202" w:name="_Toc142311028"/>
      <w:bookmarkStart w:id="203" w:name="_Toc151193914"/>
      <w:bookmarkStart w:id="204" w:name="_Toc151193696"/>
      <w:bookmarkStart w:id="205" w:name="_Toc226337222"/>
      <w:bookmarkStart w:id="206" w:name="_Toc151193840"/>
      <w:bookmarkStart w:id="207" w:name="_Toc151193768"/>
      <w:bookmarkStart w:id="208" w:name="_Toc150480764"/>
      <w:bookmarkStart w:id="209" w:name="_Toc305158868"/>
      <w:bookmarkStart w:id="210" w:name="_Toc150774626"/>
      <w:bookmarkStart w:id="211" w:name="_Toc226965716"/>
      <w:bookmarkStart w:id="212" w:name="_Toc150774731"/>
      <w:bookmarkStart w:id="213" w:name="_Toc151193624"/>
      <w:bookmarkStart w:id="214" w:name="_Toc151190153"/>
      <w:bookmarkStart w:id="215" w:name="_Toc305158794"/>
      <w:bookmarkStart w:id="216" w:name="_Toc127151526"/>
      <w:bookmarkStart w:id="217" w:name="_Toc265228364"/>
      <w:bookmarkStart w:id="218" w:name="_Toc520356150"/>
      <w:bookmarkStart w:id="219" w:name="_Toc195842891"/>
      <w:bookmarkStart w:id="220" w:name="_Toc150509277"/>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投标人在收到澄清或修改的书面通知后，应在一个工作日内向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任何要求对招标文件进行澄清的投标人，均应以书面形式通知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对投标人在购买招标文件后七个工作日内提交的澄清要求，应在收到澄清要求后三个工作日内以书面形式予以答复。</w:t>
      </w:r>
    </w:p>
    <w:p>
      <w:pPr>
        <w:pStyle w:val="3"/>
        <w:spacing w:before="0" w:line="360" w:lineRule="auto"/>
        <w:rPr>
          <w:rFonts w:ascii="宋体" w:hAnsi="宋体" w:eastAsia="宋体"/>
          <w:sz w:val="28"/>
        </w:rPr>
      </w:pPr>
      <w:r>
        <w:rPr>
          <w:rFonts w:ascii="宋体" w:hAnsi="宋体" w:eastAsia="宋体"/>
          <w:sz w:val="28"/>
        </w:rPr>
        <w:t>三  投标文件</w:t>
      </w:r>
      <w:bookmarkEnd w:id="198"/>
      <w:r>
        <w:rPr>
          <w:rFonts w:ascii="宋体" w:hAnsi="宋体" w:eastAsia="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numPr>
          <w:ilvl w:val="0"/>
          <w:numId w:val="8"/>
        </w:numPr>
        <w:tabs>
          <w:tab w:val="left" w:pos="360"/>
        </w:tabs>
        <w:snapToGrid w:val="0"/>
        <w:spacing w:line="360" w:lineRule="auto"/>
        <w:ind w:left="357" w:hanging="357"/>
        <w:outlineLvl w:val="1"/>
        <w:rPr>
          <w:rFonts w:ascii="宋体" w:hAnsi="宋体"/>
          <w:sz w:val="24"/>
        </w:rPr>
      </w:pPr>
      <w:bookmarkStart w:id="221" w:name="_Toc195842892"/>
      <w:bookmarkStart w:id="222" w:name="_Toc127161441"/>
      <w:bookmarkStart w:id="223" w:name="_Toc127151728"/>
      <w:bookmarkStart w:id="224" w:name="_Toc150480765"/>
      <w:bookmarkStart w:id="225" w:name="_Toc164229368"/>
      <w:bookmarkStart w:id="226" w:name="_Toc164608641"/>
      <w:bookmarkStart w:id="227" w:name="_Toc142311029"/>
      <w:bookmarkStart w:id="228" w:name="_Toc150509278"/>
      <w:bookmarkStart w:id="229" w:name="_Toc149720820"/>
      <w:bookmarkStart w:id="230" w:name="_Toc264969217"/>
      <w:bookmarkStart w:id="231" w:name="_Toc151193915"/>
      <w:bookmarkStart w:id="232" w:name="_Toc226309771"/>
      <w:bookmarkStart w:id="233" w:name="_Toc164608796"/>
      <w:bookmarkStart w:id="234" w:name="_Toc151193625"/>
      <w:bookmarkStart w:id="235" w:name="_Toc151193769"/>
      <w:bookmarkStart w:id="236" w:name="_Toc164351621"/>
      <w:bookmarkStart w:id="237" w:name="_Toc226965800"/>
      <w:bookmarkStart w:id="238" w:name="_Toc151193841"/>
      <w:bookmarkStart w:id="239" w:name="_Toc150774627"/>
      <w:bookmarkStart w:id="240" w:name="_Toc151190154"/>
      <w:bookmarkStart w:id="241" w:name="_Toc305158795"/>
      <w:bookmarkStart w:id="242" w:name="_Toc516367021"/>
      <w:bookmarkStart w:id="243" w:name="_Toc520356151"/>
      <w:bookmarkStart w:id="244" w:name="_Toc164229222"/>
      <w:bookmarkStart w:id="245" w:name="_Toc150774732"/>
      <w:bookmarkStart w:id="246" w:name="_Toc226965717"/>
      <w:bookmarkStart w:id="247" w:name="_Toc305158869"/>
      <w:bookmarkStart w:id="248" w:name="_Toc151193697"/>
      <w:bookmarkStart w:id="249" w:name="_Toc127151527"/>
      <w:bookmarkStart w:id="250" w:name="_Toc265228365"/>
      <w:bookmarkStart w:id="251" w:name="_Toc226337223"/>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rFonts w:ascii="宋体" w:hAnsi="宋体"/>
          <w:sz w:val="24"/>
        </w:rPr>
      </w:pPr>
      <w:bookmarkStart w:id="252" w:name="_Toc516367022"/>
      <w:bookmarkStart w:id="253" w:name="_Ref467306676"/>
      <w:bookmarkStart w:id="254" w:name="_Ref467306195"/>
      <w:bookmarkStart w:id="255" w:name="_Toc264969218"/>
      <w:bookmarkStart w:id="256" w:name="_Toc142311030"/>
      <w:bookmarkStart w:id="257" w:name="_Toc195842893"/>
      <w:bookmarkStart w:id="258" w:name="_Toc127151729"/>
      <w:bookmarkStart w:id="259" w:name="_Toc305158796"/>
      <w:bookmarkStart w:id="260" w:name="_Toc150774628"/>
      <w:bookmarkStart w:id="261" w:name="_Toc151193916"/>
      <w:bookmarkStart w:id="262" w:name="_Toc151190155"/>
      <w:bookmarkStart w:id="263" w:name="_Toc150509279"/>
      <w:bookmarkStart w:id="264" w:name="_Toc226309772"/>
      <w:bookmarkStart w:id="265" w:name="_Toc150480766"/>
      <w:bookmarkStart w:id="266" w:name="_Toc226965801"/>
      <w:bookmarkStart w:id="267" w:name="_Toc150774733"/>
      <w:bookmarkStart w:id="268" w:name="_Toc164229369"/>
      <w:bookmarkStart w:id="269" w:name="_Toc151193770"/>
      <w:bookmarkStart w:id="270" w:name="_Toc127151528"/>
      <w:bookmarkStart w:id="271" w:name="_Toc265228366"/>
      <w:bookmarkStart w:id="272" w:name="_Toc151193626"/>
      <w:bookmarkStart w:id="273" w:name="_Toc520356152"/>
      <w:bookmarkStart w:id="274" w:name="_Toc164229223"/>
      <w:bookmarkStart w:id="275" w:name="_Toc226965718"/>
      <w:bookmarkStart w:id="276" w:name="_Toc151193842"/>
      <w:bookmarkStart w:id="277" w:name="_Toc305158870"/>
      <w:bookmarkStart w:id="278" w:name="_Toc164608642"/>
      <w:bookmarkStart w:id="279" w:name="_Toc226337224"/>
      <w:bookmarkStart w:id="280" w:name="_Toc164351622"/>
      <w:bookmarkStart w:id="281" w:name="_Toc164608797"/>
      <w:bookmarkStart w:id="282" w:name="_Toc127161442"/>
      <w:bookmarkStart w:id="283" w:name="_Toc151193698"/>
      <w:bookmarkStart w:id="284" w:name="_Toc149720821"/>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5"/>
      <w:r>
        <w:rPr>
          <w:rFonts w:hint="eastAsia" w:ascii="宋体" w:hAnsi="宋体"/>
          <w:sz w:val="24"/>
        </w:rPr>
        <w:t>投标人应根据招标项目的特点及要求，提供相应的技术方案、实施方案、技术支持与售后服务方案、培训计划和招标文件中要求投标人响应的其他技术文件等。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1190157"/>
      <w:bookmarkStart w:id="287" w:name="_Toc150480768"/>
      <w:bookmarkStart w:id="288" w:name="_Toc164351624"/>
      <w:bookmarkStart w:id="289" w:name="_Toc151193918"/>
      <w:bookmarkStart w:id="290" w:name="_Toc150774735"/>
      <w:bookmarkStart w:id="291" w:name="_Toc149720823"/>
      <w:bookmarkStart w:id="292" w:name="_Toc164229371"/>
      <w:bookmarkStart w:id="293" w:name="_Toc127161444"/>
      <w:bookmarkStart w:id="294" w:name="_Toc151193628"/>
      <w:bookmarkStart w:id="295" w:name="_Toc150509281"/>
      <w:bookmarkStart w:id="296" w:name="_Toc164608644"/>
      <w:bookmarkStart w:id="297" w:name="_Toc150774630"/>
      <w:bookmarkStart w:id="298" w:name="_Toc151193700"/>
      <w:bookmarkStart w:id="299" w:name="_Toc151193844"/>
      <w:bookmarkStart w:id="300" w:name="_Toc164608799"/>
      <w:bookmarkStart w:id="301" w:name="_Toc127151530"/>
      <w:bookmarkStart w:id="302" w:name="_Toc164229225"/>
      <w:bookmarkStart w:id="303" w:name="_Toc151193772"/>
      <w:bookmarkStart w:id="304" w:name="_Toc520356155"/>
      <w:bookmarkStart w:id="305" w:name="_Toc142311032"/>
      <w:bookmarkStart w:id="306" w:name="_Toc127151731"/>
      <w:bookmarkStart w:id="307" w:name="_Toc195842895"/>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所有投标均以人民币报价。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hint="eastAsia" w:ascii="宋体" w:hAnsi="宋体"/>
          <w:sz w:val="24"/>
        </w:rPr>
        <w:t>投标人的报价应包括但不限于下列内容，《投标人须知资料表》中有特殊规定的，从其规定。</w:t>
      </w:r>
    </w:p>
    <w:p>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投标人应在“投标分项报价表”上标明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投标人所报的各分项投标单价在合同履行过程中是固定不变的，不得以任何理由予以变更，否则其</w:t>
      </w:r>
      <w:r>
        <w:rPr>
          <w:rFonts w:hint="eastAsia" w:ascii="宋体" w:hAnsi="宋体"/>
          <w:b/>
          <w:bCs/>
          <w:sz w:val="24"/>
        </w:rPr>
        <w:t>投标无效</w:t>
      </w:r>
      <w:r>
        <w:rPr>
          <w:rFonts w:hint="eastAsia" w:ascii="宋体" w:hAnsi="宋体"/>
          <w:sz w:val="24"/>
        </w:rPr>
        <w:t>。</w:t>
      </w:r>
    </w:p>
    <w:p>
      <w:pPr>
        <w:numPr>
          <w:ilvl w:val="1"/>
          <w:numId w:val="8"/>
        </w:numPr>
        <w:tabs>
          <w:tab w:val="left" w:pos="1080"/>
          <w:tab w:val="left" w:pos="2014"/>
        </w:tabs>
        <w:snapToGrid w:val="0"/>
        <w:spacing w:line="360" w:lineRule="auto"/>
        <w:rPr>
          <w:rFonts w:ascii="宋体" w:hAnsi="宋体"/>
          <w:sz w:val="24"/>
        </w:rPr>
      </w:pPr>
      <w:r>
        <w:rPr>
          <w:rFonts w:hint="eastAsia" w:ascii="宋体" w:hAnsi="宋体"/>
          <w:sz w:val="24"/>
        </w:rPr>
        <w:t>投标报价中，如投标内容超出招标文件要求，该部分内容在评标时将不予以核减。</w:t>
      </w:r>
    </w:p>
    <w:p>
      <w:pPr>
        <w:numPr>
          <w:ilvl w:val="1"/>
          <w:numId w:val="8"/>
        </w:numPr>
        <w:tabs>
          <w:tab w:val="left" w:pos="1080"/>
          <w:tab w:val="left" w:pos="2014"/>
        </w:tabs>
        <w:snapToGrid w:val="0"/>
        <w:spacing w:line="360" w:lineRule="auto"/>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bookmarkStart w:id="308" w:name="_Toc150509282"/>
      <w:bookmarkStart w:id="309" w:name="_Toc150774736"/>
      <w:bookmarkStart w:id="310" w:name="_Toc151193845"/>
      <w:bookmarkStart w:id="311" w:name="_Toc305158873"/>
      <w:bookmarkStart w:id="312" w:name="_Ref467306513"/>
      <w:bookmarkStart w:id="313" w:name="_Toc226965804"/>
      <w:bookmarkStart w:id="314" w:name="_Toc164229226"/>
      <w:bookmarkStart w:id="315" w:name="_Toc127161445"/>
      <w:bookmarkStart w:id="316" w:name="_Toc305158799"/>
      <w:bookmarkStart w:id="317" w:name="_Toc151193773"/>
      <w:bookmarkStart w:id="318" w:name="_Toc142311033"/>
      <w:bookmarkStart w:id="319" w:name="_Toc226965721"/>
      <w:bookmarkStart w:id="320" w:name="_Toc151190158"/>
      <w:bookmarkStart w:id="321" w:name="_Toc195842896"/>
      <w:bookmarkStart w:id="322" w:name="_Toc164351625"/>
      <w:bookmarkStart w:id="323" w:name="_Toc151193701"/>
      <w:bookmarkStart w:id="324" w:name="_Toc149720824"/>
      <w:bookmarkStart w:id="325" w:name="_Toc164229372"/>
      <w:bookmarkStart w:id="326" w:name="_Toc151193629"/>
      <w:bookmarkStart w:id="327" w:name="_Toc520356156"/>
      <w:bookmarkStart w:id="328" w:name="_Toc265228369"/>
      <w:bookmarkStart w:id="329" w:name="_Toc150774631"/>
      <w:bookmarkStart w:id="330" w:name="_Toc164608645"/>
      <w:bookmarkStart w:id="331" w:name="_Toc127151531"/>
      <w:bookmarkStart w:id="332" w:name="_Toc226337227"/>
      <w:bookmarkStart w:id="333" w:name="_Toc164608800"/>
      <w:bookmarkStart w:id="334" w:name="_Toc127151732"/>
      <w:bookmarkStart w:id="335" w:name="_Toc150480769"/>
      <w:bookmarkStart w:id="336" w:name="_Toc226309775"/>
      <w:bookmarkStart w:id="337" w:name="_Toc151193919"/>
      <w:bookmarkStart w:id="338" w:name="_Toc264969221"/>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numPr>
          <w:ilvl w:val="1"/>
          <w:numId w:val="8"/>
        </w:numPr>
        <w:tabs>
          <w:tab w:val="left" w:pos="1080"/>
          <w:tab w:val="left" w:pos="2014"/>
        </w:tabs>
        <w:snapToGrid w:val="0"/>
        <w:spacing w:line="360" w:lineRule="auto"/>
        <w:ind w:left="1077" w:hanging="720"/>
        <w:rPr>
          <w:rFonts w:ascii="宋体" w:hAnsi="宋体"/>
          <w:sz w:val="24"/>
        </w:rPr>
      </w:pPr>
      <w:bookmarkStart w:id="339" w:name="_Ref467306302"/>
      <w:r>
        <w:rPr>
          <w:rFonts w:ascii="宋体" w:hAnsi="宋体"/>
          <w:sz w:val="24"/>
        </w:rPr>
        <w:t>投标人应按《投标人须知资料表》中规定的金额及要求交纳投标保证金</w:t>
      </w:r>
      <w:bookmarkEnd w:id="339"/>
      <w:r>
        <w:rPr>
          <w:rFonts w:ascii="宋体" w:hAnsi="宋体"/>
          <w:sz w:val="24"/>
        </w:rPr>
        <w:t>，并作为其投标的一部分。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hint="eastAsia" w:ascii="宋体" w:hAnsi="宋体"/>
          <w:b/>
          <w:bCs/>
          <w:sz w:val="24"/>
        </w:rPr>
        <w:t>无效投标</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及时退还投标人的投标保证金，因投标人自身原因导致无法及时退还的除外：</w:t>
      </w:r>
    </w:p>
    <w:p>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采用银行保函、担保机构担保函等形式递交的投标保证金，经供应商同意后采购人、采购代理机构可以不再退还。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pPr>
        <w:numPr>
          <w:ilvl w:val="2"/>
          <w:numId w:val="8"/>
        </w:numPr>
        <w:snapToGrid w:val="0"/>
        <w:spacing w:line="360" w:lineRule="auto"/>
        <w:rPr>
          <w:rFonts w:ascii="宋体" w:hAnsi="宋体"/>
          <w:sz w:val="24"/>
        </w:rPr>
      </w:pPr>
      <w:r>
        <w:rPr>
          <w:rFonts w:ascii="宋体" w:hAnsi="宋体"/>
          <w:sz w:val="24"/>
        </w:rPr>
        <w:t>投标有效期内投标人撤销投标文件的；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bookmarkStart w:id="340" w:name="_Toc127161446"/>
      <w:bookmarkStart w:id="341" w:name="_Toc127151532"/>
      <w:bookmarkStart w:id="342" w:name="_Toc226309776"/>
      <w:bookmarkStart w:id="343" w:name="_Toc127151733"/>
      <w:bookmarkStart w:id="344" w:name="_Toc520356157"/>
      <w:bookmarkStart w:id="345" w:name="_Toc195842897"/>
      <w:bookmarkStart w:id="346" w:name="_Toc164608801"/>
      <w:bookmarkStart w:id="347" w:name="_Toc150480770"/>
      <w:bookmarkStart w:id="348" w:name="_Toc151193920"/>
      <w:bookmarkStart w:id="349" w:name="_Toc164351626"/>
      <w:bookmarkStart w:id="350" w:name="_Toc164229373"/>
      <w:bookmarkStart w:id="351" w:name="_Toc150509283"/>
      <w:bookmarkStart w:id="352" w:name="_Toc151193702"/>
      <w:bookmarkStart w:id="353" w:name="_Toc226965722"/>
      <w:bookmarkStart w:id="354" w:name="_Toc142311034"/>
      <w:bookmarkStart w:id="355" w:name="_Toc150774737"/>
      <w:bookmarkStart w:id="356" w:name="_Toc305158800"/>
      <w:bookmarkStart w:id="357" w:name="_Toc305158874"/>
      <w:bookmarkStart w:id="358" w:name="_Toc151190159"/>
      <w:bookmarkStart w:id="359" w:name="_Toc164608646"/>
      <w:bookmarkStart w:id="360" w:name="_Toc151193774"/>
      <w:bookmarkStart w:id="361" w:name="_Toc151193630"/>
      <w:bookmarkStart w:id="362" w:name="_Toc264969222"/>
      <w:bookmarkStart w:id="363" w:name="_Toc226337228"/>
      <w:bookmarkStart w:id="364" w:name="_Toc265228370"/>
      <w:bookmarkStart w:id="365" w:name="_Toc164229227"/>
      <w:bookmarkStart w:id="366" w:name="_Toc151193846"/>
      <w:bookmarkStart w:id="367" w:name="_Toc149720825"/>
      <w:bookmarkStart w:id="368" w:name="_Toc150774632"/>
      <w:bookmarkStart w:id="369" w:name="_Toc226965805"/>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70" w:name="_Toc164229228"/>
      <w:bookmarkStart w:id="371" w:name="_Toc151193775"/>
      <w:bookmarkStart w:id="372" w:name="_Toc164608647"/>
      <w:bookmarkStart w:id="373" w:name="_Toc264969223"/>
      <w:bookmarkStart w:id="374" w:name="_Toc150774633"/>
      <w:bookmarkStart w:id="375" w:name="_Toc226337229"/>
      <w:bookmarkStart w:id="376" w:name="_Toc149720826"/>
      <w:bookmarkStart w:id="377" w:name="_Toc164608802"/>
      <w:bookmarkStart w:id="378" w:name="_Toc164229374"/>
      <w:bookmarkStart w:id="379" w:name="_Toc151193847"/>
      <w:bookmarkStart w:id="380" w:name="_Toc151193703"/>
      <w:bookmarkStart w:id="381" w:name="_Toc265228371"/>
      <w:bookmarkStart w:id="382" w:name="_Toc305158875"/>
      <w:bookmarkStart w:id="383" w:name="_Toc151190160"/>
      <w:bookmarkStart w:id="384" w:name="_Toc226965806"/>
      <w:bookmarkStart w:id="385" w:name="_Toc305158801"/>
      <w:bookmarkStart w:id="386" w:name="_Toc150774738"/>
      <w:bookmarkStart w:id="387" w:name="_Toc150480771"/>
      <w:bookmarkStart w:id="388" w:name="_Toc520356158"/>
      <w:bookmarkStart w:id="389" w:name="_Toc150509284"/>
      <w:bookmarkStart w:id="390" w:name="_Toc151193631"/>
      <w:bookmarkStart w:id="391" w:name="_Toc127151533"/>
      <w:bookmarkStart w:id="392" w:name="_Toc226965723"/>
      <w:bookmarkStart w:id="393" w:name="_Toc195842898"/>
      <w:bookmarkStart w:id="394" w:name="_Toc151193921"/>
      <w:bookmarkStart w:id="395" w:name="_Toc142311035"/>
      <w:bookmarkStart w:id="396" w:name="_Toc226309777"/>
      <w:bookmarkStart w:id="397" w:name="_Toc127151734"/>
      <w:bookmarkStart w:id="398" w:name="_Toc127161447"/>
      <w:bookmarkStart w:id="399" w:name="_Toc164351627"/>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400" w:name="_Toc226965724"/>
      <w:bookmarkStart w:id="401" w:name="_Toc226309778"/>
      <w:bookmarkStart w:id="402" w:name="_Toc305158876"/>
      <w:bookmarkStart w:id="403" w:name="_Toc151193922"/>
      <w:bookmarkStart w:id="404" w:name="_Toc142311036"/>
      <w:bookmarkStart w:id="405" w:name="_Toc151193704"/>
      <w:bookmarkStart w:id="406" w:name="_Toc151193848"/>
      <w:bookmarkStart w:id="407" w:name="_Toc520356159"/>
      <w:bookmarkStart w:id="408" w:name="_Toc264969224"/>
      <w:bookmarkStart w:id="409" w:name="_Toc151193776"/>
      <w:bookmarkStart w:id="410" w:name="_Toc265228372"/>
      <w:bookmarkStart w:id="411" w:name="_Toc226337230"/>
      <w:bookmarkStart w:id="412" w:name="_Toc150774739"/>
      <w:bookmarkStart w:id="413" w:name="_Toc195842899"/>
      <w:bookmarkStart w:id="414" w:name="_Toc150509285"/>
      <w:bookmarkStart w:id="415" w:name="_Toc151190161"/>
      <w:bookmarkStart w:id="416" w:name="_Toc150480772"/>
      <w:bookmarkStart w:id="417" w:name="_Toc151193632"/>
      <w:bookmarkStart w:id="418" w:name="_Toc305158802"/>
      <w:bookmarkStart w:id="419" w:name="_Toc127151534"/>
      <w:bookmarkStart w:id="420" w:name="_Toc226965807"/>
      <w:bookmarkStart w:id="421" w:name="_Toc150774634"/>
      <w:r>
        <w:rPr>
          <w:rFonts w:ascii="宋体" w:hAnsi="宋体"/>
          <w:sz w:val="24"/>
        </w:rPr>
        <w:t>投标人应按招标文件投标须知资料表的规定准备投标文件正本和副本</w:t>
      </w:r>
      <w:r>
        <w:rPr>
          <w:rFonts w:hint="eastAsia" w:ascii="宋体" w:hAnsi="宋体"/>
          <w:sz w:val="24"/>
        </w:rPr>
        <w:t>以及电子版，每份投标文件须清楚地标明“正本”或“副本”。副本可采用正本的复印件。若正本和副本不符，以正本为准；电子版投标文件和纸质版投标文件不符，以纸质版投标文件为准。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任何行间插字、涂改和增删，必须由投标文件签字人在修改处签字并加盖公章。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投标文件因字迹潦草或表达不清所引起的后果由投标人负责。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投标人为自然人的，只须按要求签字，投标文件所有加盖公章的要求均不适用。</w:t>
      </w:r>
    </w:p>
    <w:p>
      <w:pPr>
        <w:pStyle w:val="3"/>
        <w:spacing w:before="0" w:line="360" w:lineRule="auto"/>
        <w:rPr>
          <w:rFonts w:ascii="宋体" w:hAnsi="宋体" w:eastAsia="宋体"/>
          <w:sz w:val="28"/>
        </w:rPr>
      </w:pPr>
      <w:r>
        <w:rPr>
          <w:rFonts w:ascii="宋体" w:hAnsi="宋体"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投标文件的密封和标记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投标时，投标人应按包将投标文件正本和所有的副本、</w:t>
      </w:r>
      <w:r>
        <w:rPr>
          <w:rFonts w:hint="eastAsia" w:ascii="宋体" w:hAnsi="宋体"/>
          <w:sz w:val="24"/>
          <w:lang w:val="en-US" w:eastAsia="zh-CN"/>
        </w:rPr>
        <w:t>开标一览表、</w:t>
      </w:r>
      <w:r>
        <w:rPr>
          <w:rFonts w:hint="eastAsia" w:ascii="宋体" w:hAnsi="宋体"/>
          <w:sz w:val="24"/>
        </w:rPr>
        <w:t>电子版分开密封装在单独的</w:t>
      </w:r>
      <w:r>
        <w:rPr>
          <w:rFonts w:hint="eastAsia" w:ascii="宋体" w:hAnsi="宋体"/>
          <w:sz w:val="24"/>
          <w:lang w:val="en-US" w:eastAsia="zh-CN"/>
        </w:rPr>
        <w:t>包装</w:t>
      </w:r>
      <w:r>
        <w:rPr>
          <w:rFonts w:hint="eastAsia" w:ascii="宋体" w:hAnsi="宋体"/>
          <w:sz w:val="24"/>
        </w:rPr>
        <w:t>中，且在</w:t>
      </w:r>
      <w:r>
        <w:rPr>
          <w:rFonts w:hint="eastAsia" w:ascii="宋体" w:hAnsi="宋体"/>
          <w:sz w:val="24"/>
          <w:lang w:val="en-US" w:eastAsia="zh-CN"/>
        </w:rPr>
        <w:t>包装</w:t>
      </w:r>
      <w:r>
        <w:rPr>
          <w:rFonts w:hint="eastAsia" w:ascii="宋体" w:hAnsi="宋体"/>
          <w:sz w:val="24"/>
        </w:rPr>
        <w:t>正面标明“正本”、“副本”、“开标一览表”</w:t>
      </w:r>
      <w:r>
        <w:rPr>
          <w:rFonts w:hint="eastAsia" w:ascii="宋体" w:hAnsi="宋体"/>
          <w:sz w:val="24"/>
          <w:lang w:eastAsia="zh-CN"/>
        </w:rPr>
        <w:t>、</w:t>
      </w:r>
      <w:r>
        <w:rPr>
          <w:rFonts w:hint="eastAsia" w:ascii="宋体" w:hAnsi="宋体"/>
          <w:sz w:val="24"/>
        </w:rPr>
        <w:t>“电子版”字样。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为方便核查投标保证金，投标人应将“投标保证金</w:t>
      </w:r>
      <w:r>
        <w:rPr>
          <w:rFonts w:ascii="宋体" w:hAnsi="宋体"/>
          <w:sz w:val="24"/>
        </w:rPr>
        <w:t>”</w:t>
      </w:r>
      <w:r>
        <w:rPr>
          <w:rFonts w:hint="eastAsia" w:ascii="宋体" w:hAnsi="宋体"/>
          <w:sz w:val="24"/>
        </w:rPr>
        <w:t>单独密封，并在信封上标明“投标保证金”字样，在投标时单独递交。若投标保证金采用电汇方式，提供电汇底单复印件并加盖投标人公章；若采用网银方式，提供转账网页打印件，并加盖投标人公章。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清楚标明递交至规定的投标地址。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hint="eastAsia" w:hAnsi="宋体"/>
          <w:sz w:val="24"/>
          <w:lang w:val="en-US" w:eastAsia="zh-CN"/>
        </w:rPr>
        <w:t>密封包装封面上须</w:t>
      </w:r>
      <w:r>
        <w:rPr>
          <w:rFonts w:hint="eastAsia" w:hAnsi="宋体"/>
          <w:color w:val="auto"/>
          <w:sz w:val="24"/>
        </w:rPr>
        <w:t>加盖投标人公章</w:t>
      </w:r>
      <w:r>
        <w:rPr>
          <w:rFonts w:hint="eastAsia" w:hAnsi="宋体"/>
          <w:color w:val="auto"/>
          <w:sz w:val="24"/>
          <w:lang w:val="en-US" w:eastAsia="zh-CN"/>
        </w:rPr>
        <w:t>或授权代表签字</w:t>
      </w:r>
      <w:r>
        <w:rPr>
          <w:rFonts w:hint="eastAsia" w:hAnsi="宋体"/>
          <w:color w:val="auto"/>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所有信封（箱）上还应写明投标人名称和地址，以便若其投标被宣布为“迟到”投标时，能原封退回。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如果投标人未按上述要求密封及加写标记，招标采购单位对投标文件的误投或过早启封概不负责。</w:t>
      </w:r>
    </w:p>
    <w:p>
      <w:pPr>
        <w:numPr>
          <w:ilvl w:val="0"/>
          <w:numId w:val="8"/>
        </w:numPr>
        <w:tabs>
          <w:tab w:val="left" w:pos="360"/>
        </w:tabs>
        <w:snapToGrid w:val="0"/>
        <w:spacing w:line="360" w:lineRule="auto"/>
        <w:ind w:left="357" w:hanging="357"/>
        <w:outlineLvl w:val="1"/>
        <w:rPr>
          <w:rFonts w:ascii="宋体" w:hAnsi="宋体"/>
          <w:sz w:val="24"/>
        </w:rPr>
      </w:pPr>
      <w:bookmarkStart w:id="422" w:name="_Toc265228374"/>
      <w:bookmarkStart w:id="423" w:name="_Toc127151536"/>
      <w:bookmarkStart w:id="424" w:name="_Toc164229377"/>
      <w:bookmarkStart w:id="425" w:name="_Toc149720829"/>
      <w:bookmarkStart w:id="426" w:name="_Toc164229231"/>
      <w:bookmarkStart w:id="427" w:name="_Toc264969226"/>
      <w:bookmarkStart w:id="428" w:name="_Toc226337232"/>
      <w:bookmarkStart w:id="429" w:name="_Toc164351630"/>
      <w:bookmarkStart w:id="430" w:name="_Toc305158878"/>
      <w:bookmarkStart w:id="431" w:name="_Toc226309780"/>
      <w:bookmarkStart w:id="432" w:name="_Toc127161450"/>
      <w:bookmarkStart w:id="433" w:name="_Toc226965726"/>
      <w:bookmarkStart w:id="434" w:name="_Toc142311038"/>
      <w:bookmarkStart w:id="435" w:name="_Toc150774636"/>
      <w:bookmarkStart w:id="436" w:name="_Toc226965809"/>
      <w:bookmarkStart w:id="437" w:name="_Toc150774741"/>
      <w:bookmarkStart w:id="438" w:name="_Toc195842901"/>
      <w:bookmarkStart w:id="439" w:name="_Toc151190163"/>
      <w:bookmarkStart w:id="440" w:name="_Toc150480774"/>
      <w:bookmarkStart w:id="441" w:name="_Toc127151737"/>
      <w:bookmarkStart w:id="442" w:name="_Toc305158804"/>
      <w:bookmarkStart w:id="443" w:name="_Toc151193706"/>
      <w:bookmarkStart w:id="444" w:name="_Toc151193634"/>
      <w:bookmarkStart w:id="445" w:name="_Toc150509287"/>
      <w:bookmarkStart w:id="446" w:name="_Toc151193778"/>
      <w:bookmarkStart w:id="447" w:name="_Toc164608650"/>
      <w:bookmarkStart w:id="448" w:name="_Toc151193850"/>
      <w:bookmarkStart w:id="449" w:name="_Toc151193924"/>
      <w:bookmarkStart w:id="450" w:name="_Toc520356161"/>
      <w:bookmarkStart w:id="451" w:name="_Toc164608805"/>
      <w:r>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452" w:name="_Toc127151537"/>
      <w:bookmarkStart w:id="453" w:name="_Toc164351631"/>
      <w:bookmarkStart w:id="454" w:name="_Toc127151738"/>
      <w:bookmarkStart w:id="455" w:name="_Toc164608651"/>
      <w:bookmarkStart w:id="456" w:name="_Toc264969227"/>
      <w:bookmarkStart w:id="457" w:name="_Toc151193925"/>
      <w:bookmarkStart w:id="458" w:name="_Toc520356162"/>
      <w:bookmarkStart w:id="459" w:name="_Toc305158879"/>
      <w:bookmarkStart w:id="460" w:name="_Toc151193635"/>
      <w:bookmarkStart w:id="461" w:name="_Toc164229232"/>
      <w:bookmarkStart w:id="462" w:name="_Toc151190164"/>
      <w:bookmarkStart w:id="463" w:name="_Toc195842902"/>
      <w:bookmarkStart w:id="464" w:name="_Toc150774742"/>
      <w:bookmarkStart w:id="465" w:name="_Toc226965727"/>
      <w:bookmarkStart w:id="466" w:name="_Toc151193779"/>
      <w:bookmarkStart w:id="467" w:name="_Toc127161451"/>
      <w:bookmarkStart w:id="468" w:name="_Toc164229378"/>
      <w:bookmarkStart w:id="469" w:name="_Toc150774637"/>
      <w:bookmarkStart w:id="470" w:name="_Toc265228375"/>
      <w:bookmarkStart w:id="471" w:name="_Toc151193707"/>
      <w:bookmarkStart w:id="472" w:name="_Toc226337233"/>
      <w:bookmarkStart w:id="473" w:name="_Toc226309781"/>
      <w:bookmarkStart w:id="474" w:name="_Toc151193851"/>
      <w:bookmarkStart w:id="475" w:name="_Toc150509288"/>
      <w:bookmarkStart w:id="476" w:name="_Toc164608806"/>
      <w:bookmarkStart w:id="477" w:name="_Toc305158805"/>
      <w:bookmarkStart w:id="478" w:name="_Toc150480775"/>
      <w:bookmarkStart w:id="479" w:name="_Toc142311039"/>
      <w:bookmarkStart w:id="480" w:name="_Toc149720830"/>
      <w:bookmarkStart w:id="481" w:name="_Toc226965810"/>
      <w:r>
        <w:rPr>
          <w:rFonts w:hint="eastAsia" w:ascii="宋体" w:hAnsi="宋体"/>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采购人或采购代理机构有权按本须知的规定，通过修改招标文件延长投标截止期。在此情况下，采购人、采购代理机构和投标人受投标截止期制约的所有权利和义务均应延长至新的截止期。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采购代理机构将拒绝并原封退回在投标截止</w:t>
      </w:r>
      <w:r>
        <w:rPr>
          <w:rFonts w:hint="eastAsia" w:ascii="宋体" w:hAnsi="宋体"/>
          <w:sz w:val="24"/>
        </w:rPr>
        <w:t>时间</w:t>
      </w:r>
      <w:r>
        <w:rPr>
          <w:rFonts w:ascii="宋体" w:hAnsi="宋体"/>
          <w:sz w:val="24"/>
        </w:rPr>
        <w:t>后收到的任何投标文件。</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投标文件的修改、补充与撤回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投标人在提交投标文件后，可在投标截止时间前对其投标文件进行修改、补充或撤回，但必须有修改、补充或撤回的书面通知并由法定代表人或正式授权的投标人代表签字并加盖公章。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投标人对投标文件的补充或修改通知应按本章1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在投标截止时间之后，</w:t>
      </w:r>
      <w:r>
        <w:rPr>
          <w:rFonts w:ascii="宋体" w:hAnsi="宋体"/>
          <w:sz w:val="24"/>
        </w:rPr>
        <w:t>投标人不得对其投标</w:t>
      </w:r>
      <w:r>
        <w:rPr>
          <w:rFonts w:hint="eastAsia" w:ascii="宋体" w:hAnsi="宋体"/>
          <w:sz w:val="24"/>
        </w:rPr>
        <w:t>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在投标截止时间后、投标有效期内，投标人不得撤销其投标文件（包括全部投标资料），否则其投标保证金将不予退回。</w:t>
      </w:r>
    </w:p>
    <w:p>
      <w:pPr>
        <w:pStyle w:val="3"/>
        <w:spacing w:before="0" w:line="360" w:lineRule="auto"/>
        <w:rPr>
          <w:rFonts w:ascii="宋体" w:hAnsi="宋体" w:eastAsia="宋体"/>
          <w:sz w:val="28"/>
        </w:rPr>
      </w:pPr>
      <w:bookmarkStart w:id="482" w:name="_Toc151193852"/>
      <w:bookmarkStart w:id="483" w:name="_Toc264969228"/>
      <w:bookmarkStart w:id="484" w:name="_Toc150480776"/>
      <w:bookmarkStart w:id="485" w:name="_Toc226965811"/>
      <w:bookmarkStart w:id="486" w:name="_Toc195842903"/>
      <w:bookmarkStart w:id="487" w:name="_Toc151190165"/>
      <w:bookmarkStart w:id="488" w:name="_Toc142311040"/>
      <w:bookmarkStart w:id="489" w:name="_Toc150774638"/>
      <w:bookmarkStart w:id="490" w:name="_Toc226309782"/>
      <w:bookmarkStart w:id="491" w:name="_Toc226337234"/>
      <w:bookmarkStart w:id="492" w:name="_Toc151193636"/>
      <w:bookmarkStart w:id="493" w:name="_Toc151193780"/>
      <w:bookmarkStart w:id="494" w:name="_Toc226965728"/>
      <w:bookmarkStart w:id="495" w:name="_Toc127151538"/>
      <w:bookmarkStart w:id="496" w:name="_Toc520356163"/>
      <w:bookmarkStart w:id="497" w:name="_Toc151193926"/>
      <w:bookmarkStart w:id="498" w:name="_Toc265228376"/>
      <w:bookmarkStart w:id="499" w:name="_Toc150509289"/>
      <w:bookmarkStart w:id="500" w:name="_Toc151193708"/>
      <w:bookmarkStart w:id="501" w:name="_Toc150774743"/>
      <w:bookmarkStart w:id="502" w:name="_Toc305158880"/>
      <w:bookmarkStart w:id="503" w:name="_Toc305158806"/>
      <w:r>
        <w:rPr>
          <w:rFonts w:ascii="宋体" w:hAnsi="宋体" w:eastAsia="宋体"/>
          <w:sz w:val="28"/>
        </w:rPr>
        <w:t>五  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numPr>
          <w:ilvl w:val="0"/>
          <w:numId w:val="8"/>
        </w:numPr>
        <w:tabs>
          <w:tab w:val="left" w:pos="360"/>
        </w:tabs>
        <w:snapToGrid w:val="0"/>
        <w:spacing w:line="360" w:lineRule="auto"/>
        <w:ind w:left="357" w:hanging="357"/>
        <w:outlineLvl w:val="1"/>
        <w:rPr>
          <w:rFonts w:ascii="宋体" w:hAnsi="宋体"/>
          <w:sz w:val="24"/>
        </w:rPr>
      </w:pPr>
      <w:bookmarkStart w:id="504" w:name="_Toc151190166"/>
      <w:bookmarkStart w:id="505" w:name="_Toc151193781"/>
      <w:bookmarkStart w:id="506" w:name="_Toc164229234"/>
      <w:bookmarkStart w:id="507" w:name="_Toc127151740"/>
      <w:bookmarkStart w:id="508" w:name="_Toc164608808"/>
      <w:bookmarkStart w:id="509" w:name="_Toc150774639"/>
      <w:bookmarkStart w:id="510" w:name="_Toc226965729"/>
      <w:bookmarkStart w:id="511" w:name="_Toc151193853"/>
      <w:bookmarkStart w:id="512" w:name="_Toc127151539"/>
      <w:bookmarkStart w:id="513" w:name="_Toc150509290"/>
      <w:bookmarkStart w:id="514" w:name="_Toc520356164"/>
      <w:bookmarkStart w:id="515" w:name="_Toc226337235"/>
      <w:bookmarkStart w:id="516" w:name="_Toc305158807"/>
      <w:bookmarkStart w:id="517" w:name="_Toc142311041"/>
      <w:bookmarkStart w:id="518" w:name="_Toc164229380"/>
      <w:bookmarkStart w:id="519" w:name="_Toc151193637"/>
      <w:bookmarkStart w:id="520" w:name="_Toc151193927"/>
      <w:bookmarkStart w:id="521" w:name="_Toc164351633"/>
      <w:bookmarkStart w:id="522" w:name="_Toc305158881"/>
      <w:bookmarkStart w:id="523" w:name="_Toc226309783"/>
      <w:bookmarkStart w:id="524" w:name="_Toc149720832"/>
      <w:bookmarkStart w:id="525" w:name="_Toc164608653"/>
      <w:bookmarkStart w:id="526" w:name="_Toc150774744"/>
      <w:bookmarkStart w:id="527" w:name="_Toc127161453"/>
      <w:bookmarkStart w:id="528" w:name="_Toc264969229"/>
      <w:bookmarkStart w:id="529" w:name="_Toc195842904"/>
      <w:bookmarkStart w:id="530" w:name="_Toc265228377"/>
      <w:bookmarkStart w:id="531" w:name="_Toc150480777"/>
      <w:bookmarkStart w:id="532" w:name="_Toc226965812"/>
      <w:bookmarkStart w:id="533" w:name="_Toc151193709"/>
      <w:r>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spacing w:before="120" w:line="360" w:lineRule="auto"/>
        <w:ind w:left="898" w:hanging="898"/>
        <w:rPr>
          <w:rFonts w:ascii="宋体" w:hAnsi="宋体"/>
          <w:color w:val="auto"/>
          <w:sz w:val="24"/>
          <w:highlight w:val="yellow"/>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.1</w:t>
      </w:r>
      <w:r>
        <w:rPr>
          <w:rFonts w:hint="eastAsia" w:ascii="宋体" w:hAnsi="宋体"/>
          <w:color w:val="auto"/>
          <w:sz w:val="24"/>
        </w:rPr>
        <w:tab/>
      </w:r>
      <w:r>
        <w:rPr>
          <w:rFonts w:hint="eastAsia" w:ascii="宋体" w:hAnsi="宋体" w:eastAsia="宋体" w:cs="Times New Roman"/>
          <w:sz w:val="24"/>
        </w:rPr>
        <w:t>采购代理机构将在规定的日期、时间和地点组织公开开标，投标人可派一名代表（即开标代表）参加开标仪式。</w:t>
      </w:r>
    </w:p>
    <w:p>
      <w:pPr>
        <w:spacing w:before="120" w:line="360" w:lineRule="auto"/>
        <w:ind w:left="898" w:hanging="898"/>
        <w:rPr>
          <w:rFonts w:hint="eastAsia" w:ascii="宋体" w:hAnsi="宋体" w:eastAsia="宋体" w:cs="Times New Roman"/>
          <w:color w:val="auto"/>
          <w:sz w:val="24"/>
          <w:highlight w:val="yellow"/>
          <w:lang w:eastAsia="zh-CN"/>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2</w:t>
      </w:r>
      <w:r>
        <w:rPr>
          <w:rFonts w:hint="eastAsia" w:ascii="宋体" w:hAnsi="宋体" w:eastAsia="宋体" w:cs="Times New Roman"/>
          <w:color w:val="auto"/>
          <w:sz w:val="24"/>
        </w:rPr>
        <w:tab/>
      </w:r>
      <w:r>
        <w:rPr>
          <w:rFonts w:hint="eastAsia" w:ascii="宋体" w:hAnsi="宋体" w:eastAsia="宋体" w:cs="Times New Roman"/>
          <w:color w:val="auto"/>
          <w:sz w:val="24"/>
        </w:rPr>
        <w:t>开标时，由投标人或者其推选的代表检查自身投标文件的密封情况</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经确认无误后，由</w:t>
      </w:r>
      <w:r>
        <w:rPr>
          <w:rFonts w:hint="eastAsia" w:ascii="宋体" w:hAnsi="宋体" w:eastAsia="宋体" w:cs="Times New Roman"/>
          <w:color w:val="auto"/>
          <w:sz w:val="24"/>
          <w:lang w:val="en-US" w:eastAsia="zh-CN"/>
        </w:rPr>
        <w:t>采购代理机构</w:t>
      </w:r>
      <w:r>
        <w:rPr>
          <w:rFonts w:hint="eastAsia" w:ascii="宋体" w:hAnsi="宋体" w:eastAsia="宋体" w:cs="Times New Roman"/>
          <w:color w:val="auto"/>
          <w:sz w:val="24"/>
        </w:rPr>
        <w:t>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r>
        <w:rPr>
          <w:rFonts w:hint="eastAsia" w:ascii="宋体" w:hAnsi="宋体" w:eastAsia="宋体" w:cs="Times New Roman"/>
          <w:color w:val="auto"/>
          <w:sz w:val="24"/>
          <w:lang w:eastAsia="zh-CN"/>
        </w:rPr>
        <w:t>。</w:t>
      </w:r>
    </w:p>
    <w:p>
      <w:pPr>
        <w:spacing w:before="120" w:line="360" w:lineRule="auto"/>
        <w:ind w:left="904" w:leftChars="402" w:hanging="60" w:hangingChars="25"/>
        <w:rPr>
          <w:rFonts w:hint="eastAsia" w:ascii="宋体" w:hAnsi="宋体" w:eastAsia="宋体" w:cs="Times New Roman"/>
          <w:color w:val="auto"/>
          <w:sz w:val="24"/>
        </w:rPr>
      </w:pPr>
      <w:r>
        <w:rPr>
          <w:rFonts w:hint="eastAsia" w:ascii="宋体" w:hAnsi="宋体" w:eastAsia="宋体" w:cs="Times New Roman"/>
          <w:color w:val="auto"/>
          <w:sz w:val="24"/>
        </w:rPr>
        <w:t>投标人不足3家的，不得开标。</w:t>
      </w:r>
    </w:p>
    <w:p>
      <w:pPr>
        <w:spacing w:before="120" w:line="360" w:lineRule="auto"/>
        <w:ind w:left="898" w:hanging="898"/>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3</w:t>
      </w:r>
      <w:r>
        <w:rPr>
          <w:rFonts w:hint="eastAsia" w:ascii="宋体" w:hAnsi="宋体"/>
          <w:sz w:val="24"/>
        </w:rPr>
        <w:tab/>
      </w:r>
      <w:r>
        <w:rPr>
          <w:rFonts w:hint="eastAsia" w:ascii="宋体" w:hAnsi="宋体"/>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r>
        <w:rPr>
          <w:rFonts w:hint="eastAsia" w:ascii="宋体" w:hAnsi="宋体"/>
          <w:sz w:val="24"/>
          <w:lang w:eastAsia="zh-CN"/>
        </w:rPr>
        <w:t>。</w:t>
      </w:r>
    </w:p>
    <w:p>
      <w:pPr>
        <w:spacing w:before="120" w:line="360" w:lineRule="auto"/>
        <w:ind w:left="898" w:hanging="898"/>
        <w:rPr>
          <w:rFonts w:hint="eastAsia"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4</w:t>
      </w:r>
      <w:r>
        <w:rPr>
          <w:rFonts w:hint="eastAsia" w:ascii="宋体" w:hAnsi="宋体"/>
          <w:sz w:val="24"/>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numPr>
          <w:ilvl w:val="0"/>
          <w:numId w:val="8"/>
        </w:numPr>
        <w:tabs>
          <w:tab w:val="left" w:pos="360"/>
        </w:tabs>
        <w:snapToGrid w:val="0"/>
        <w:spacing w:line="360" w:lineRule="auto"/>
        <w:ind w:left="357" w:hanging="357"/>
        <w:outlineLvl w:val="1"/>
        <w:rPr>
          <w:rFonts w:ascii="宋体" w:hAnsi="宋体"/>
          <w:sz w:val="24"/>
        </w:rPr>
      </w:pPr>
      <w:bookmarkStart w:id="534" w:name="_Toc520356165"/>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bookmarkEnd w:id="534"/>
    <w:p>
      <w:pPr>
        <w:numPr>
          <w:ilvl w:val="0"/>
          <w:numId w:val="8"/>
        </w:numPr>
        <w:tabs>
          <w:tab w:val="left" w:pos="360"/>
        </w:tabs>
        <w:snapToGrid w:val="0"/>
        <w:spacing w:line="360" w:lineRule="auto"/>
        <w:ind w:left="357" w:hanging="357"/>
        <w:outlineLvl w:val="1"/>
        <w:rPr>
          <w:rFonts w:ascii="宋体" w:hAnsi="宋体"/>
          <w:sz w:val="24"/>
        </w:rPr>
      </w:pPr>
      <w:bookmarkStart w:id="535" w:name="_Toc265228378"/>
      <w:bookmarkStart w:id="536" w:name="_Toc226309784"/>
      <w:bookmarkStart w:id="537" w:name="_Toc151193928"/>
      <w:bookmarkStart w:id="538" w:name="_Toc151193638"/>
      <w:bookmarkStart w:id="539" w:name="_Toc226337236"/>
      <w:bookmarkStart w:id="540" w:name="_Toc150774640"/>
      <w:bookmarkStart w:id="541" w:name="_Toc305158882"/>
      <w:bookmarkStart w:id="542" w:name="_Toc127151540"/>
      <w:bookmarkStart w:id="543" w:name="_Toc150774745"/>
      <w:bookmarkStart w:id="544" w:name="_Toc226965730"/>
      <w:bookmarkStart w:id="545" w:name="_Toc164351634"/>
      <w:bookmarkStart w:id="546" w:name="_Toc226965813"/>
      <w:bookmarkStart w:id="547" w:name="_Toc151193782"/>
      <w:bookmarkStart w:id="548" w:name="_Toc151193710"/>
      <w:bookmarkStart w:id="549" w:name="_Toc164608654"/>
      <w:bookmarkStart w:id="550" w:name="_Toc305158808"/>
      <w:bookmarkStart w:id="551" w:name="_Toc150480778"/>
      <w:bookmarkStart w:id="552" w:name="_Toc150509291"/>
      <w:bookmarkStart w:id="553" w:name="_Toc127151741"/>
      <w:bookmarkStart w:id="554" w:name="_Toc264969230"/>
      <w:bookmarkStart w:id="555" w:name="_Toc195842905"/>
      <w:bookmarkStart w:id="556" w:name="_Toc127161454"/>
      <w:bookmarkStart w:id="557" w:name="_Toc164229235"/>
      <w:bookmarkStart w:id="558" w:name="_Toc151193854"/>
      <w:bookmarkStart w:id="559" w:name="_Toc142311042"/>
      <w:bookmarkStart w:id="560" w:name="_Toc151190167"/>
      <w:bookmarkStart w:id="561" w:name="_Toc164608809"/>
      <w:bookmarkStart w:id="562" w:name="_Toc164229381"/>
      <w:bookmarkStart w:id="563" w:name="_Toc149720833"/>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Style w:val="4"/>
        <w:spacing w:line="360" w:lineRule="auto"/>
        <w:ind w:left="960" w:hanging="960" w:hangingChars="400"/>
        <w:rPr>
          <w:rFonts w:hint="eastAsia" w:hAnsi="宋体"/>
          <w:color w:val="auto"/>
          <w:highlight w:val="yellow"/>
        </w:rPr>
      </w:pPr>
      <w:r>
        <w:rPr>
          <w:rFonts w:hint="eastAsia" w:hAnsi="宋体"/>
          <w:lang w:val="en-US" w:eastAsia="zh-CN"/>
        </w:rPr>
        <w:t>20</w:t>
      </w:r>
      <w:r>
        <w:rPr>
          <w:rFonts w:hint="eastAsia" w:hAnsi="宋体"/>
        </w:rPr>
        <w:t>.1    评标委员会根据政府采购有关规定和本次招标采购项目的特点进行组建，并负责具体评标事务，独立履行职责。</w:t>
      </w:r>
    </w:p>
    <w:p>
      <w:pPr>
        <w:pStyle w:val="4"/>
        <w:spacing w:line="360" w:lineRule="auto"/>
        <w:ind w:left="960" w:hanging="960" w:hangingChars="400"/>
        <w:rPr>
          <w:rFonts w:hint="eastAsia" w:ascii="宋体" w:hAnsi="宋体" w:eastAsia="宋体" w:cs="Times New Roman"/>
        </w:rPr>
      </w:pPr>
      <w:r>
        <w:rPr>
          <w:rFonts w:hint="eastAsia" w:ascii="宋体" w:hAnsi="宋体" w:eastAsia="宋体" w:cs="Times New Roman"/>
          <w:lang w:val="en-US" w:eastAsia="zh-CN"/>
        </w:rPr>
        <w:t xml:space="preserve">20.2    </w:t>
      </w:r>
      <w:r>
        <w:rPr>
          <w:rFonts w:hint="eastAsia" w:ascii="宋体" w:hAnsi="宋体" w:eastAsia="宋体" w:cs="Times New Roma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8"/>
        </w:numPr>
        <w:tabs>
          <w:tab w:val="left" w:pos="360"/>
        </w:tabs>
        <w:snapToGrid w:val="0"/>
        <w:spacing w:line="360" w:lineRule="auto"/>
        <w:ind w:left="357" w:hanging="357"/>
        <w:outlineLvl w:val="1"/>
        <w:rPr>
          <w:rFonts w:ascii="宋体" w:hAnsi="宋体"/>
          <w:sz w:val="24"/>
        </w:rPr>
      </w:pPr>
      <w:bookmarkStart w:id="564" w:name="_Toc520356169"/>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3"/>
        <w:spacing w:before="0" w:line="360" w:lineRule="auto"/>
        <w:rPr>
          <w:rFonts w:ascii="宋体" w:hAnsi="宋体" w:eastAsia="宋体"/>
          <w:sz w:val="28"/>
        </w:rPr>
      </w:pPr>
      <w:bookmarkStart w:id="565" w:name="_Toc150509296"/>
      <w:bookmarkStart w:id="566" w:name="_Toc305158813"/>
      <w:bookmarkStart w:id="567" w:name="_Toc226965735"/>
      <w:bookmarkStart w:id="568" w:name="_Toc195842910"/>
      <w:bookmarkStart w:id="569" w:name="_Toc127151545"/>
      <w:bookmarkStart w:id="570" w:name="_Toc150774645"/>
      <w:bookmarkStart w:id="571" w:name="_Toc151190172"/>
      <w:bookmarkStart w:id="572" w:name="_Toc265228383"/>
      <w:bookmarkStart w:id="573" w:name="_Toc226309789"/>
      <w:bookmarkStart w:id="574" w:name="_Toc142311047"/>
      <w:bookmarkStart w:id="575" w:name="_Toc151193859"/>
      <w:bookmarkStart w:id="576" w:name="_Toc305158887"/>
      <w:bookmarkStart w:id="577" w:name="_Toc264969235"/>
      <w:bookmarkStart w:id="578" w:name="_Toc151193933"/>
      <w:bookmarkStart w:id="579" w:name="_Toc226965818"/>
      <w:bookmarkStart w:id="580" w:name="_Toc226337241"/>
      <w:bookmarkStart w:id="581" w:name="_Toc151193715"/>
      <w:bookmarkStart w:id="582" w:name="_Toc150480783"/>
      <w:bookmarkStart w:id="583" w:name="_Toc151193787"/>
      <w:bookmarkStart w:id="584" w:name="_Toc151193643"/>
      <w:bookmarkStart w:id="585" w:name="_Toc150774750"/>
      <w:r>
        <w:rPr>
          <w:rFonts w:ascii="宋体" w:hAnsi="宋体" w:eastAsia="宋体"/>
          <w:sz w:val="28"/>
        </w:rPr>
        <w:t xml:space="preserve">六  </w:t>
      </w:r>
      <w:bookmarkEnd w:id="564"/>
      <w:r>
        <w:rPr>
          <w:rFonts w:ascii="宋体" w:hAnsi="宋体" w:eastAsia="宋体"/>
          <w:sz w:val="28"/>
        </w:rPr>
        <w:t>确定中标</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Start w:id="586" w:name="_Toc151193789"/>
      <w:bookmarkStart w:id="587" w:name="_Toc226309791"/>
      <w:bookmarkStart w:id="588" w:name="_Toc226965737"/>
      <w:bookmarkStart w:id="589" w:name="_Toc164608816"/>
      <w:bookmarkStart w:id="590" w:name="_Toc127151748"/>
      <w:bookmarkStart w:id="591" w:name="_Toc226337243"/>
      <w:bookmarkStart w:id="592" w:name="_Toc305158889"/>
      <w:bookmarkStart w:id="593" w:name="_Toc150774647"/>
      <w:bookmarkStart w:id="594" w:name="_Toc151190174"/>
      <w:bookmarkStart w:id="595" w:name="_Toc305158815"/>
      <w:bookmarkStart w:id="596" w:name="_Toc164229242"/>
      <w:bookmarkStart w:id="597" w:name="_Toc226965820"/>
      <w:bookmarkStart w:id="598" w:name="_Toc265228385"/>
      <w:bookmarkStart w:id="599" w:name="_Toc151193645"/>
      <w:bookmarkStart w:id="600" w:name="_Toc151193717"/>
      <w:bookmarkStart w:id="601" w:name="_Toc151193935"/>
      <w:bookmarkStart w:id="602" w:name="_Toc127161461"/>
      <w:bookmarkStart w:id="603" w:name="_Toc150509298"/>
      <w:bookmarkStart w:id="604" w:name="_Toc164229388"/>
      <w:bookmarkStart w:id="605" w:name="_Toc150774752"/>
      <w:bookmarkStart w:id="606" w:name="_Toc164351641"/>
      <w:bookmarkStart w:id="607" w:name="_Toc264969237"/>
      <w:bookmarkStart w:id="608" w:name="_Toc195842912"/>
      <w:bookmarkStart w:id="609" w:name="_Toc142311049"/>
      <w:bookmarkStart w:id="610" w:name="_Toc127151547"/>
      <w:bookmarkStart w:id="611" w:name="_Toc164608661"/>
      <w:bookmarkStart w:id="612" w:name="_Toc151193861"/>
      <w:bookmarkStart w:id="613" w:name="_Toc149720840"/>
      <w:bookmarkStart w:id="614" w:name="_Toc150480785"/>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中标人</w:t>
      </w:r>
      <w:r>
        <w:rPr>
          <w:rFonts w:ascii="宋体" w:hAnsi="宋体"/>
          <w:sz w:val="24"/>
        </w:rPr>
        <w:t>，见《</w:t>
      </w:r>
      <w:r>
        <w:rPr>
          <w:rFonts w:hint="eastAsia" w:ascii="宋体" w:hAnsi="宋体"/>
          <w:sz w:val="24"/>
        </w:rPr>
        <w:t>投标人</w:t>
      </w:r>
      <w:r>
        <w:rPr>
          <w:rFonts w:ascii="宋体" w:hAnsi="宋体"/>
          <w:sz w:val="24"/>
        </w:rPr>
        <w:t>须知资料表》。</w:t>
      </w:r>
      <w:r>
        <w:rPr>
          <w:rFonts w:hint="eastAsia" w:ascii="宋体" w:hAnsi="宋体"/>
          <w:sz w:val="24"/>
        </w:rPr>
        <w:t>中标</w:t>
      </w:r>
      <w:r>
        <w:rPr>
          <w:rFonts w:ascii="宋体" w:hAnsi="宋体"/>
          <w:sz w:val="24"/>
        </w:rPr>
        <w:t>候选人并列的，按照《</w:t>
      </w:r>
      <w:r>
        <w:rPr>
          <w:rFonts w:hint="eastAsia" w:ascii="宋体" w:hAnsi="宋体"/>
          <w:sz w:val="24"/>
        </w:rPr>
        <w:t>投标人</w:t>
      </w:r>
      <w:r>
        <w:rPr>
          <w:rFonts w:ascii="宋体" w:hAnsi="宋体"/>
          <w:sz w:val="24"/>
        </w:rPr>
        <w:t>须知资料表》要求确定</w:t>
      </w:r>
      <w:r>
        <w:rPr>
          <w:rFonts w:hint="eastAsia" w:ascii="宋体" w:hAnsi="宋体"/>
          <w:sz w:val="24"/>
        </w:rPr>
        <w:t>中标人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615" w:name="_Toc305158891"/>
      <w:bookmarkStart w:id="616" w:name="_Toc305158817"/>
      <w:bookmarkStart w:id="617" w:name="_Toc150480787"/>
      <w:bookmarkStart w:id="618" w:name="_Toc226965822"/>
      <w:bookmarkStart w:id="619" w:name="_Toc164229390"/>
      <w:bookmarkStart w:id="620" w:name="_Toc149720842"/>
      <w:bookmarkStart w:id="621" w:name="_Toc151193863"/>
      <w:bookmarkStart w:id="622" w:name="_Toc164608663"/>
      <w:bookmarkStart w:id="623" w:name="_Toc164608818"/>
      <w:bookmarkStart w:id="624" w:name="_Toc142311051"/>
      <w:bookmarkStart w:id="625" w:name="_Toc150774649"/>
      <w:bookmarkStart w:id="626" w:name="_Toc264969239"/>
      <w:bookmarkStart w:id="627" w:name="_Toc151193719"/>
      <w:bookmarkStart w:id="628" w:name="_Toc265228387"/>
      <w:bookmarkStart w:id="629" w:name="_Toc151193647"/>
      <w:bookmarkStart w:id="630" w:name="_Toc127151549"/>
      <w:bookmarkStart w:id="631" w:name="_Toc195842914"/>
      <w:bookmarkStart w:id="632" w:name="_Toc164229244"/>
      <w:bookmarkStart w:id="633" w:name="_Toc151193937"/>
      <w:bookmarkStart w:id="634" w:name="_Toc150509300"/>
      <w:bookmarkStart w:id="635" w:name="_Toc226309793"/>
      <w:bookmarkStart w:id="636" w:name="_Toc151190176"/>
      <w:bookmarkStart w:id="637" w:name="_Toc164351643"/>
      <w:bookmarkStart w:id="638" w:name="_Toc127161463"/>
      <w:bookmarkStart w:id="639" w:name="_Toc226965739"/>
      <w:bookmarkStart w:id="640" w:name="_Toc150774754"/>
      <w:bookmarkStart w:id="641" w:name="_Toc127151750"/>
      <w:bookmarkStart w:id="642" w:name="_Toc226337245"/>
      <w:bookmarkStart w:id="643" w:name="_Toc151193791"/>
      <w:bookmarkStart w:id="644" w:name="_Ref467306425"/>
      <w:bookmarkStart w:id="645" w:name="_Ref467307090"/>
      <w:bookmarkStart w:id="646" w:name="_Toc520356176"/>
      <w:r>
        <w:rPr>
          <w:rFonts w:ascii="宋体" w:hAnsi="宋体"/>
          <w:sz w:val="24"/>
        </w:rPr>
        <w:t>中标公告与中标通知书</w:t>
      </w:r>
      <w:bookmarkEnd w:id="615"/>
      <w:bookmarkEnd w:id="61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hint="eastAsia" w:ascii="宋体" w:hAnsi="宋体"/>
          <w:sz w:val="24"/>
        </w:rPr>
        <w:t>同时向中标人发出中标通知书，向未中标的投标人发出落标通知书，</w:t>
      </w:r>
      <w:r>
        <w:rPr>
          <w:rFonts w:ascii="宋体" w:hAnsi="宋体"/>
          <w:sz w:val="24"/>
        </w:rPr>
        <w:t>中标公告期限为1个工作日。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ascii="宋体" w:hAnsi="宋体"/>
          <w:sz w:val="24"/>
        </w:rPr>
        <w:t>投标人的报价均超过了采购预算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pStyle w:val="3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注：针对24.1.1条规定的情形，经采购人确认，有权选择如下方式之一进行处理：</w:t>
      </w:r>
    </w:p>
    <w:p>
      <w:pPr>
        <w:pStyle w:val="3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在合法合规的前提下，根据实际情况改变采购方式；仅有两家投标人参与或实质性响应的，可现场转为竞争性谈判方式继续实施采购；仅有一家投标人参与或实质性响应的，可现场转为单一来源采购方式继续实施采购。</w:t>
      </w:r>
    </w:p>
    <w:p>
      <w:pPr>
        <w:pStyle w:val="39"/>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（2）重新开展采购活动。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Pr>
        <w:numPr>
          <w:ilvl w:val="0"/>
          <w:numId w:val="8"/>
        </w:numPr>
        <w:tabs>
          <w:tab w:val="left" w:pos="360"/>
        </w:tabs>
        <w:snapToGrid w:val="0"/>
        <w:spacing w:line="360" w:lineRule="auto"/>
        <w:ind w:left="357" w:hanging="357"/>
        <w:outlineLvl w:val="1"/>
        <w:rPr>
          <w:rFonts w:ascii="宋体" w:hAnsi="宋体"/>
          <w:sz w:val="24"/>
        </w:rPr>
      </w:pPr>
      <w:bookmarkStart w:id="647" w:name="_Toc150480788"/>
      <w:bookmarkStart w:id="648" w:name="_Toc149720843"/>
      <w:bookmarkStart w:id="649" w:name="_Toc127151751"/>
      <w:bookmarkStart w:id="650" w:name="_Toc305158892"/>
      <w:bookmarkStart w:id="651" w:name="_Toc305158818"/>
      <w:bookmarkStart w:id="652" w:name="_Toc150509301"/>
      <w:bookmarkStart w:id="653" w:name="_Toc226965740"/>
      <w:bookmarkStart w:id="654" w:name="_Toc164608664"/>
      <w:bookmarkStart w:id="655" w:name="_Toc142311052"/>
      <w:bookmarkStart w:id="656" w:name="_Toc164608819"/>
      <w:bookmarkStart w:id="657" w:name="_Toc265228388"/>
      <w:bookmarkStart w:id="658" w:name="_Toc151190177"/>
      <w:bookmarkStart w:id="659" w:name="_Toc127161464"/>
      <w:bookmarkStart w:id="660" w:name="_Toc226965823"/>
      <w:bookmarkStart w:id="661" w:name="_Toc195842915"/>
      <w:bookmarkStart w:id="662" w:name="_Toc164229245"/>
      <w:bookmarkStart w:id="663" w:name="_Toc127151550"/>
      <w:bookmarkStart w:id="664" w:name="_Toc520356175"/>
      <w:bookmarkStart w:id="665" w:name="_Toc151193938"/>
      <w:bookmarkStart w:id="666" w:name="_Toc164351644"/>
      <w:bookmarkStart w:id="667" w:name="_Toc150774650"/>
      <w:bookmarkStart w:id="668" w:name="_Toc151193720"/>
      <w:bookmarkStart w:id="669" w:name="_Toc151193648"/>
      <w:bookmarkStart w:id="670" w:name="_Ref467307204"/>
      <w:bookmarkStart w:id="671" w:name="_Toc226337246"/>
      <w:bookmarkStart w:id="672" w:name="_Toc150774755"/>
      <w:bookmarkStart w:id="673" w:name="_Ref467307062"/>
      <w:bookmarkStart w:id="674" w:name="_Toc151193864"/>
      <w:bookmarkStart w:id="675" w:name="_Toc264969240"/>
      <w:bookmarkStart w:id="676" w:name="_Ref467306978"/>
      <w:bookmarkStart w:id="677" w:name="_Toc151193792"/>
      <w:bookmarkStart w:id="678" w:name="_Toc164229391"/>
      <w:bookmarkStart w:id="679" w:name="_Toc226309794"/>
      <w:bookmarkStart w:id="680" w:name="_Ref467306377"/>
      <w:r>
        <w:rPr>
          <w:rFonts w:ascii="宋体" w:hAnsi="宋体"/>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hint="eastAsia" w:ascii="宋体" w:hAnsi="宋体"/>
          <w:sz w:val="24"/>
        </w:rPr>
        <w:t>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报告推荐的中标候选人名单排序，确定下一候选人为中标人，</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4"/>
    <w:bookmarkEnd w:id="645"/>
    <w:bookmarkEnd w:id="64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提出质疑的供应商应当是参与所质疑项目招标活动的供应商。潜在供应商已按要求购买招标文件的，可以按规定对招标文件提出质疑。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pPr>
        <w:spacing w:line="360" w:lineRule="auto"/>
        <w:jc w:val="center"/>
        <w:outlineLvl w:val="0"/>
        <w:rPr>
          <w:rFonts w:ascii="宋体" w:hAnsi="宋体"/>
          <w:b/>
          <w:sz w:val="36"/>
          <w:szCs w:val="36"/>
        </w:rPr>
      </w:pPr>
      <w:bookmarkStart w:id="681" w:name="_Toc150774759"/>
      <w:bookmarkStart w:id="682" w:name="_Toc353873664"/>
      <w:bookmarkStart w:id="683" w:name="_Toc226965827"/>
      <w:bookmarkStart w:id="684" w:name="_Toc353873934"/>
      <w:bookmarkStart w:id="685" w:name="_Toc264969244"/>
      <w:bookmarkStart w:id="686" w:name="_Toc305158822"/>
      <w:bookmarkStart w:id="687" w:name="_Toc142311056"/>
      <w:bookmarkStart w:id="688" w:name="_Toc226337250"/>
      <w:bookmarkStart w:id="689" w:name="_Toc150480792"/>
      <w:bookmarkStart w:id="690" w:name="_Toc353825544"/>
      <w:bookmarkStart w:id="691" w:name="_Toc127151554"/>
      <w:bookmarkStart w:id="692" w:name="_Toc265228392"/>
      <w:bookmarkStart w:id="693" w:name="_Toc305158896"/>
      <w:r>
        <w:rPr>
          <w:rFonts w:ascii="宋体" w:hAnsi="宋体"/>
          <w:sz w:val="24"/>
        </w:rPr>
        <w:br w:type="page"/>
      </w:r>
      <w:bookmarkStart w:id="694" w:name="_Toc15123"/>
      <w:r>
        <w:rPr>
          <w:rFonts w:ascii="宋体" w:hAnsi="宋体"/>
          <w:b/>
          <w:sz w:val="36"/>
          <w:szCs w:val="36"/>
        </w:rPr>
        <w:t xml:space="preserve">第三章  </w:t>
      </w:r>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宋体" w:hAnsi="宋体"/>
          <w:b/>
          <w:sz w:val="36"/>
          <w:szCs w:val="36"/>
        </w:rPr>
        <w:t>资格审查</w:t>
      </w:r>
      <w:bookmarkEnd w:id="694"/>
      <w:bookmarkStart w:id="695" w:name="_Toc487900382"/>
    </w:p>
    <w:p>
      <w:pPr>
        <w:tabs>
          <w:tab w:val="left" w:pos="360"/>
          <w:tab w:val="left" w:pos="900"/>
        </w:tabs>
        <w:snapToGrid w:val="0"/>
        <w:spacing w:line="360" w:lineRule="auto"/>
        <w:jc w:val="center"/>
        <w:outlineLvl w:val="1"/>
        <w:rPr>
          <w:rFonts w:ascii="宋体" w:hAnsi="宋体"/>
          <w:b/>
          <w:sz w:val="24"/>
        </w:rPr>
      </w:pPr>
      <w:bookmarkStart w:id="696" w:name="_Toc99301422"/>
      <w:r>
        <w:rPr>
          <w:rFonts w:ascii="宋体" w:hAnsi="宋体"/>
          <w:b/>
          <w:sz w:val="24"/>
        </w:rPr>
        <w:t>一、资格审查程序</w:t>
      </w:r>
      <w:bookmarkEnd w:id="696"/>
    </w:p>
    <w:p>
      <w:pPr>
        <w:pStyle w:val="103"/>
        <w:numPr>
          <w:ilvl w:val="0"/>
          <w:numId w:val="10"/>
        </w:numPr>
        <w:spacing w:line="360" w:lineRule="auto"/>
        <w:ind w:firstLineChars="0"/>
        <w:rPr>
          <w:rFonts w:ascii="宋体" w:hAnsi="宋体"/>
          <w:sz w:val="24"/>
          <w:szCs w:val="24"/>
        </w:rPr>
      </w:pPr>
      <w:r>
        <w:rPr>
          <w:rFonts w:ascii="宋体" w:hAnsi="宋体"/>
          <w:sz w:val="24"/>
          <w:szCs w:val="24"/>
        </w:rPr>
        <w:t>开标结束后，采购人或采购代理机构将根据《资格审查要求》中的规定，对投标人进行资格审查，并形成资格审查结果。</w:t>
      </w:r>
    </w:p>
    <w:p>
      <w:pPr>
        <w:pStyle w:val="103"/>
        <w:numPr>
          <w:ilvl w:val="0"/>
          <w:numId w:val="10"/>
        </w:numPr>
        <w:spacing w:line="360" w:lineRule="auto"/>
        <w:ind w:firstLineChars="0"/>
        <w:rPr>
          <w:rFonts w:ascii="宋体" w:hAnsi="宋体"/>
          <w:sz w:val="24"/>
          <w:szCs w:val="24"/>
        </w:rPr>
      </w:pPr>
      <w:r>
        <w:rPr>
          <w:rFonts w:ascii="宋体" w:hAnsi="宋体"/>
          <w:sz w:val="24"/>
          <w:szCs w:val="24"/>
        </w:rPr>
        <w:t>《资格审查要求》中对格式有要求的，除招标文件另有规定外，均为“实质性格式”文件。</w:t>
      </w:r>
    </w:p>
    <w:p>
      <w:pPr>
        <w:pStyle w:val="103"/>
        <w:numPr>
          <w:ilvl w:val="0"/>
          <w:numId w:val="10"/>
        </w:numPr>
        <w:spacing w:line="360" w:lineRule="auto"/>
        <w:ind w:firstLineChars="0"/>
        <w:rPr>
          <w:rFonts w:ascii="宋体" w:hAnsi="宋体"/>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pPr>
        <w:pStyle w:val="103"/>
        <w:numPr>
          <w:ilvl w:val="0"/>
          <w:numId w:val="10"/>
        </w:numPr>
        <w:spacing w:line="360" w:lineRule="auto"/>
        <w:ind w:firstLineChars="0"/>
        <w:rPr>
          <w:rFonts w:ascii="宋体" w:hAnsi="宋体"/>
          <w:sz w:val="24"/>
          <w:szCs w:val="24"/>
        </w:rPr>
      </w:pPr>
      <w:r>
        <w:rPr>
          <w:rFonts w:hint="eastAsia" w:ascii="宋体" w:hAnsi="宋体"/>
          <w:sz w:val="24"/>
          <w:szCs w:val="24"/>
        </w:rPr>
        <w:t>投标人《资格证明文件》均应加盖投标人公章，</w:t>
      </w:r>
      <w:r>
        <w:rPr>
          <w:rFonts w:hint="eastAsia" w:ascii="宋体" w:hAnsi="宋体"/>
          <w:b/>
          <w:bCs/>
          <w:sz w:val="24"/>
          <w:szCs w:val="24"/>
        </w:rPr>
        <w:t>否则其投标无效。</w:t>
      </w:r>
    </w:p>
    <w:p>
      <w:pPr>
        <w:pStyle w:val="103"/>
        <w:numPr>
          <w:ilvl w:val="0"/>
          <w:numId w:val="10"/>
        </w:numPr>
        <w:spacing w:line="360" w:lineRule="auto"/>
        <w:ind w:firstLineChars="0"/>
        <w:rPr>
          <w:rFonts w:ascii="宋体" w:hAnsi="宋体"/>
          <w:sz w:val="24"/>
          <w:szCs w:val="24"/>
        </w:rPr>
      </w:pPr>
      <w:r>
        <w:rPr>
          <w:rFonts w:ascii="宋体" w:hAnsi="宋体"/>
          <w:sz w:val="24"/>
          <w:szCs w:val="24"/>
        </w:rPr>
        <w:t>资格审查合格的投标人不足3家的，不进行评标。</w:t>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5"/>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97" w:name="_Hlt487972895"/>
            <w:bookmarkEnd w:id="697"/>
            <w:bookmarkStart w:id="698" w:name="_Toc127151779"/>
            <w:bookmarkStart w:id="699" w:name="_Toc353873940"/>
            <w:bookmarkStart w:id="700" w:name="_Toc353825550"/>
            <w:bookmarkStart w:id="701" w:name="_Toc127161490"/>
            <w:bookmarkStart w:id="702" w:name="_Toc226965858"/>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sz w:val="24"/>
              </w:rPr>
              <w:t>投标人资格声明书</w:t>
            </w:r>
          </w:p>
        </w:tc>
        <w:tc>
          <w:tcPr>
            <w:tcW w:w="2596" w:type="pct"/>
            <w:vAlign w:val="center"/>
          </w:tcPr>
          <w:p>
            <w:pPr>
              <w:tabs>
                <w:tab w:val="left" w:pos="1080"/>
              </w:tabs>
              <w:snapToGrid w:val="0"/>
              <w:rPr>
                <w:sz w:val="24"/>
              </w:rPr>
            </w:pPr>
            <w:r>
              <w:rPr>
                <w:sz w:val="24"/>
              </w:rPr>
              <w:t>提供了符合招标文件要求的《投标人资格声明书》。</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sz w:val="24"/>
              </w:rPr>
              <w:t>投标人信用记录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1、投标人单独投标的，应提供中小企业声明函；如为监狱企业或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残疾人福利性单位须按招标文件要求提供《残疾人福利性单位声明函》。</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是否接受联合体投标</w:t>
            </w:r>
          </w:p>
        </w:tc>
        <w:tc>
          <w:tcPr>
            <w:tcW w:w="2596" w:type="pct"/>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第一章《投标邀请》</w:t>
            </w:r>
          </w:p>
        </w:tc>
        <w:tc>
          <w:tcPr>
            <w:tcW w:w="882" w:type="pct"/>
            <w:vAlign w:val="center"/>
          </w:tcPr>
          <w:p>
            <w:pPr>
              <w:tabs>
                <w:tab w:val="left" w:pos="1080"/>
              </w:tabs>
              <w:snapToGrid w:val="0"/>
              <w:rPr>
                <w:sz w:val="24"/>
              </w:rPr>
            </w:pPr>
            <w:r>
              <w:rPr>
                <w:rFonts w:hint="eastAsia"/>
                <w:sz w:val="24"/>
              </w:rPr>
              <w:t>提供相关材料，加盖公章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投标保证金</w:t>
            </w:r>
          </w:p>
        </w:tc>
        <w:tc>
          <w:tcPr>
            <w:tcW w:w="2596" w:type="pct"/>
            <w:vAlign w:val="center"/>
          </w:tcPr>
          <w:p>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882" w:type="pct"/>
            <w:vAlign w:val="center"/>
          </w:tcPr>
          <w:p>
            <w:pPr>
              <w:tabs>
                <w:tab w:val="left" w:pos="1080"/>
              </w:tabs>
              <w:snapToGrid w:val="0"/>
              <w:rPr>
                <w:sz w:val="24"/>
              </w:rPr>
            </w:pPr>
            <w:r>
              <w:rPr>
                <w:rFonts w:hint="eastAsia"/>
                <w:sz w:val="24"/>
              </w:rPr>
              <w:t>单独密封提交，具体要求见第二章投标人须知</w:t>
            </w:r>
          </w:p>
        </w:tc>
        <w:bookmarkStart w:id="703" w:name="_Hlt522424701"/>
        <w:bookmarkStart w:id="704"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pPr>
              <w:tabs>
                <w:tab w:val="left" w:pos="1080"/>
              </w:tabs>
              <w:snapToGrid w:val="0"/>
              <w:jc w:val="center"/>
              <w:rPr>
                <w:sz w:val="24"/>
              </w:rPr>
            </w:pPr>
            <w:r>
              <w:rPr>
                <w:rFonts w:hint="eastAsia"/>
                <w:sz w:val="24"/>
              </w:rPr>
              <w:t>5</w:t>
            </w:r>
          </w:p>
        </w:tc>
        <w:tc>
          <w:tcPr>
            <w:tcW w:w="1982" w:type="dxa"/>
            <w:vAlign w:val="center"/>
          </w:tcPr>
          <w:p>
            <w:pPr>
              <w:tabs>
                <w:tab w:val="left" w:pos="1080"/>
              </w:tabs>
              <w:snapToGrid w:val="0"/>
              <w:rPr>
                <w:rFonts w:hint="eastAsia" w:eastAsia="宋体"/>
                <w:sz w:val="24"/>
                <w:lang w:eastAsia="zh-CN"/>
              </w:rPr>
            </w:pPr>
            <w:r>
              <w:rPr>
                <w:rFonts w:hint="eastAsia"/>
                <w:sz w:val="24"/>
                <w:lang w:eastAsia="zh-CN"/>
              </w:rPr>
              <w:t>代理费承诺书</w:t>
            </w:r>
          </w:p>
        </w:tc>
        <w:tc>
          <w:tcPr>
            <w:tcW w:w="4822" w:type="dxa"/>
            <w:vAlign w:val="center"/>
          </w:tcPr>
          <w:p>
            <w:pPr>
              <w:tabs>
                <w:tab w:val="left" w:pos="1080"/>
              </w:tabs>
              <w:snapToGrid w:val="0"/>
              <w:rPr>
                <w:color w:val="000000"/>
                <w:kern w:val="0"/>
                <w:sz w:val="24"/>
              </w:rPr>
            </w:pPr>
            <w:r>
              <w:rPr>
                <w:rFonts w:hint="eastAsia"/>
                <w:color w:val="000000"/>
                <w:kern w:val="0"/>
                <w:sz w:val="24"/>
              </w:rPr>
              <w:t>按照招标文件的规定提交。</w:t>
            </w:r>
          </w:p>
        </w:tc>
        <w:tc>
          <w:tcPr>
            <w:tcW w:w="1638" w:type="dxa"/>
            <w:vAlign w:val="center"/>
          </w:tcPr>
          <w:p>
            <w:pPr>
              <w:tabs>
                <w:tab w:val="left" w:pos="1080"/>
              </w:tabs>
              <w:snapToGrid w:val="0"/>
              <w:rPr>
                <w:sz w:val="24"/>
              </w:rPr>
            </w:pPr>
            <w:r>
              <w:rPr>
                <w:rFonts w:hint="eastAsia"/>
                <w:sz w:val="24"/>
              </w:rPr>
              <w:t>提供原件并加盖公章</w:t>
            </w:r>
          </w:p>
        </w:tc>
      </w:tr>
      <w:bookmarkEnd w:id="703"/>
      <w:bookmarkEnd w:id="704"/>
    </w:tbl>
    <w:p>
      <w:pPr>
        <w:widowControl/>
        <w:jc w:val="left"/>
        <w:rPr>
          <w:rFonts w:ascii="宋体" w:hAnsi="宋体"/>
          <w:sz w:val="24"/>
        </w:rPr>
      </w:pPr>
      <w:r>
        <w:rPr>
          <w:rFonts w:ascii="宋体" w:hAnsi="宋体"/>
          <w:sz w:val="24"/>
        </w:rPr>
        <w:br w:type="page"/>
      </w:r>
    </w:p>
    <w:p>
      <w:pPr>
        <w:spacing w:line="360" w:lineRule="auto"/>
        <w:jc w:val="center"/>
        <w:outlineLvl w:val="0"/>
        <w:rPr>
          <w:rFonts w:ascii="宋体" w:hAnsi="宋体"/>
          <w:b/>
          <w:sz w:val="36"/>
          <w:szCs w:val="36"/>
        </w:rPr>
      </w:pPr>
      <w:bookmarkStart w:id="705" w:name="_Toc20146"/>
      <w:r>
        <w:rPr>
          <w:rFonts w:ascii="宋体" w:hAnsi="宋体"/>
          <w:b/>
          <w:sz w:val="36"/>
          <w:szCs w:val="36"/>
        </w:rPr>
        <w:t xml:space="preserve">第四章  </w:t>
      </w:r>
      <w:bookmarkEnd w:id="698"/>
      <w:bookmarkEnd w:id="699"/>
      <w:bookmarkEnd w:id="700"/>
      <w:bookmarkEnd w:id="701"/>
      <w:bookmarkEnd w:id="702"/>
      <w:bookmarkStart w:id="706" w:name="_Hlt164229061"/>
      <w:bookmarkEnd w:id="706"/>
      <w:r>
        <w:rPr>
          <w:rFonts w:ascii="宋体" w:hAnsi="宋体"/>
          <w:b/>
          <w:sz w:val="36"/>
          <w:szCs w:val="36"/>
        </w:rPr>
        <w:t>评标程序、评标方法和评标标准</w:t>
      </w:r>
      <w:bookmarkEnd w:id="705"/>
    </w:p>
    <w:p>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pPr>
        <w:numPr>
          <w:ilvl w:val="0"/>
          <w:numId w:val="11"/>
        </w:numPr>
        <w:tabs>
          <w:tab w:val="left" w:pos="360"/>
        </w:tabs>
        <w:snapToGrid w:val="0"/>
        <w:spacing w:line="360" w:lineRule="auto"/>
        <w:outlineLvl w:val="1"/>
        <w:rPr>
          <w:rFonts w:ascii="宋体" w:hAnsi="宋体"/>
          <w:sz w:val="24"/>
        </w:rPr>
      </w:pPr>
      <w:bookmarkStart w:id="707" w:name="_Toc151193711"/>
      <w:bookmarkStart w:id="708" w:name="_Toc305158883"/>
      <w:bookmarkStart w:id="709" w:name="_Toc149720834"/>
      <w:bookmarkStart w:id="710" w:name="_Toc150774746"/>
      <w:bookmarkStart w:id="711" w:name="_Toc226965814"/>
      <w:bookmarkStart w:id="712" w:name="_Toc305158809"/>
      <w:bookmarkStart w:id="713" w:name="_Toc127151541"/>
      <w:bookmarkStart w:id="714" w:name="_Toc164229236"/>
      <w:bookmarkStart w:id="715" w:name="_Toc127151742"/>
      <w:bookmarkStart w:id="716" w:name="_Toc226337237"/>
      <w:bookmarkStart w:id="717" w:name="_Toc151193929"/>
      <w:bookmarkStart w:id="718" w:name="_Toc265228379"/>
      <w:bookmarkStart w:id="719" w:name="_Toc164608810"/>
      <w:bookmarkStart w:id="720" w:name="_Toc195842906"/>
      <w:bookmarkStart w:id="721" w:name="_Toc164608655"/>
      <w:bookmarkStart w:id="722" w:name="_Toc150774641"/>
      <w:bookmarkStart w:id="723" w:name="_Toc151193783"/>
      <w:bookmarkStart w:id="724" w:name="_Toc150480779"/>
      <w:bookmarkStart w:id="725" w:name="_Toc151190168"/>
      <w:bookmarkStart w:id="726" w:name="_Toc151193855"/>
      <w:bookmarkStart w:id="727" w:name="_Toc226309785"/>
      <w:bookmarkStart w:id="728" w:name="_Toc264969231"/>
      <w:bookmarkStart w:id="729" w:name="_Toc151193639"/>
      <w:bookmarkStart w:id="730" w:name="_Toc226965731"/>
      <w:bookmarkStart w:id="731" w:name="_Toc164229382"/>
      <w:bookmarkStart w:id="732" w:name="_Toc127161455"/>
      <w:bookmarkStart w:id="733" w:name="_Toc150509292"/>
      <w:bookmarkStart w:id="734" w:name="_Toc142311043"/>
      <w:bookmarkStart w:id="735" w:name="_Toc164351635"/>
      <w:bookmarkStart w:id="736" w:name="_Toc353873941"/>
      <w:bookmarkStart w:id="737" w:name="_Toc353825551"/>
      <w:bookmarkStart w:id="738" w:name="_Toc127151555"/>
      <w:bookmarkStart w:id="739" w:name="_Toc353873935"/>
      <w:bookmarkStart w:id="740" w:name="_Toc226965828"/>
      <w:bookmarkStart w:id="741" w:name="_Toc265228393"/>
      <w:bookmarkStart w:id="742" w:name="_Toc264969245"/>
      <w:bookmarkStart w:id="743" w:name="_Toc195842920"/>
      <w:bookmarkStart w:id="744" w:name="_Toc150480793"/>
      <w:bookmarkStart w:id="745" w:name="_Toc305158823"/>
      <w:bookmarkStart w:id="746" w:name="_Toc142311057"/>
      <w:bookmarkStart w:id="747" w:name="_Toc305158897"/>
      <w:bookmarkStart w:id="748" w:name="_Toc150774760"/>
      <w:bookmarkStart w:id="749" w:name="_Toc353825545"/>
      <w:bookmarkStart w:id="750" w:name="_Toc226337251"/>
      <w:bookmarkStart w:id="751" w:name="_Toc353873665"/>
      <w:r>
        <w:rPr>
          <w:rFonts w:ascii="宋体" w:hAnsi="宋体"/>
          <w:sz w:val="24"/>
        </w:rPr>
        <w:t>投标文件的符合性审查</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2" w:name="_Toc520356167"/>
      <w:r>
        <w:rPr>
          <w:rFonts w:hint="eastAsia" w:ascii="宋体" w:hAnsi="宋体"/>
          <w:sz w:val="24"/>
        </w:rPr>
        <w:t>没有进行实质性响应的投标将被视为无效投标。投标人不得通过修正或撤销不符合要求的偏离或保留从而使其投标成为有效投标。</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hint="eastAsia" w:ascii="宋体" w:hAnsi="宋体"/>
          <w:sz w:val="24"/>
        </w:rPr>
        <w:t>要求</w:t>
      </w:r>
      <w:r>
        <w:rPr>
          <w:rFonts w:ascii="宋体" w:hAnsi="宋体"/>
          <w:sz w:val="24"/>
        </w:rPr>
        <w:t>》中规定的审查因素和审查内容，对投标人的投标文件是否实质上响应招标文件进行符合性审查，并形成符合性审查评审结果。</w:t>
      </w:r>
      <w:r>
        <w:rPr>
          <w:rFonts w:hint="eastAsia" w:ascii="宋体" w:hAnsi="宋体"/>
          <w:sz w:val="24"/>
        </w:rPr>
        <w:t>投标人《商务技术文件》有任何一项不符合</w:t>
      </w:r>
      <w:r>
        <w:rPr>
          <w:rFonts w:ascii="宋体" w:hAnsi="宋体"/>
          <w:sz w:val="24"/>
        </w:rPr>
        <w:t>《符合性审查</w:t>
      </w:r>
      <w:r>
        <w:rPr>
          <w:rFonts w:hint="eastAsia" w:ascii="宋体" w:hAnsi="宋体"/>
          <w:sz w:val="24"/>
        </w:rPr>
        <w:t>要求</w:t>
      </w:r>
      <w:r>
        <w:rPr>
          <w:rFonts w:ascii="宋体" w:hAnsi="宋体"/>
          <w:sz w:val="24"/>
        </w:rPr>
        <w:t>》</w:t>
      </w:r>
      <w:bookmarkEnd w:id="752"/>
      <w:r>
        <w:rPr>
          <w:rFonts w:hint="eastAsia" w:ascii="宋体" w:hAnsi="宋体"/>
          <w:sz w:val="24"/>
        </w:rPr>
        <w:t>要求的，其</w:t>
      </w:r>
      <w:r>
        <w:rPr>
          <w:rFonts w:hint="eastAsia" w:ascii="宋体" w:hAnsi="宋体"/>
          <w:b/>
          <w:sz w:val="24"/>
        </w:rPr>
        <w:t>投标无效</w:t>
      </w:r>
      <w:r>
        <w:rPr>
          <w:rFonts w:hint="eastAsia" w:ascii="宋体" w:hAnsi="宋体"/>
          <w:sz w:val="24"/>
        </w:rPr>
        <w:t>。</w:t>
      </w:r>
    </w:p>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color w:val="000000"/>
                <w:kern w:val="0"/>
                <w:sz w:val="24"/>
              </w:rPr>
              <w:t>投标完整性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color w:val="000000"/>
                <w:kern w:val="0"/>
                <w:sz w:val="24"/>
              </w:rPr>
              <w:t>投标报价</w:t>
            </w:r>
          </w:p>
        </w:tc>
        <w:tc>
          <w:tcPr>
            <w:tcW w:w="3620" w:type="pct"/>
            <w:vAlign w:val="center"/>
          </w:tcPr>
          <w:p>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color w:val="000000"/>
                <w:kern w:val="0"/>
                <w:sz w:val="24"/>
              </w:rPr>
              <w:t>投标有效期</w:t>
            </w:r>
          </w:p>
        </w:tc>
        <w:tc>
          <w:tcPr>
            <w:tcW w:w="3620" w:type="pct"/>
            <w:vAlign w:val="center"/>
          </w:tcPr>
          <w:p>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按招标文件规定签订并提供分包意向协议原件的；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1813" w:type="dxa"/>
            <w:vAlign w:val="center"/>
          </w:tcPr>
          <w:p>
            <w:pPr>
              <w:widowControl/>
              <w:jc w:val="left"/>
              <w:rPr>
                <w:color w:val="000000"/>
                <w:kern w:val="0"/>
                <w:sz w:val="24"/>
              </w:rPr>
            </w:pPr>
            <w:r>
              <w:rPr>
                <w:kern w:val="0"/>
                <w:sz w:val="24"/>
              </w:rPr>
              <w:t>国家有关部门对投标人的投标产品有强制性规定或要求的</w:t>
            </w:r>
          </w:p>
        </w:tc>
        <w:tc>
          <w:tcPr>
            <w:tcW w:w="6725" w:type="dxa"/>
            <w:vAlign w:val="center"/>
          </w:tcPr>
          <w:p>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hint="eastAsia" w:ascii="宋体" w:hAnsi="宋体"/>
                <w:sz w:val="24"/>
              </w:rPr>
              <w:t>应</w:t>
            </w:r>
            <w:r>
              <w:rPr>
                <w:rFonts w:ascii="宋体" w:hAnsi="宋体"/>
                <w:sz w:val="24"/>
              </w:rPr>
              <w:t>符合相应规定或要求</w:t>
            </w:r>
            <w:r>
              <w:rPr>
                <w:rFonts w:hint="eastAsia" w:ascii="宋体" w:hAnsi="宋体"/>
                <w:sz w:val="24"/>
              </w:rPr>
              <w:t>，并提供证明文件</w:t>
            </w:r>
            <w:r>
              <w:rPr>
                <w:rFonts w:hint="eastAsia" w:ascii="宋体" w:hAnsi="宋体"/>
                <w:sz w:val="24"/>
                <w:lang w:eastAsia="zh-CN"/>
              </w:rPr>
              <w:t>复印件</w:t>
            </w:r>
            <w:r>
              <w:rPr>
                <w:rFonts w:hint="eastAsia" w:ascii="宋体" w:hAnsi="宋体"/>
                <w:sz w:val="24"/>
              </w:rPr>
              <w:t>：</w:t>
            </w:r>
          </w:p>
          <w:p>
            <w:pPr>
              <w:spacing w:line="276" w:lineRule="auto"/>
              <w:ind w:firstLine="29"/>
              <w:rPr>
                <w:rFonts w:ascii="宋体" w:hAnsi="宋体"/>
                <w:sz w:val="24"/>
              </w:rPr>
            </w:pPr>
            <w:r>
              <w:rPr>
                <w:rFonts w:hint="eastAsia" w:ascii="宋体" w:hAnsi="宋体"/>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pPr>
              <w:autoSpaceDE w:val="0"/>
              <w:autoSpaceDN w:val="0"/>
              <w:adjustRightInd w:val="0"/>
              <w:spacing w:line="276" w:lineRule="auto"/>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spacing w:line="276" w:lineRule="auto"/>
              <w:ind w:firstLine="29"/>
              <w:rPr>
                <w:rFonts w:ascii="宋体" w:hAnsi="宋体"/>
                <w:sz w:val="24"/>
              </w:rPr>
            </w:pPr>
            <w:r>
              <w:rPr>
                <w:rFonts w:ascii="宋体" w:hAnsi="宋体"/>
                <w:sz w:val="24"/>
              </w:rPr>
              <w:t>3</w:t>
            </w:r>
            <w:r>
              <w:rPr>
                <w:rFonts w:hint="eastAsia" w:ascii="宋体" w:hAnsi="宋体"/>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spacing w:line="276" w:lineRule="auto"/>
              <w:ind w:firstLine="29"/>
              <w:rPr>
                <w:rFonts w:ascii="宋体" w:hAnsi="宋体"/>
                <w:sz w:val="24"/>
              </w:rPr>
            </w:pPr>
            <w:r>
              <w:rPr>
                <w:rFonts w:ascii="宋体" w:hAnsi="宋体"/>
                <w:sz w:val="24"/>
              </w:rPr>
              <w:t>4</w:t>
            </w:r>
            <w:r>
              <w:rPr>
                <w:rFonts w:hint="eastAsia" w:ascii="宋体" w:hAnsi="宋体"/>
                <w:sz w:val="24"/>
              </w:rPr>
              <w:t>）</w:t>
            </w:r>
            <w:r>
              <w:rPr>
                <w:rFonts w:ascii="宋体" w:hAnsi="宋体"/>
                <w:sz w:val="24"/>
              </w:rPr>
              <w:t>项目中涉及涂料、胶黏剂、油墨、清洗剂等挥发性有机物产品，且属于强制性标准的，供应商应执行符合</w:t>
            </w:r>
            <w:r>
              <w:rPr>
                <w:rFonts w:hint="eastAsia" w:ascii="宋体" w:hAnsi="宋体"/>
                <w:sz w:val="24"/>
              </w:rPr>
              <w:t>北京</w:t>
            </w:r>
            <w:r>
              <w:rPr>
                <w:rFonts w:ascii="宋体" w:hAnsi="宋体"/>
                <w:sz w:val="24"/>
              </w:rPr>
              <w:t>市和国家的VOCs 含量限制标准</w:t>
            </w:r>
            <w:r>
              <w:rPr>
                <w:rFonts w:hint="eastAsia" w:ascii="宋体" w:hAnsi="宋体"/>
                <w:sz w:val="24"/>
              </w:rPr>
              <w:t>；</w:t>
            </w:r>
          </w:p>
          <w:p>
            <w:pPr>
              <w:widowControl/>
              <w:jc w:val="left"/>
              <w:rPr>
                <w:color w:val="000000"/>
                <w:kern w:val="0"/>
                <w:sz w:val="24"/>
              </w:rPr>
            </w:pPr>
            <w:r>
              <w:rPr>
                <w:rFonts w:hint="eastAsia"/>
                <w:iCs/>
                <w:sz w:val="24"/>
              </w:rPr>
              <w:t>5）投标产品须符合国家有关部门的强制性规定或要求。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串通投标</w:t>
            </w:r>
          </w:p>
        </w:tc>
        <w:tc>
          <w:tcPr>
            <w:tcW w:w="3620" w:type="pct"/>
            <w:vAlign w:val="center"/>
          </w:tcPr>
          <w:p>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pPr>
        <w:tabs>
          <w:tab w:val="left" w:pos="1080"/>
          <w:tab w:val="left" w:pos="1589"/>
        </w:tabs>
        <w:snapToGrid w:val="0"/>
        <w:spacing w:line="360" w:lineRule="auto"/>
        <w:rPr>
          <w:rFonts w:ascii="宋体" w:hAnsi="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投标文件有关事项的澄清或者说明</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b/>
          <w:sz w:val="24"/>
        </w:rPr>
        <w:t>投标无效</w:t>
      </w:r>
      <w:r>
        <w:rPr>
          <w:rFonts w:ascii="宋体" w:hAnsi="宋体"/>
          <w:sz w:val="24"/>
        </w:rPr>
        <w:t>。</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pPr>
        <w:numPr>
          <w:ilvl w:val="2"/>
          <w:numId w:val="11"/>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6"/>
      <w:bookmarkEnd w:id="737"/>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hint="eastAsia" w:ascii="宋体" w:hAnsi="宋体"/>
          <w:sz w:val="24"/>
        </w:rPr>
        <w:t>，招标文件中没有规定的评标标准不得作为评审的依据。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1"/>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3" w:name="_Toc265228384"/>
      <w:bookmarkStart w:id="754" w:name="_Toc305158814"/>
      <w:bookmarkStart w:id="755" w:name="_Toc151193934"/>
      <w:bookmarkStart w:id="756" w:name="_Toc150774751"/>
      <w:bookmarkStart w:id="757" w:name="_Toc127151747"/>
      <w:bookmarkStart w:id="758" w:name="_Ref467307010"/>
      <w:bookmarkStart w:id="759" w:name="_Toc264969236"/>
      <w:bookmarkStart w:id="760" w:name="_Toc127161460"/>
      <w:bookmarkStart w:id="761" w:name="_Toc164229387"/>
      <w:bookmarkStart w:id="762" w:name="_Toc150509297"/>
      <w:bookmarkStart w:id="763" w:name="_Toc164608815"/>
      <w:bookmarkStart w:id="764" w:name="_Toc164608660"/>
      <w:bookmarkStart w:id="765" w:name="_Toc149720839"/>
      <w:bookmarkStart w:id="766" w:name="_Toc226309790"/>
      <w:bookmarkStart w:id="767" w:name="_Toc150480784"/>
      <w:bookmarkStart w:id="768" w:name="_Toc150774646"/>
      <w:bookmarkStart w:id="769" w:name="_Toc151193788"/>
      <w:bookmarkStart w:id="770" w:name="_Toc151193860"/>
      <w:bookmarkStart w:id="771" w:name="_Toc151190173"/>
      <w:bookmarkStart w:id="772" w:name="_Toc164229241"/>
      <w:bookmarkStart w:id="773" w:name="_Toc226337242"/>
      <w:bookmarkStart w:id="774" w:name="_Toc151193644"/>
      <w:bookmarkStart w:id="775" w:name="_Toc127151546"/>
      <w:bookmarkStart w:id="776" w:name="_Toc195842911"/>
      <w:bookmarkStart w:id="777" w:name="_Toc164351640"/>
      <w:bookmarkStart w:id="778" w:name="_Toc520356170"/>
      <w:bookmarkStart w:id="779" w:name="_Toc305158888"/>
      <w:bookmarkStart w:id="780" w:name="_Toc151193716"/>
      <w:bookmarkStart w:id="781" w:name="_Toc226965819"/>
      <w:bookmarkStart w:id="782" w:name="_Toc226965736"/>
      <w:bookmarkStart w:id="783" w:name="_Toc142311048"/>
      <w:r>
        <w:rPr>
          <w:rFonts w:ascii="宋体" w:hAnsi="宋体"/>
          <w:sz w:val="24"/>
        </w:rPr>
        <w:t>中标候选人名单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w:t>
      </w:r>
      <w:r>
        <w:rPr>
          <w:rFonts w:hint="eastAsia" w:hAnsi="宋体"/>
          <w:sz w:val="24"/>
          <w:szCs w:val="24"/>
          <w:u w:val="single"/>
          <w:lang w:val="en-US" w:eastAsia="zh-CN"/>
        </w:rPr>
        <w:t>最低</w:t>
      </w:r>
      <w:r>
        <w:rPr>
          <w:rFonts w:hAnsi="宋体"/>
          <w:sz w:val="24"/>
          <w:szCs w:val="24"/>
          <w:u w:val="single"/>
        </w:rPr>
        <w:t>的投标人获得中标人推荐资格</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hint="eastAsia" w:ascii="宋体" w:hAnsi="宋体"/>
          <w:sz w:val="24"/>
        </w:rPr>
        <w:t>投标文件</w:t>
      </w:r>
      <w:r>
        <w:rPr>
          <w:rFonts w:ascii="宋体" w:hAnsi="宋体"/>
          <w:sz w:val="24"/>
        </w:rPr>
        <w:t>被认定为无效的情形进行重点复核。</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hint="eastAsia" w:ascii="宋体" w:hAnsi="宋体"/>
          <w:sz w:val="24"/>
        </w:rPr>
        <w:t>各</w:t>
      </w:r>
      <w:r>
        <w:rPr>
          <w:rFonts w:ascii="宋体" w:hAnsi="宋体"/>
          <w:sz w:val="24"/>
        </w:rPr>
        <w:t>采购包）的中标候选人，起草并签署评标报告。本项目（</w:t>
      </w:r>
      <w:r>
        <w:rPr>
          <w:rFonts w:hint="eastAsia" w:ascii="宋体" w:hAnsi="宋体"/>
          <w:sz w:val="24"/>
        </w:rPr>
        <w:t>各</w:t>
      </w:r>
      <w:r>
        <w:rPr>
          <w:rFonts w:ascii="宋体" w:hAnsi="宋体"/>
          <w:sz w:val="24"/>
        </w:rPr>
        <w:t>采购包）评标委员会共（各）推荐</w:t>
      </w:r>
      <w:r>
        <w:rPr>
          <w:rFonts w:ascii="宋体" w:hAnsi="宋体"/>
          <w:sz w:val="24"/>
          <w:u w:val="single"/>
        </w:rPr>
        <w:t xml:space="preserve">3 </w:t>
      </w:r>
      <w:r>
        <w:rPr>
          <w:rFonts w:ascii="宋体" w:hAnsi="宋体"/>
          <w:sz w:val="24"/>
        </w:rPr>
        <w:t>名中标候选人。</w:t>
      </w:r>
    </w:p>
    <w:p>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pPr>
        <w:numPr>
          <w:ilvl w:val="0"/>
          <w:numId w:val="11"/>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1"/>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r>
        <w:rPr>
          <w:rFonts w:ascii="宋体" w:hAnsi="宋体"/>
          <w:b/>
          <w:sz w:val="24"/>
        </w:rPr>
        <w:br w:type="page"/>
      </w:r>
    </w:p>
    <w:p>
      <w:pPr>
        <w:tabs>
          <w:tab w:val="left" w:pos="360"/>
          <w:tab w:val="left" w:pos="900"/>
        </w:tabs>
        <w:snapToGrid w:val="0"/>
        <w:spacing w:line="360" w:lineRule="auto"/>
        <w:jc w:val="center"/>
        <w:outlineLvl w:val="1"/>
      </w:pPr>
      <w:r>
        <w:rPr>
          <w:rFonts w:ascii="宋体" w:hAnsi="宋体"/>
          <w:b/>
          <w:sz w:val="24"/>
        </w:rPr>
        <w:t>二、评标标准</w:t>
      </w:r>
    </w:p>
    <w:tbl>
      <w:tblPr>
        <w:tblStyle w:val="40"/>
        <w:tblW w:w="86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1055"/>
        <w:gridCol w:w="961"/>
        <w:gridCol w:w="4431"/>
        <w:gridCol w:w="1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shd w:val="clear" w:color="auto" w:fill="auto"/>
            <w:vAlign w:val="center"/>
          </w:tcPr>
          <w:p>
            <w:pPr>
              <w:rPr>
                <w:rFonts w:hint="default" w:eastAsia="宋体"/>
                <w:color w:val="auto"/>
                <w:lang w:val="en-US" w:eastAsia="zh-CN"/>
              </w:rPr>
            </w:pPr>
            <w:r>
              <w:rPr>
                <w:rFonts w:hint="eastAsia"/>
                <w:color w:val="auto"/>
                <w:lang w:val="en-US" w:eastAsia="zh-CN"/>
              </w:rPr>
              <w:t>评审因素类型</w:t>
            </w:r>
          </w:p>
        </w:tc>
        <w:tc>
          <w:tcPr>
            <w:tcW w:w="1055" w:type="dxa"/>
            <w:shd w:val="clear" w:color="auto" w:fill="auto"/>
            <w:vAlign w:val="center"/>
          </w:tcPr>
          <w:p>
            <w:pPr>
              <w:rPr>
                <w:rFonts w:hint="default" w:eastAsia="宋体"/>
                <w:color w:val="auto"/>
                <w:lang w:val="en-US" w:eastAsia="zh-CN"/>
              </w:rPr>
            </w:pPr>
            <w:r>
              <w:rPr>
                <w:rFonts w:hint="eastAsia"/>
                <w:color w:val="auto"/>
                <w:lang w:val="en-US" w:eastAsia="zh-CN"/>
              </w:rPr>
              <w:t>评审因素</w:t>
            </w:r>
          </w:p>
        </w:tc>
        <w:tc>
          <w:tcPr>
            <w:tcW w:w="961" w:type="dxa"/>
            <w:shd w:val="clear" w:color="auto" w:fill="auto"/>
            <w:vAlign w:val="center"/>
          </w:tcPr>
          <w:p>
            <w:pPr>
              <w:rPr>
                <w:color w:val="auto"/>
              </w:rPr>
            </w:pPr>
            <w:r>
              <w:rPr>
                <w:rFonts w:hint="eastAsia"/>
                <w:color w:val="auto"/>
              </w:rPr>
              <w:t>名称</w:t>
            </w:r>
          </w:p>
        </w:tc>
        <w:tc>
          <w:tcPr>
            <w:tcW w:w="4431" w:type="dxa"/>
            <w:shd w:val="clear" w:color="auto" w:fill="auto"/>
            <w:vAlign w:val="center"/>
          </w:tcPr>
          <w:p>
            <w:pPr>
              <w:jc w:val="center"/>
              <w:rPr>
                <w:color w:val="auto"/>
              </w:rPr>
            </w:pPr>
            <w:r>
              <w:rPr>
                <w:rFonts w:hint="eastAsia"/>
                <w:color w:val="auto"/>
              </w:rPr>
              <w:t>评分标准</w:t>
            </w:r>
          </w:p>
        </w:tc>
        <w:tc>
          <w:tcPr>
            <w:tcW w:w="1274" w:type="dxa"/>
            <w:shd w:val="clear" w:color="auto" w:fill="auto"/>
            <w:vAlign w:val="center"/>
          </w:tcPr>
          <w:p>
            <w:pPr>
              <w:rPr>
                <w:color w:val="auto"/>
              </w:rPr>
            </w:pPr>
            <w:r>
              <w:rPr>
                <w:rFonts w:hint="eastAsia"/>
                <w:color w:val="auto"/>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shd w:val="clear" w:color="auto" w:fill="auto"/>
            <w:vAlign w:val="center"/>
          </w:tcPr>
          <w:p>
            <w:pPr>
              <w:rPr>
                <w:rFonts w:hint="eastAsia" w:eastAsia="宋体"/>
                <w:color w:val="auto"/>
                <w:lang w:val="en-US" w:eastAsia="zh-CN"/>
              </w:rPr>
            </w:pPr>
            <w:r>
              <w:rPr>
                <w:rFonts w:hint="eastAsia"/>
                <w:color w:val="auto"/>
              </w:rPr>
              <w:t>价格</w:t>
            </w:r>
            <w:r>
              <w:rPr>
                <w:rFonts w:hint="eastAsia"/>
                <w:color w:val="auto"/>
                <w:lang w:val="en-US" w:eastAsia="zh-CN"/>
              </w:rPr>
              <w:t>分</w:t>
            </w:r>
          </w:p>
        </w:tc>
        <w:tc>
          <w:tcPr>
            <w:tcW w:w="1055" w:type="dxa"/>
            <w:shd w:val="clear" w:color="auto" w:fill="auto"/>
            <w:vAlign w:val="center"/>
          </w:tcPr>
          <w:p>
            <w:pPr>
              <w:rPr>
                <w:color w:val="auto"/>
              </w:rPr>
            </w:pPr>
            <w:r>
              <w:rPr>
                <w:rFonts w:hint="eastAsia"/>
                <w:color w:val="auto"/>
              </w:rPr>
              <w:t>价格分</w:t>
            </w:r>
          </w:p>
        </w:tc>
        <w:tc>
          <w:tcPr>
            <w:tcW w:w="961" w:type="dxa"/>
            <w:shd w:val="clear" w:color="auto" w:fill="auto"/>
            <w:vAlign w:val="center"/>
          </w:tcPr>
          <w:p>
            <w:pPr>
              <w:rPr>
                <w:color w:val="auto"/>
              </w:rPr>
            </w:pPr>
            <w:r>
              <w:rPr>
                <w:rFonts w:hint="eastAsia"/>
                <w:color w:val="auto"/>
              </w:rPr>
              <w:t>价格分</w:t>
            </w:r>
          </w:p>
        </w:tc>
        <w:tc>
          <w:tcPr>
            <w:tcW w:w="4431" w:type="dxa"/>
            <w:shd w:val="clear" w:color="auto" w:fill="auto"/>
            <w:vAlign w:val="center"/>
          </w:tcPr>
          <w:p>
            <w:pPr>
              <w:rPr>
                <w:color w:val="auto"/>
              </w:rPr>
            </w:pPr>
            <w:r>
              <w:rPr>
                <w:rFonts w:hint="eastAsia"/>
                <w:color w:val="auto"/>
              </w:rPr>
              <w:t>满足招标文件要求且投标价格最低的投标报价为评标基准价，其价格分为满分。其他投标人的价格分统一按照下列公式计算：投标报价得分=(评标基准价／投标报价)×30%×100</w:t>
            </w:r>
          </w:p>
        </w:tc>
        <w:tc>
          <w:tcPr>
            <w:tcW w:w="1274" w:type="dxa"/>
            <w:shd w:val="clear" w:color="auto" w:fill="auto"/>
            <w:vAlign w:val="center"/>
          </w:tcPr>
          <w:p>
            <w:pPr>
              <w:jc w:val="center"/>
              <w:rPr>
                <w:color w:val="auto"/>
              </w:rPr>
            </w:pPr>
            <w:r>
              <w:rPr>
                <w:rFonts w:hint="eastAsia"/>
                <w:color w:val="auto"/>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restart"/>
            <w:shd w:val="clear" w:color="auto" w:fill="auto"/>
            <w:vAlign w:val="center"/>
          </w:tcPr>
          <w:p>
            <w:pPr>
              <w:rPr>
                <w:color w:val="auto"/>
              </w:rPr>
            </w:pPr>
            <w:r>
              <w:rPr>
                <w:rFonts w:hint="eastAsia"/>
                <w:color w:val="auto"/>
              </w:rPr>
              <w:t>客观分</w:t>
            </w:r>
          </w:p>
        </w:tc>
        <w:tc>
          <w:tcPr>
            <w:tcW w:w="1055" w:type="dxa"/>
            <w:shd w:val="clear" w:color="auto" w:fill="auto"/>
            <w:vAlign w:val="center"/>
          </w:tcPr>
          <w:p>
            <w:pPr>
              <w:rPr>
                <w:color w:val="auto"/>
              </w:rPr>
            </w:pPr>
            <w:r>
              <w:rPr>
                <w:rFonts w:hint="eastAsia"/>
                <w:color w:val="auto"/>
                <w:lang w:val="en-US" w:eastAsia="zh-CN"/>
              </w:rPr>
              <w:t>政策法规</w:t>
            </w:r>
            <w:r>
              <w:rPr>
                <w:rFonts w:hint="eastAsia"/>
                <w:color w:val="auto"/>
              </w:rPr>
              <w:t>要求</w:t>
            </w:r>
          </w:p>
        </w:tc>
        <w:tc>
          <w:tcPr>
            <w:tcW w:w="961" w:type="dxa"/>
            <w:shd w:val="clear" w:color="auto" w:fill="auto"/>
            <w:vAlign w:val="center"/>
          </w:tcPr>
          <w:p>
            <w:pPr>
              <w:rPr>
                <w:color w:val="auto"/>
              </w:rPr>
            </w:pPr>
            <w:r>
              <w:rPr>
                <w:rFonts w:hint="eastAsia"/>
                <w:color w:val="auto"/>
              </w:rPr>
              <w:t>非强制节能</w:t>
            </w:r>
            <w:r>
              <w:rPr>
                <w:rFonts w:hint="eastAsia"/>
                <w:color w:val="auto"/>
                <w:lang w:val="en-US" w:eastAsia="zh-CN"/>
              </w:rPr>
              <w:t>及</w:t>
            </w:r>
            <w:r>
              <w:rPr>
                <w:rFonts w:hint="eastAsia"/>
                <w:color w:val="auto"/>
              </w:rPr>
              <w:t>环保产品</w:t>
            </w:r>
          </w:p>
        </w:tc>
        <w:tc>
          <w:tcPr>
            <w:tcW w:w="4431" w:type="dxa"/>
            <w:shd w:val="clear" w:color="auto" w:fill="auto"/>
            <w:vAlign w:val="center"/>
          </w:tcPr>
          <w:p>
            <w:pPr>
              <w:rPr>
                <w:color w:val="auto"/>
              </w:rPr>
            </w:pPr>
            <w:r>
              <w:rPr>
                <w:rFonts w:hint="eastAsia"/>
                <w:color w:val="auto"/>
              </w:rPr>
              <w:t>投标人所投采购一览表所列货物如属于政府优先采购产品类别，须按照《财政部 发展改革委生态环境部市场监管总局关于调整优化节能产品、环境标志产品政府采购执行机制的通知》（财库〔2019〕9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号）要求提供依据国家确定的认证机构出具的、处于有效期之内的节能产品、环境标志产品认证证书，</w:t>
            </w:r>
            <w:r>
              <w:rPr>
                <w:rFonts w:hint="eastAsia"/>
                <w:color w:val="auto"/>
                <w:lang w:val="en-US" w:eastAsia="zh-CN"/>
              </w:rPr>
              <w:t>提供证书复印件，</w:t>
            </w:r>
            <w:r>
              <w:rPr>
                <w:rFonts w:hint="eastAsia"/>
                <w:color w:val="auto"/>
              </w:rPr>
              <w:t>每项</w:t>
            </w:r>
            <w:r>
              <w:rPr>
                <w:rFonts w:hint="eastAsia"/>
                <w:color w:val="auto"/>
                <w:lang w:val="en-US" w:eastAsia="zh-CN"/>
              </w:rPr>
              <w:t>得</w:t>
            </w:r>
            <w:r>
              <w:rPr>
                <w:rFonts w:hint="eastAsia"/>
                <w:color w:val="auto"/>
              </w:rPr>
              <w:t xml:space="preserve"> 0.5分，最高 1 分。</w:t>
            </w:r>
          </w:p>
        </w:tc>
        <w:tc>
          <w:tcPr>
            <w:tcW w:w="1274" w:type="dxa"/>
            <w:shd w:val="clear" w:color="auto" w:fill="auto"/>
            <w:vAlign w:val="center"/>
          </w:tcPr>
          <w:p>
            <w:pPr>
              <w:jc w:val="center"/>
              <w:rPr>
                <w:color w:val="auto"/>
              </w:rPr>
            </w:pPr>
            <w:r>
              <w:rPr>
                <w:rFonts w:hint="eastAsia"/>
                <w:color w:val="auto"/>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continue"/>
            <w:vAlign w:val="center"/>
          </w:tcPr>
          <w:p>
            <w:pPr>
              <w:rPr>
                <w:color w:val="auto"/>
              </w:rPr>
            </w:pPr>
          </w:p>
        </w:tc>
        <w:tc>
          <w:tcPr>
            <w:tcW w:w="1055" w:type="dxa"/>
            <w:vMerge w:val="restart"/>
            <w:shd w:val="clear" w:color="auto" w:fill="auto"/>
            <w:vAlign w:val="center"/>
          </w:tcPr>
          <w:p>
            <w:pPr>
              <w:rPr>
                <w:rFonts w:hint="eastAsia" w:eastAsia="宋体"/>
                <w:color w:val="auto"/>
                <w:lang w:val="en-US" w:eastAsia="zh-CN"/>
              </w:rPr>
            </w:pPr>
            <w:r>
              <w:rPr>
                <w:rFonts w:hint="eastAsia"/>
                <w:color w:val="auto"/>
              </w:rPr>
              <w:t>技术</w:t>
            </w:r>
            <w:r>
              <w:rPr>
                <w:rFonts w:hint="eastAsia"/>
                <w:color w:val="auto"/>
                <w:lang w:val="en-US" w:eastAsia="zh-CN"/>
              </w:rPr>
              <w:t>响应</w:t>
            </w:r>
          </w:p>
        </w:tc>
        <w:tc>
          <w:tcPr>
            <w:tcW w:w="961" w:type="dxa"/>
            <w:vMerge w:val="restart"/>
            <w:shd w:val="clear" w:color="auto" w:fill="auto"/>
            <w:vAlign w:val="center"/>
          </w:tcPr>
          <w:p>
            <w:pPr>
              <w:rPr>
                <w:color w:val="auto"/>
              </w:rPr>
            </w:pPr>
            <w:r>
              <w:rPr>
                <w:rFonts w:hint="eastAsia"/>
                <w:color w:val="auto"/>
              </w:rPr>
              <w:t>满足</w:t>
            </w:r>
            <w:r>
              <w:rPr>
                <w:rFonts w:hint="eastAsia"/>
                <w:color w:val="auto"/>
                <w:lang w:val="en-US" w:eastAsia="zh-CN"/>
              </w:rPr>
              <w:t>技术</w:t>
            </w:r>
            <w:r>
              <w:rPr>
                <w:rFonts w:hint="eastAsia"/>
                <w:color w:val="auto"/>
              </w:rPr>
              <w:t>要求技术指标情况</w:t>
            </w:r>
          </w:p>
        </w:tc>
        <w:tc>
          <w:tcPr>
            <w:tcW w:w="4431" w:type="dxa"/>
            <w:shd w:val="clear" w:color="auto" w:fill="auto"/>
            <w:vAlign w:val="center"/>
          </w:tcPr>
          <w:p>
            <w:pPr>
              <w:rPr>
                <w:rFonts w:hint="eastAsia"/>
                <w:color w:val="auto"/>
              </w:rPr>
            </w:pPr>
            <w:r>
              <w:rPr>
                <w:rFonts w:hint="eastAsia"/>
                <w:color w:val="auto"/>
                <w:lang w:val="en-US" w:eastAsia="zh-CN"/>
              </w:rPr>
              <w:t>投标文件应对</w:t>
            </w:r>
            <w:r>
              <w:rPr>
                <w:rFonts w:hint="eastAsia"/>
                <w:color w:val="auto"/>
              </w:rPr>
              <w:t>技术指标逐条</w:t>
            </w:r>
            <w:r>
              <w:rPr>
                <w:rFonts w:hint="eastAsia"/>
                <w:color w:val="auto"/>
                <w:lang w:val="en-US" w:eastAsia="zh-CN"/>
              </w:rPr>
              <w:t>如实响应应答，所有技术指标</w:t>
            </w:r>
            <w:r>
              <w:rPr>
                <w:rFonts w:hint="eastAsia"/>
                <w:color w:val="auto"/>
              </w:rPr>
              <w:t>完全满足</w:t>
            </w:r>
            <w:r>
              <w:rPr>
                <w:rFonts w:hint="eastAsia"/>
                <w:color w:val="auto"/>
                <w:lang w:val="en-US" w:eastAsia="zh-CN"/>
              </w:rPr>
              <w:t>或优于</w:t>
            </w:r>
            <w:r>
              <w:rPr>
                <w:rFonts w:hint="eastAsia"/>
                <w:color w:val="auto"/>
              </w:rPr>
              <w:t>招标文件中的技术要求，</w:t>
            </w:r>
            <w:r>
              <w:rPr>
                <w:rFonts w:hint="eastAsia"/>
                <w:color w:val="auto"/>
                <w:lang w:val="en-US" w:eastAsia="zh-CN"/>
              </w:rPr>
              <w:t>得满分47分</w:t>
            </w:r>
            <w:r>
              <w:rPr>
                <w:rFonts w:hint="eastAsia"/>
                <w:color w:val="auto"/>
              </w:rPr>
              <w:t>；</w:t>
            </w:r>
          </w:p>
          <w:p>
            <w:pPr>
              <w:rPr>
                <w:rFonts w:hint="eastAsia"/>
                <w:color w:val="auto"/>
                <w:lang w:val="en-US" w:eastAsia="zh-CN"/>
              </w:rPr>
            </w:pPr>
            <w:r>
              <w:rPr>
                <w:rFonts w:hint="eastAsia"/>
                <w:color w:val="auto"/>
                <w:lang w:val="en-US" w:eastAsia="zh-CN"/>
              </w:rPr>
              <w:t>若出现负偏离根据指标重要程度处理如下：</w:t>
            </w:r>
          </w:p>
          <w:p>
            <w:pPr>
              <w:rPr>
                <w:rFonts w:hint="eastAsia"/>
                <w:color w:val="auto"/>
              </w:rPr>
            </w:pPr>
            <w:r>
              <w:rPr>
                <w:rFonts w:hint="eastAsia"/>
                <w:color w:val="auto"/>
                <w:lang w:val="en-US" w:eastAsia="zh-CN"/>
              </w:rPr>
              <w:t>【1】</w:t>
            </w:r>
            <w:r>
              <w:rPr>
                <w:rFonts w:hint="eastAsia"/>
                <w:color w:val="auto"/>
              </w:rPr>
              <w:t>招标文件中标注“★”号的为必须满足</w:t>
            </w:r>
            <w:r>
              <w:rPr>
                <w:rFonts w:hint="eastAsia"/>
                <w:color w:val="auto"/>
                <w:lang w:val="en-US" w:eastAsia="zh-CN"/>
              </w:rPr>
              <w:t>的技术</w:t>
            </w:r>
            <w:r>
              <w:rPr>
                <w:rFonts w:hint="eastAsia"/>
                <w:color w:val="auto"/>
              </w:rPr>
              <w:t>指标，</w:t>
            </w:r>
            <w:r>
              <w:rPr>
                <w:rFonts w:hint="eastAsia"/>
                <w:color w:val="auto"/>
                <w:lang w:val="en-US" w:eastAsia="zh-CN"/>
              </w:rPr>
              <w:t>若</w:t>
            </w:r>
            <w:r>
              <w:rPr>
                <w:rFonts w:hint="eastAsia"/>
                <w:color w:val="auto"/>
              </w:rPr>
              <w:t>★</w:t>
            </w:r>
            <w:r>
              <w:rPr>
                <w:rFonts w:hint="eastAsia"/>
                <w:color w:val="auto"/>
                <w:lang w:val="en-US" w:eastAsia="zh-CN"/>
              </w:rPr>
              <w:t>号条款出现任何负偏离</w:t>
            </w:r>
            <w:r>
              <w:rPr>
                <w:rFonts w:hint="eastAsia"/>
                <w:b/>
                <w:bCs/>
                <w:color w:val="auto"/>
              </w:rPr>
              <w:t>投标无效</w:t>
            </w:r>
            <w:r>
              <w:rPr>
                <w:rFonts w:hint="eastAsia"/>
                <w:color w:val="auto"/>
              </w:rPr>
              <w:t>。</w:t>
            </w:r>
          </w:p>
          <w:p>
            <w:pPr>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招标文件技术指标中标注“▲”号指标共</w:t>
            </w:r>
            <w:r>
              <w:rPr>
                <w:rFonts w:hint="eastAsia"/>
                <w:color w:val="auto"/>
                <w:lang w:val="en-US" w:eastAsia="zh-CN"/>
              </w:rPr>
              <w:t>10项，合</w:t>
            </w:r>
            <w:r>
              <w:rPr>
                <w:rFonts w:hint="eastAsia"/>
                <w:color w:val="auto"/>
              </w:rPr>
              <w:t>计3</w:t>
            </w:r>
            <w:r>
              <w:rPr>
                <w:color w:val="auto"/>
              </w:rPr>
              <w:t>0</w:t>
            </w:r>
            <w:r>
              <w:rPr>
                <w:rFonts w:hint="eastAsia"/>
                <w:color w:val="auto"/>
              </w:rPr>
              <w:t>分，每有一条技术指标出现负偏离扣3分；</w:t>
            </w:r>
          </w:p>
          <w:p>
            <w:pPr>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标注“#”</w:t>
            </w:r>
            <w:r>
              <w:rPr>
                <w:rFonts w:hint="eastAsia"/>
                <w:color w:val="auto"/>
              </w:rPr>
              <w:t>号</w:t>
            </w:r>
            <w:r>
              <w:rPr>
                <w:rFonts w:hint="eastAsia"/>
                <w:color w:val="auto"/>
                <w:lang w:val="en-US" w:eastAsia="zh-CN"/>
              </w:rPr>
              <w:t>的</w:t>
            </w:r>
            <w:r>
              <w:rPr>
                <w:rFonts w:hint="eastAsia"/>
                <w:color w:val="auto"/>
              </w:rPr>
              <w:t>指标共</w:t>
            </w:r>
            <w:r>
              <w:rPr>
                <w:rFonts w:hint="eastAsia"/>
                <w:color w:val="auto"/>
                <w:lang w:val="en-US" w:eastAsia="zh-CN"/>
              </w:rPr>
              <w:t>15项，合计</w:t>
            </w:r>
            <w:r>
              <w:rPr>
                <w:rFonts w:hint="eastAsia"/>
                <w:color w:val="auto"/>
              </w:rPr>
              <w:t>15分，每有一条技术指标出现负偏离扣</w:t>
            </w:r>
            <w:r>
              <w:rPr>
                <w:color w:val="auto"/>
              </w:rPr>
              <w:t>1</w:t>
            </w:r>
            <w:r>
              <w:rPr>
                <w:rFonts w:hint="eastAsia"/>
                <w:color w:val="auto"/>
              </w:rPr>
              <w:t>分；</w:t>
            </w:r>
          </w:p>
          <w:p>
            <w:pPr>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无标识指标共2分，完全满足得2分，如有任何负偏离得0分。</w:t>
            </w:r>
          </w:p>
        </w:tc>
        <w:tc>
          <w:tcPr>
            <w:tcW w:w="1274" w:type="dxa"/>
            <w:vMerge w:val="restart"/>
            <w:shd w:val="clear" w:color="auto" w:fill="auto"/>
            <w:vAlign w:val="center"/>
          </w:tcPr>
          <w:p>
            <w:pPr>
              <w:jc w:val="center"/>
              <w:rPr>
                <w:color w:val="auto"/>
              </w:rPr>
            </w:pPr>
            <w:r>
              <w:rPr>
                <w:rFonts w:hint="eastAsia"/>
                <w:color w:val="auto"/>
              </w:rPr>
              <w:t>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continue"/>
            <w:vAlign w:val="center"/>
          </w:tcPr>
          <w:p>
            <w:pPr>
              <w:rPr>
                <w:color w:val="auto"/>
              </w:rPr>
            </w:pPr>
          </w:p>
        </w:tc>
        <w:tc>
          <w:tcPr>
            <w:tcW w:w="1055" w:type="dxa"/>
            <w:vMerge w:val="continue"/>
            <w:vAlign w:val="center"/>
          </w:tcPr>
          <w:p>
            <w:pPr>
              <w:rPr>
                <w:color w:val="auto"/>
              </w:rPr>
            </w:pPr>
          </w:p>
        </w:tc>
        <w:tc>
          <w:tcPr>
            <w:tcW w:w="961" w:type="dxa"/>
            <w:vMerge w:val="continue"/>
            <w:vAlign w:val="center"/>
          </w:tcPr>
          <w:p>
            <w:pPr>
              <w:rPr>
                <w:color w:val="auto"/>
              </w:rPr>
            </w:pPr>
          </w:p>
        </w:tc>
        <w:tc>
          <w:tcPr>
            <w:tcW w:w="4431" w:type="dxa"/>
            <w:shd w:val="clear" w:color="auto" w:fill="auto"/>
            <w:vAlign w:val="center"/>
          </w:tcPr>
          <w:p>
            <w:pPr>
              <w:rPr>
                <w:rFonts w:hint="default"/>
                <w:color w:val="auto"/>
                <w:lang w:val="en-US"/>
              </w:rPr>
            </w:pPr>
            <w:r>
              <w:rPr>
                <w:rFonts w:hint="eastAsia"/>
                <w:color w:val="auto"/>
              </w:rPr>
              <w:t>备注：供应商在响应技术要求时，应按照</w:t>
            </w:r>
            <w:r>
              <w:rPr>
                <w:rFonts w:hint="eastAsia"/>
                <w:color w:val="auto"/>
                <w:lang w:eastAsia="zh-CN"/>
              </w:rPr>
              <w:t>“</w:t>
            </w:r>
            <w:r>
              <w:rPr>
                <w:rFonts w:hint="eastAsia"/>
                <w:color w:val="auto"/>
                <w:lang w:val="en-US" w:eastAsia="zh-CN"/>
              </w:rPr>
              <w:t>第五章采购需求中二、技术</w:t>
            </w:r>
            <w:r>
              <w:rPr>
                <w:rFonts w:hint="eastAsia"/>
                <w:color w:val="auto"/>
              </w:rPr>
              <w:t>要求</w:t>
            </w:r>
            <w:r>
              <w:rPr>
                <w:rFonts w:hint="eastAsia"/>
                <w:color w:val="auto"/>
                <w:lang w:eastAsia="zh-CN"/>
              </w:rPr>
              <w:t>”</w:t>
            </w:r>
            <w:r>
              <w:rPr>
                <w:rFonts w:hint="eastAsia"/>
                <w:color w:val="auto"/>
                <w:lang w:val="en-US" w:eastAsia="zh-CN"/>
              </w:rPr>
              <w:t>分项指标的要求</w:t>
            </w:r>
            <w:r>
              <w:rPr>
                <w:rFonts w:hint="eastAsia"/>
                <w:color w:val="auto"/>
              </w:rPr>
              <w:t>提交</w:t>
            </w:r>
            <w:r>
              <w:rPr>
                <w:rFonts w:hint="eastAsia"/>
                <w:color w:val="auto"/>
                <w:lang w:val="en-US" w:eastAsia="zh-CN"/>
              </w:rPr>
              <w:t>符合要求的证明材料</w:t>
            </w:r>
            <w:r>
              <w:rPr>
                <w:rFonts w:hint="eastAsia"/>
                <w:color w:val="auto"/>
              </w:rPr>
              <w:t>，</w:t>
            </w:r>
            <w:r>
              <w:rPr>
                <w:rFonts w:hint="eastAsia"/>
                <w:color w:val="auto"/>
                <w:lang w:val="en-US" w:eastAsia="zh-CN"/>
              </w:rPr>
              <w:t>并在“采购需求偏离表”中准确标注证明材料所在页码。</w:t>
            </w:r>
            <w:r>
              <w:rPr>
                <w:rFonts w:hint="eastAsia"/>
                <w:color w:val="auto"/>
              </w:rPr>
              <w:t>若</w:t>
            </w:r>
            <w:r>
              <w:rPr>
                <w:rFonts w:hint="eastAsia"/>
                <w:color w:val="auto"/>
                <w:lang w:val="en-US" w:eastAsia="zh-CN"/>
              </w:rPr>
              <w:t>不满足以上</w:t>
            </w:r>
            <w:r>
              <w:rPr>
                <w:rFonts w:hint="eastAsia"/>
                <w:color w:val="auto"/>
              </w:rPr>
              <w:t>要求</w:t>
            </w:r>
            <w:r>
              <w:rPr>
                <w:rFonts w:hint="eastAsia"/>
                <w:color w:val="auto"/>
                <w:lang w:eastAsia="zh-CN"/>
              </w:rPr>
              <w:t>，</w:t>
            </w:r>
            <w:r>
              <w:rPr>
                <w:rFonts w:hint="eastAsia"/>
                <w:color w:val="auto"/>
                <w:lang w:val="en-US" w:eastAsia="zh-CN"/>
              </w:rPr>
              <w:t>或提供的证明材料无法证明指标要求，评标委员会均有权认定该项指标不满足。</w:t>
            </w:r>
          </w:p>
        </w:tc>
        <w:tc>
          <w:tcPr>
            <w:tcW w:w="1274" w:type="dxa"/>
            <w:vMerge w:val="continue"/>
            <w:vAlign w:val="center"/>
          </w:tcPr>
          <w:p>
            <w:pPr>
              <w:jc w:val="center"/>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continue"/>
            <w:vAlign w:val="center"/>
          </w:tcPr>
          <w:p>
            <w:pPr>
              <w:rPr>
                <w:color w:val="auto"/>
              </w:rPr>
            </w:pPr>
          </w:p>
        </w:tc>
        <w:tc>
          <w:tcPr>
            <w:tcW w:w="1055" w:type="dxa"/>
            <w:vMerge w:val="restart"/>
            <w:shd w:val="clear" w:color="auto" w:fill="auto"/>
            <w:vAlign w:val="center"/>
          </w:tcPr>
          <w:p>
            <w:pPr>
              <w:rPr>
                <w:rFonts w:hint="eastAsia" w:eastAsia="宋体"/>
                <w:color w:val="auto"/>
                <w:lang w:val="en-US" w:eastAsia="zh-CN"/>
              </w:rPr>
            </w:pPr>
            <w:r>
              <w:rPr>
                <w:rFonts w:hint="eastAsia"/>
                <w:color w:val="auto"/>
              </w:rPr>
              <w:t>服务</w:t>
            </w:r>
            <w:r>
              <w:rPr>
                <w:rFonts w:hint="eastAsia"/>
                <w:color w:val="auto"/>
                <w:lang w:val="en-US" w:eastAsia="zh-CN"/>
              </w:rPr>
              <w:t>响应</w:t>
            </w:r>
          </w:p>
        </w:tc>
        <w:tc>
          <w:tcPr>
            <w:tcW w:w="961" w:type="dxa"/>
            <w:vMerge w:val="restart"/>
            <w:shd w:val="clear" w:color="auto" w:fill="auto"/>
            <w:vAlign w:val="center"/>
          </w:tcPr>
          <w:p>
            <w:pPr>
              <w:rPr>
                <w:color w:val="auto"/>
              </w:rPr>
            </w:pPr>
            <w:r>
              <w:rPr>
                <w:rFonts w:hint="eastAsia"/>
                <w:color w:val="auto"/>
              </w:rPr>
              <w:t>满足服务要求指标情况</w:t>
            </w:r>
          </w:p>
        </w:tc>
        <w:tc>
          <w:tcPr>
            <w:tcW w:w="4431" w:type="dxa"/>
            <w:shd w:val="clear" w:color="auto" w:fill="auto"/>
            <w:vAlign w:val="center"/>
          </w:tcPr>
          <w:p>
            <w:pPr>
              <w:rPr>
                <w:rFonts w:hint="eastAsia"/>
                <w:color w:val="auto"/>
              </w:rPr>
            </w:pPr>
            <w:r>
              <w:rPr>
                <w:rFonts w:hint="eastAsia"/>
                <w:color w:val="auto"/>
              </w:rPr>
              <w:t>服务指标应逐条</w:t>
            </w:r>
            <w:r>
              <w:rPr>
                <w:rFonts w:hint="eastAsia"/>
                <w:color w:val="auto"/>
                <w:lang w:val="en-US" w:eastAsia="zh-CN"/>
              </w:rPr>
              <w:t>响应应答</w:t>
            </w:r>
            <w:r>
              <w:rPr>
                <w:rFonts w:hint="eastAsia"/>
                <w:color w:val="auto"/>
              </w:rPr>
              <w:t>招标文件中的服务要求，完全满足</w:t>
            </w:r>
            <w:r>
              <w:rPr>
                <w:rFonts w:hint="eastAsia"/>
                <w:color w:val="auto"/>
                <w:lang w:val="en-US" w:eastAsia="zh-CN"/>
              </w:rPr>
              <w:t>或优于得满分7分</w:t>
            </w:r>
            <w:r>
              <w:rPr>
                <w:rFonts w:hint="eastAsia"/>
                <w:color w:val="auto"/>
              </w:rPr>
              <w:t>；</w:t>
            </w:r>
          </w:p>
          <w:p>
            <w:pPr>
              <w:rPr>
                <w:rFonts w:hint="eastAsia"/>
                <w:color w:val="auto"/>
                <w:lang w:val="en-US" w:eastAsia="zh-CN"/>
              </w:rPr>
            </w:pPr>
            <w:r>
              <w:rPr>
                <w:rFonts w:hint="eastAsia"/>
                <w:color w:val="auto"/>
                <w:lang w:val="en-US" w:eastAsia="zh-CN"/>
              </w:rPr>
              <w:t>若出现负偏离根据指标重要程度处理如下：</w:t>
            </w:r>
          </w:p>
          <w:p>
            <w:pPr>
              <w:rPr>
                <w:rFonts w:hint="eastAsia"/>
                <w:color w:val="auto"/>
                <w:lang w:eastAsia="zh-CN"/>
              </w:rPr>
            </w:pPr>
            <w:r>
              <w:rPr>
                <w:rFonts w:hint="eastAsia"/>
                <w:color w:val="auto"/>
                <w:lang w:val="en-US" w:eastAsia="zh-CN"/>
              </w:rPr>
              <w:t>【1】</w:t>
            </w:r>
            <w:r>
              <w:rPr>
                <w:rFonts w:hint="eastAsia"/>
                <w:color w:val="auto"/>
              </w:rPr>
              <w:t>招标文件</w:t>
            </w:r>
            <w:r>
              <w:rPr>
                <w:rFonts w:hint="eastAsia"/>
                <w:color w:val="auto"/>
                <w:lang w:val="en-US" w:eastAsia="zh-CN"/>
              </w:rPr>
              <w:t>服务要求</w:t>
            </w:r>
            <w:r>
              <w:rPr>
                <w:rFonts w:hint="eastAsia"/>
                <w:color w:val="auto"/>
              </w:rPr>
              <w:t>中标注“★”号的为必须满足指标，</w:t>
            </w:r>
            <w:r>
              <w:rPr>
                <w:rFonts w:hint="eastAsia"/>
                <w:color w:val="auto"/>
                <w:lang w:val="en-US" w:eastAsia="zh-CN"/>
              </w:rPr>
              <w:t>若出现负偏离</w:t>
            </w:r>
            <w:r>
              <w:rPr>
                <w:rFonts w:hint="eastAsia"/>
                <w:color w:val="auto"/>
              </w:rPr>
              <w:t>投标无效</w:t>
            </w:r>
            <w:r>
              <w:rPr>
                <w:rFonts w:hint="eastAsia"/>
                <w:color w:val="auto"/>
                <w:lang w:eastAsia="zh-CN"/>
              </w:rPr>
              <w:t>；</w:t>
            </w:r>
          </w:p>
          <w:p>
            <w:pPr>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招标文件</w:t>
            </w:r>
            <w:r>
              <w:rPr>
                <w:rFonts w:hint="eastAsia"/>
                <w:color w:val="auto"/>
                <w:lang w:val="en-US" w:eastAsia="zh-CN"/>
              </w:rPr>
              <w:t>服务要求</w:t>
            </w:r>
            <w:r>
              <w:rPr>
                <w:rFonts w:hint="eastAsia"/>
                <w:color w:val="auto"/>
              </w:rPr>
              <w:t>中标注“▲”号</w:t>
            </w:r>
            <w:r>
              <w:rPr>
                <w:rFonts w:hint="eastAsia"/>
                <w:color w:val="auto"/>
                <w:lang w:val="en-US" w:eastAsia="zh-CN"/>
              </w:rPr>
              <w:t>的</w:t>
            </w:r>
            <w:r>
              <w:rPr>
                <w:rFonts w:hint="eastAsia"/>
                <w:color w:val="auto"/>
              </w:rPr>
              <w:t>指标，每有一条指标出现负偏离扣3分</w:t>
            </w:r>
            <w:r>
              <w:rPr>
                <w:rFonts w:hint="eastAsia"/>
                <w:color w:val="auto"/>
                <w:lang w:eastAsia="zh-CN"/>
              </w:rPr>
              <w:t>；</w:t>
            </w:r>
          </w:p>
          <w:p>
            <w:pPr>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招标文件</w:t>
            </w:r>
            <w:r>
              <w:rPr>
                <w:rFonts w:hint="eastAsia"/>
                <w:color w:val="auto"/>
                <w:lang w:val="en-US" w:eastAsia="zh-CN"/>
              </w:rPr>
              <w:t>服务要求</w:t>
            </w:r>
            <w:r>
              <w:rPr>
                <w:rFonts w:hint="eastAsia"/>
                <w:color w:val="auto"/>
              </w:rPr>
              <w:t>中无标识的指标，每有一条指标出现负偏离扣1分，本项最低得0分。</w:t>
            </w:r>
          </w:p>
        </w:tc>
        <w:tc>
          <w:tcPr>
            <w:tcW w:w="1274" w:type="dxa"/>
            <w:vMerge w:val="restart"/>
            <w:shd w:val="clear" w:color="auto" w:fill="auto"/>
            <w:vAlign w:val="center"/>
          </w:tcPr>
          <w:p>
            <w:pPr>
              <w:jc w:val="center"/>
              <w:rPr>
                <w:color w:val="auto"/>
              </w:rPr>
            </w:pPr>
            <w:r>
              <w:rPr>
                <w:rFonts w:hint="eastAsia"/>
                <w:color w:val="auto"/>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continue"/>
            <w:vAlign w:val="center"/>
          </w:tcPr>
          <w:p>
            <w:pPr>
              <w:rPr>
                <w:color w:val="auto"/>
              </w:rPr>
            </w:pPr>
          </w:p>
        </w:tc>
        <w:tc>
          <w:tcPr>
            <w:tcW w:w="1055" w:type="dxa"/>
            <w:vMerge w:val="continue"/>
            <w:vAlign w:val="center"/>
          </w:tcPr>
          <w:p>
            <w:pPr>
              <w:rPr>
                <w:color w:val="auto"/>
              </w:rPr>
            </w:pPr>
          </w:p>
        </w:tc>
        <w:tc>
          <w:tcPr>
            <w:tcW w:w="961" w:type="dxa"/>
            <w:vMerge w:val="continue"/>
            <w:vAlign w:val="center"/>
          </w:tcPr>
          <w:p>
            <w:pPr>
              <w:rPr>
                <w:color w:val="auto"/>
              </w:rPr>
            </w:pPr>
          </w:p>
        </w:tc>
        <w:tc>
          <w:tcPr>
            <w:tcW w:w="4431" w:type="dxa"/>
            <w:shd w:val="clear" w:color="auto" w:fill="auto"/>
            <w:vAlign w:val="center"/>
          </w:tcPr>
          <w:p>
            <w:pPr>
              <w:rPr>
                <w:rFonts w:hint="eastAsia" w:eastAsia="宋体"/>
                <w:color w:val="auto"/>
                <w:lang w:eastAsia="zh-CN"/>
              </w:rPr>
            </w:pPr>
            <w:r>
              <w:rPr>
                <w:rFonts w:hint="eastAsia"/>
                <w:color w:val="auto"/>
              </w:rPr>
              <w:t>备注：供应商在</w:t>
            </w:r>
            <w:r>
              <w:rPr>
                <w:rFonts w:hint="eastAsia"/>
                <w:color w:val="auto"/>
                <w:lang w:val="en-US" w:eastAsia="zh-CN"/>
              </w:rPr>
              <w:t>响应服务</w:t>
            </w:r>
            <w:r>
              <w:rPr>
                <w:rFonts w:hint="eastAsia"/>
                <w:color w:val="auto"/>
              </w:rPr>
              <w:t>要求时，应按照</w:t>
            </w:r>
            <w:r>
              <w:rPr>
                <w:rFonts w:hint="eastAsia"/>
                <w:color w:val="auto"/>
                <w:lang w:eastAsia="zh-CN"/>
              </w:rPr>
              <w:t>“</w:t>
            </w:r>
            <w:r>
              <w:rPr>
                <w:rFonts w:hint="eastAsia"/>
                <w:color w:val="auto"/>
                <w:lang w:val="en-US" w:eastAsia="zh-CN"/>
              </w:rPr>
              <w:t>第五章采购需求中四、服务</w:t>
            </w:r>
            <w:r>
              <w:rPr>
                <w:rFonts w:hint="eastAsia"/>
                <w:color w:val="auto"/>
              </w:rPr>
              <w:t>要求</w:t>
            </w:r>
            <w:r>
              <w:rPr>
                <w:rFonts w:hint="eastAsia"/>
                <w:color w:val="auto"/>
                <w:lang w:eastAsia="zh-CN"/>
              </w:rPr>
              <w:t>”</w:t>
            </w:r>
            <w:r>
              <w:rPr>
                <w:rFonts w:hint="eastAsia"/>
                <w:color w:val="auto"/>
                <w:lang w:val="en-US" w:eastAsia="zh-CN"/>
              </w:rPr>
              <w:t>分项指标的要求</w:t>
            </w:r>
            <w:r>
              <w:rPr>
                <w:rFonts w:hint="eastAsia"/>
                <w:color w:val="auto"/>
              </w:rPr>
              <w:t>提交</w:t>
            </w:r>
            <w:r>
              <w:rPr>
                <w:rFonts w:hint="eastAsia"/>
                <w:color w:val="auto"/>
                <w:lang w:val="en-US" w:eastAsia="zh-CN"/>
              </w:rPr>
              <w:t>符合要求的证明材料</w:t>
            </w:r>
            <w:r>
              <w:rPr>
                <w:rFonts w:hint="eastAsia"/>
                <w:color w:val="auto"/>
              </w:rPr>
              <w:t>，若未按照要求提供相应</w:t>
            </w:r>
            <w:r>
              <w:rPr>
                <w:rFonts w:hint="eastAsia"/>
                <w:color w:val="auto"/>
                <w:lang w:val="en-US" w:eastAsia="zh-CN"/>
              </w:rPr>
              <w:t>证明材料</w:t>
            </w:r>
            <w:r>
              <w:rPr>
                <w:rFonts w:hint="eastAsia"/>
                <w:color w:val="auto"/>
              </w:rPr>
              <w:t>，不予认可</w:t>
            </w:r>
            <w:r>
              <w:rPr>
                <w:rFonts w:hint="eastAsia"/>
                <w:color w:val="auto"/>
                <w:lang w:eastAsia="zh-CN"/>
              </w:rPr>
              <w:t>。</w:t>
            </w:r>
          </w:p>
        </w:tc>
        <w:tc>
          <w:tcPr>
            <w:tcW w:w="1274" w:type="dxa"/>
            <w:vMerge w:val="continue"/>
            <w:vAlign w:val="center"/>
          </w:tcPr>
          <w:p>
            <w:pPr>
              <w:jc w:val="center"/>
              <w:rPr>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restart"/>
            <w:shd w:val="clear" w:color="auto" w:fill="auto"/>
            <w:vAlign w:val="center"/>
          </w:tcPr>
          <w:p>
            <w:pPr>
              <w:rPr>
                <w:color w:val="auto"/>
              </w:rPr>
            </w:pPr>
            <w:r>
              <w:rPr>
                <w:rFonts w:hint="eastAsia"/>
                <w:color w:val="auto"/>
              </w:rPr>
              <w:t>主观分</w:t>
            </w:r>
          </w:p>
        </w:tc>
        <w:tc>
          <w:tcPr>
            <w:tcW w:w="1055" w:type="dxa"/>
            <w:vMerge w:val="restart"/>
            <w:shd w:val="clear" w:color="auto" w:fill="auto"/>
            <w:vAlign w:val="center"/>
          </w:tcPr>
          <w:p>
            <w:pPr>
              <w:rPr>
                <w:color w:val="auto"/>
              </w:rPr>
            </w:pPr>
            <w:r>
              <w:rPr>
                <w:rFonts w:hint="eastAsia"/>
                <w:color w:val="auto"/>
              </w:rPr>
              <w:t>技术及服务部分</w:t>
            </w:r>
          </w:p>
        </w:tc>
        <w:tc>
          <w:tcPr>
            <w:tcW w:w="961" w:type="dxa"/>
            <w:shd w:val="clear" w:color="auto" w:fill="auto"/>
            <w:vAlign w:val="center"/>
          </w:tcPr>
          <w:p>
            <w:pPr>
              <w:rPr>
                <w:color w:val="auto"/>
              </w:rPr>
            </w:pPr>
            <w:r>
              <w:rPr>
                <w:rFonts w:hint="eastAsia"/>
                <w:color w:val="auto"/>
              </w:rPr>
              <w:t>布线及集成方案</w:t>
            </w:r>
          </w:p>
        </w:tc>
        <w:tc>
          <w:tcPr>
            <w:tcW w:w="4431" w:type="dxa"/>
            <w:shd w:val="clear" w:color="auto" w:fill="auto"/>
            <w:vAlign w:val="center"/>
          </w:tcPr>
          <w:p>
            <w:pPr>
              <w:rPr>
                <w:color w:val="auto"/>
              </w:rPr>
            </w:pPr>
            <w:r>
              <w:rPr>
                <w:rFonts w:hint="eastAsia"/>
                <w:color w:val="auto"/>
              </w:rPr>
              <w:t>布线方案具有高度灵活性、可靠性、易扩展性、线路传输性，集成方案明确清晰，可操作性强。完全满足得2分、部分满足得1分，不满足或未提供得0分。</w:t>
            </w:r>
          </w:p>
        </w:tc>
        <w:tc>
          <w:tcPr>
            <w:tcW w:w="1274" w:type="dxa"/>
            <w:shd w:val="clear" w:color="auto" w:fill="auto"/>
            <w:vAlign w:val="center"/>
          </w:tcPr>
          <w:p>
            <w:pPr>
              <w:jc w:val="center"/>
              <w:rPr>
                <w:color w:val="auto"/>
              </w:rPr>
            </w:pPr>
            <w:r>
              <w:rPr>
                <w:rFonts w:hint="eastAsia"/>
                <w:color w:val="auto"/>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continue"/>
            <w:vAlign w:val="center"/>
          </w:tcPr>
          <w:p>
            <w:pPr>
              <w:rPr>
                <w:color w:val="auto"/>
              </w:rPr>
            </w:pPr>
          </w:p>
        </w:tc>
        <w:tc>
          <w:tcPr>
            <w:tcW w:w="1055" w:type="dxa"/>
            <w:vMerge w:val="continue"/>
            <w:vAlign w:val="center"/>
          </w:tcPr>
          <w:p>
            <w:pPr>
              <w:rPr>
                <w:color w:val="auto"/>
              </w:rPr>
            </w:pPr>
          </w:p>
        </w:tc>
        <w:tc>
          <w:tcPr>
            <w:tcW w:w="961" w:type="dxa"/>
            <w:shd w:val="clear" w:color="auto" w:fill="auto"/>
            <w:vAlign w:val="center"/>
          </w:tcPr>
          <w:p>
            <w:pPr>
              <w:rPr>
                <w:color w:val="auto"/>
              </w:rPr>
            </w:pPr>
            <w:r>
              <w:rPr>
                <w:rFonts w:hint="eastAsia"/>
                <w:color w:val="auto"/>
              </w:rPr>
              <w:t>技术方案及产品性能</w:t>
            </w:r>
          </w:p>
        </w:tc>
        <w:tc>
          <w:tcPr>
            <w:tcW w:w="4431" w:type="dxa"/>
            <w:shd w:val="clear" w:color="auto" w:fill="auto"/>
            <w:vAlign w:val="center"/>
          </w:tcPr>
          <w:p>
            <w:pPr>
              <w:rPr>
                <w:color w:val="auto"/>
              </w:rPr>
            </w:pPr>
            <w:r>
              <w:rPr>
                <w:rFonts w:hint="eastAsia"/>
                <w:color w:val="auto"/>
              </w:rPr>
              <w:t>投标人响应产品技术先进，性能稳定、升级扩展性强，规划合理、详尽，可行性强，技术方案科学、合理、详尽，可行性强，完全满足需求得 4 分； 产品选型能够满足采购项目要求，技术方案全面、合理，部分满足采购需求得 2分； 产品选型能够满足采购项目基本要求，响应中包含整体技术方案，但缺少项目针对性、合理性，不满足采购需求得 1 分，不提供得0分</w:t>
            </w:r>
          </w:p>
        </w:tc>
        <w:tc>
          <w:tcPr>
            <w:tcW w:w="1274" w:type="dxa"/>
            <w:shd w:val="clear" w:color="auto" w:fill="auto"/>
            <w:vAlign w:val="center"/>
          </w:tcPr>
          <w:p>
            <w:pPr>
              <w:jc w:val="center"/>
              <w:rPr>
                <w:color w:val="auto"/>
              </w:rPr>
            </w:pPr>
            <w:r>
              <w:rPr>
                <w:rFonts w:hint="eastAsia"/>
                <w:color w:val="auto"/>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continue"/>
            <w:vAlign w:val="center"/>
          </w:tcPr>
          <w:p>
            <w:pPr>
              <w:rPr>
                <w:color w:val="auto"/>
              </w:rPr>
            </w:pPr>
          </w:p>
        </w:tc>
        <w:tc>
          <w:tcPr>
            <w:tcW w:w="1055" w:type="dxa"/>
            <w:vMerge w:val="continue"/>
            <w:vAlign w:val="center"/>
          </w:tcPr>
          <w:p>
            <w:pPr>
              <w:rPr>
                <w:color w:val="auto"/>
              </w:rPr>
            </w:pPr>
          </w:p>
        </w:tc>
        <w:tc>
          <w:tcPr>
            <w:tcW w:w="961" w:type="dxa"/>
            <w:shd w:val="clear" w:color="auto" w:fill="auto"/>
            <w:vAlign w:val="center"/>
          </w:tcPr>
          <w:p>
            <w:pPr>
              <w:rPr>
                <w:color w:val="auto"/>
              </w:rPr>
            </w:pPr>
            <w:r>
              <w:rPr>
                <w:rFonts w:hint="eastAsia"/>
                <w:color w:val="auto"/>
              </w:rPr>
              <w:t>实施方案</w:t>
            </w:r>
          </w:p>
        </w:tc>
        <w:tc>
          <w:tcPr>
            <w:tcW w:w="4431" w:type="dxa"/>
            <w:shd w:val="clear" w:color="auto" w:fill="auto"/>
            <w:vAlign w:val="center"/>
          </w:tcPr>
          <w:p>
            <w:pPr>
              <w:rPr>
                <w:color w:val="auto"/>
              </w:rPr>
            </w:pPr>
            <w:r>
              <w:rPr>
                <w:rFonts w:hint="eastAsia"/>
                <w:color w:val="auto"/>
              </w:rPr>
              <w:t>实施方案详尽，科学，合理，项目团队人员配备充足，技术能力出众，人员分工合理，项目实施关键时间节点清晰，完全满足采购需求得4分；实施方案较为合理，项目团队人员分工合理，响应方案中包括项目进度控制措施，部分满足采购需求得 2分； 投标人对实施方案进行了响应，但缺少详细方案，无法满足采购需求得 1分；没有得0分</w:t>
            </w:r>
          </w:p>
        </w:tc>
        <w:tc>
          <w:tcPr>
            <w:tcW w:w="1274" w:type="dxa"/>
            <w:shd w:val="clear" w:color="auto" w:fill="auto"/>
            <w:vAlign w:val="center"/>
          </w:tcPr>
          <w:p>
            <w:pPr>
              <w:jc w:val="center"/>
              <w:rPr>
                <w:color w:val="auto"/>
              </w:rPr>
            </w:pPr>
            <w:r>
              <w:rPr>
                <w:rFonts w:hint="eastAsia"/>
                <w:color w:val="auto"/>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16" w:type="dxa"/>
            <w:vMerge w:val="continue"/>
            <w:vAlign w:val="center"/>
          </w:tcPr>
          <w:p>
            <w:pPr>
              <w:rPr>
                <w:color w:val="auto"/>
              </w:rPr>
            </w:pPr>
          </w:p>
        </w:tc>
        <w:tc>
          <w:tcPr>
            <w:tcW w:w="1055" w:type="dxa"/>
            <w:vMerge w:val="continue"/>
            <w:vAlign w:val="center"/>
          </w:tcPr>
          <w:p>
            <w:pPr>
              <w:rPr>
                <w:color w:val="auto"/>
              </w:rPr>
            </w:pPr>
          </w:p>
        </w:tc>
        <w:tc>
          <w:tcPr>
            <w:tcW w:w="961" w:type="dxa"/>
            <w:shd w:val="clear" w:color="auto" w:fill="auto"/>
            <w:vAlign w:val="center"/>
          </w:tcPr>
          <w:p>
            <w:pPr>
              <w:rPr>
                <w:color w:val="auto"/>
              </w:rPr>
            </w:pPr>
            <w:r>
              <w:rPr>
                <w:rFonts w:hint="eastAsia"/>
                <w:color w:val="auto"/>
              </w:rPr>
              <w:t>培训及售后服务方案</w:t>
            </w:r>
          </w:p>
        </w:tc>
        <w:tc>
          <w:tcPr>
            <w:tcW w:w="4431" w:type="dxa"/>
            <w:shd w:val="clear" w:color="auto" w:fill="auto"/>
            <w:vAlign w:val="center"/>
          </w:tcPr>
          <w:p>
            <w:pPr>
              <w:rPr>
                <w:color w:val="auto"/>
              </w:rPr>
            </w:pPr>
            <w:r>
              <w:rPr>
                <w:rFonts w:hint="eastAsia"/>
                <w:color w:val="auto"/>
              </w:rPr>
              <w:t>综合考虑①售后服务内容；②产品质保期；③售后服务响应时间；④售后服务机构及人员设置等提供的售后服务方案，⑤培训方案的完整性、全面性和可操作性。针对①-⑤项，每项阐述完备详尽，措施合理，完全保障采购需求的得1分，阐述不充分或措施保障力度不当，部分满足采购需求的得0.5分，阐述不符合采购需求得0分，本项满分5分。</w:t>
            </w:r>
          </w:p>
        </w:tc>
        <w:tc>
          <w:tcPr>
            <w:tcW w:w="1274" w:type="dxa"/>
            <w:shd w:val="clear" w:color="auto" w:fill="auto"/>
            <w:vAlign w:val="center"/>
          </w:tcPr>
          <w:p>
            <w:pPr>
              <w:jc w:val="center"/>
              <w:rPr>
                <w:color w:val="auto"/>
              </w:rPr>
            </w:pPr>
            <w:r>
              <w:rPr>
                <w:rFonts w:hint="eastAsia"/>
                <w:color w:val="auto"/>
              </w:rPr>
              <w:t>5</w:t>
            </w:r>
          </w:p>
        </w:tc>
      </w:tr>
    </w:tbl>
    <w:p>
      <w:pPr>
        <w:pStyle w:val="4"/>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784" w:name="_Toc14590"/>
      <w:r>
        <w:rPr>
          <w:rFonts w:ascii="宋体" w:hAnsi="宋体"/>
          <w:b/>
          <w:sz w:val="36"/>
          <w:szCs w:val="36"/>
        </w:rPr>
        <w:t>第五章  采购需求</w:t>
      </w:r>
      <w:bookmarkEnd w:id="784"/>
    </w:p>
    <w:p>
      <w:pPr>
        <w:pStyle w:val="3"/>
        <w:rPr>
          <w:rFonts w:hint="default" w:ascii="宋体" w:hAnsi="宋体" w:eastAsia="宋体"/>
          <w:sz w:val="28"/>
          <w:lang w:val="en-US" w:eastAsia="zh-CN"/>
        </w:rPr>
      </w:pPr>
      <w:r>
        <w:rPr>
          <w:rFonts w:hint="eastAsia" w:ascii="宋体" w:hAnsi="宋体" w:eastAsia="宋体"/>
          <w:sz w:val="28"/>
        </w:rPr>
        <w:t>第一部分：</w:t>
      </w:r>
      <w:r>
        <w:rPr>
          <w:rFonts w:hint="eastAsia" w:ascii="宋体" w:hAnsi="宋体" w:eastAsia="宋体" w:cs="宋体"/>
          <w:sz w:val="28"/>
          <w:szCs w:val="36"/>
        </w:rPr>
        <w:t>采购清单</w:t>
      </w:r>
    </w:p>
    <w:tbl>
      <w:tblPr>
        <w:tblStyle w:val="4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6"/>
        <w:gridCol w:w="4179"/>
        <w:gridCol w:w="981"/>
        <w:gridCol w:w="1510"/>
        <w:gridCol w:w="12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000000" w:fill="E7E6E6"/>
            <w:noWrap/>
            <w:vAlign w:val="center"/>
          </w:tcPr>
          <w:p>
            <w:r>
              <w:rPr>
                <w:rFonts w:hint="eastAsia"/>
              </w:rPr>
              <w:t>序号</w:t>
            </w:r>
          </w:p>
        </w:tc>
        <w:tc>
          <w:tcPr>
            <w:tcW w:w="2451" w:type="pct"/>
            <w:shd w:val="clear" w:color="000000" w:fill="E7E6E6"/>
            <w:noWrap/>
            <w:vAlign w:val="center"/>
          </w:tcPr>
          <w:p>
            <w:r>
              <w:rPr>
                <w:rFonts w:hint="eastAsia"/>
              </w:rPr>
              <w:t>货物名称</w:t>
            </w:r>
          </w:p>
        </w:tc>
        <w:tc>
          <w:tcPr>
            <w:tcW w:w="575" w:type="pct"/>
            <w:shd w:val="clear" w:color="000000" w:fill="E7E6E6"/>
            <w:noWrap/>
            <w:vAlign w:val="center"/>
          </w:tcPr>
          <w:p>
            <w:r>
              <w:rPr>
                <w:rFonts w:hint="eastAsia"/>
              </w:rPr>
              <w:t>单位</w:t>
            </w:r>
          </w:p>
        </w:tc>
        <w:tc>
          <w:tcPr>
            <w:tcW w:w="885" w:type="pct"/>
            <w:shd w:val="clear" w:color="000000" w:fill="E7E6E6"/>
            <w:noWrap/>
            <w:vAlign w:val="center"/>
          </w:tcPr>
          <w:p>
            <w:r>
              <w:rPr>
                <w:rFonts w:hint="eastAsia"/>
              </w:rPr>
              <w:t>数量</w:t>
            </w:r>
          </w:p>
        </w:tc>
        <w:tc>
          <w:tcPr>
            <w:tcW w:w="714" w:type="pct"/>
            <w:shd w:val="clear" w:color="000000" w:fill="E7E6E6"/>
            <w:noWrap/>
            <w:vAlign w:val="center"/>
          </w:tcPr>
          <w:p>
            <w:pPr>
              <w:rPr>
                <w:rFonts w:hint="eastAsia"/>
              </w:rPr>
            </w:pPr>
            <w:r>
              <w:rPr>
                <w:rFonts w:hint="eastAsia"/>
              </w:rPr>
              <w:t>是否接受</w:t>
            </w:r>
          </w:p>
          <w:p>
            <w:r>
              <w:rPr>
                <w:rFonts w:hint="eastAsia"/>
              </w:rPr>
              <w:t>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t>1</w:t>
            </w:r>
          </w:p>
        </w:tc>
        <w:tc>
          <w:tcPr>
            <w:tcW w:w="2451" w:type="pct"/>
            <w:shd w:val="clear" w:color="auto" w:fill="auto"/>
            <w:noWrap/>
            <w:vAlign w:val="center"/>
          </w:tcPr>
          <w:p>
            <w:r>
              <w:rPr>
                <w:rFonts w:hint="eastAsia"/>
              </w:rPr>
              <w:t>教学工作站</w:t>
            </w:r>
          </w:p>
        </w:tc>
        <w:tc>
          <w:tcPr>
            <w:tcW w:w="575" w:type="pct"/>
            <w:shd w:val="clear" w:color="auto" w:fill="auto"/>
            <w:noWrap/>
            <w:vAlign w:val="center"/>
          </w:tcPr>
          <w:p>
            <w:r>
              <w:rPr>
                <w:rFonts w:hint="eastAsia"/>
              </w:rPr>
              <w:t>套</w:t>
            </w:r>
          </w:p>
        </w:tc>
        <w:tc>
          <w:tcPr>
            <w:tcW w:w="885" w:type="pct"/>
            <w:shd w:val="clear" w:color="auto" w:fill="auto"/>
            <w:noWrap/>
            <w:vAlign w:val="center"/>
          </w:tcPr>
          <w:p>
            <w:r>
              <w:rPr>
                <w:rFonts w:hint="eastAsia"/>
              </w:rPr>
              <w:t>132</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t>2</w:t>
            </w:r>
          </w:p>
        </w:tc>
        <w:tc>
          <w:tcPr>
            <w:tcW w:w="2451" w:type="pct"/>
            <w:shd w:val="clear" w:color="auto" w:fill="auto"/>
            <w:noWrap/>
            <w:vAlign w:val="center"/>
          </w:tcPr>
          <w:p>
            <w:r>
              <w:rPr>
                <w:rFonts w:hint="eastAsia"/>
              </w:rPr>
              <w:t>交换机</w:t>
            </w:r>
          </w:p>
        </w:tc>
        <w:tc>
          <w:tcPr>
            <w:tcW w:w="575" w:type="pct"/>
            <w:shd w:val="clear" w:color="auto" w:fill="auto"/>
            <w:noWrap/>
            <w:vAlign w:val="center"/>
          </w:tcPr>
          <w:p>
            <w:r>
              <w:rPr>
                <w:rFonts w:hint="eastAsia"/>
              </w:rPr>
              <w:t>台</w:t>
            </w:r>
          </w:p>
        </w:tc>
        <w:tc>
          <w:tcPr>
            <w:tcW w:w="885" w:type="pct"/>
            <w:shd w:val="clear" w:color="auto" w:fill="auto"/>
            <w:noWrap/>
            <w:vAlign w:val="center"/>
          </w:tcPr>
          <w:p>
            <w:r>
              <w:rPr>
                <w:rFonts w:hint="eastAsia"/>
              </w:rPr>
              <w:t>3</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t>3</w:t>
            </w:r>
          </w:p>
        </w:tc>
        <w:tc>
          <w:tcPr>
            <w:tcW w:w="2451" w:type="pct"/>
            <w:shd w:val="clear" w:color="auto" w:fill="auto"/>
            <w:noWrap/>
            <w:vAlign w:val="center"/>
          </w:tcPr>
          <w:p>
            <w:r>
              <w:rPr>
                <w:rFonts w:hint="eastAsia"/>
              </w:rPr>
              <w:t>展示系统</w:t>
            </w:r>
          </w:p>
        </w:tc>
        <w:tc>
          <w:tcPr>
            <w:tcW w:w="575" w:type="pct"/>
            <w:shd w:val="clear" w:color="auto" w:fill="auto"/>
            <w:noWrap/>
            <w:vAlign w:val="center"/>
          </w:tcPr>
          <w:p>
            <w:r>
              <w:rPr>
                <w:rFonts w:hint="eastAsia"/>
              </w:rPr>
              <w:t>套</w:t>
            </w:r>
          </w:p>
        </w:tc>
        <w:tc>
          <w:tcPr>
            <w:tcW w:w="885" w:type="pct"/>
            <w:shd w:val="clear" w:color="auto" w:fill="auto"/>
            <w:noWrap/>
            <w:vAlign w:val="center"/>
          </w:tcPr>
          <w:p>
            <w:r>
              <w:rPr>
                <w:rFonts w:hint="eastAsia"/>
              </w:rPr>
              <w:t>4</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t>4</w:t>
            </w:r>
          </w:p>
        </w:tc>
        <w:tc>
          <w:tcPr>
            <w:tcW w:w="2451" w:type="pct"/>
            <w:shd w:val="clear" w:color="auto" w:fill="auto"/>
            <w:noWrap/>
            <w:vAlign w:val="center"/>
          </w:tcPr>
          <w:p>
            <w:r>
              <w:rPr>
                <w:rFonts w:hint="eastAsia"/>
              </w:rPr>
              <w:t>空气净化系统</w:t>
            </w:r>
          </w:p>
        </w:tc>
        <w:tc>
          <w:tcPr>
            <w:tcW w:w="575" w:type="pct"/>
            <w:shd w:val="clear" w:color="auto" w:fill="auto"/>
            <w:noWrap/>
            <w:vAlign w:val="center"/>
          </w:tcPr>
          <w:p>
            <w:r>
              <w:rPr>
                <w:rFonts w:hint="eastAsia"/>
              </w:rPr>
              <w:t>套</w:t>
            </w:r>
          </w:p>
        </w:tc>
        <w:tc>
          <w:tcPr>
            <w:tcW w:w="885" w:type="pct"/>
            <w:shd w:val="clear" w:color="auto" w:fill="auto"/>
            <w:noWrap/>
            <w:vAlign w:val="center"/>
          </w:tcPr>
          <w:p>
            <w:r>
              <w:rPr>
                <w:rFonts w:hint="eastAsia"/>
              </w:rPr>
              <w:t>2</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5</w:t>
            </w:r>
          </w:p>
        </w:tc>
        <w:tc>
          <w:tcPr>
            <w:tcW w:w="2451" w:type="pct"/>
            <w:shd w:val="clear" w:color="auto" w:fill="auto"/>
            <w:noWrap/>
            <w:vAlign w:val="center"/>
          </w:tcPr>
          <w:p>
            <w:r>
              <w:rPr>
                <w:rFonts w:hint="eastAsia"/>
              </w:rPr>
              <w:t>机柜</w:t>
            </w:r>
          </w:p>
        </w:tc>
        <w:tc>
          <w:tcPr>
            <w:tcW w:w="575" w:type="pct"/>
            <w:shd w:val="clear" w:color="auto" w:fill="auto"/>
            <w:noWrap/>
            <w:vAlign w:val="center"/>
          </w:tcPr>
          <w:p>
            <w:r>
              <w:rPr>
                <w:rFonts w:hint="eastAsia"/>
              </w:rPr>
              <w:t>台</w:t>
            </w:r>
          </w:p>
        </w:tc>
        <w:tc>
          <w:tcPr>
            <w:tcW w:w="885" w:type="pct"/>
            <w:shd w:val="clear" w:color="auto" w:fill="auto"/>
            <w:noWrap/>
            <w:vAlign w:val="center"/>
          </w:tcPr>
          <w:p>
            <w:r>
              <w:rPr>
                <w:rFonts w:hint="eastAsia"/>
              </w:rPr>
              <w:t>2</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6</w:t>
            </w:r>
          </w:p>
        </w:tc>
        <w:tc>
          <w:tcPr>
            <w:tcW w:w="2451" w:type="pct"/>
            <w:shd w:val="clear" w:color="auto" w:fill="auto"/>
            <w:noWrap/>
            <w:vAlign w:val="center"/>
          </w:tcPr>
          <w:p>
            <w:r>
              <w:rPr>
                <w:rFonts w:hint="eastAsia"/>
              </w:rPr>
              <w:t>中控</w:t>
            </w:r>
          </w:p>
        </w:tc>
        <w:tc>
          <w:tcPr>
            <w:tcW w:w="575" w:type="pct"/>
            <w:shd w:val="clear" w:color="auto" w:fill="auto"/>
            <w:noWrap/>
            <w:vAlign w:val="center"/>
          </w:tcPr>
          <w:p>
            <w:r>
              <w:rPr>
                <w:rFonts w:hint="eastAsia"/>
              </w:rPr>
              <w:t>台</w:t>
            </w:r>
          </w:p>
        </w:tc>
        <w:tc>
          <w:tcPr>
            <w:tcW w:w="885" w:type="pct"/>
            <w:shd w:val="clear" w:color="auto" w:fill="auto"/>
            <w:vAlign w:val="center"/>
          </w:tcPr>
          <w:p>
            <w:r>
              <w:rPr>
                <w:rFonts w:hint="eastAsia"/>
              </w:rPr>
              <w:t>1</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7</w:t>
            </w:r>
          </w:p>
        </w:tc>
        <w:tc>
          <w:tcPr>
            <w:tcW w:w="2451" w:type="pct"/>
            <w:shd w:val="clear" w:color="auto" w:fill="auto"/>
            <w:noWrap/>
            <w:vAlign w:val="center"/>
          </w:tcPr>
          <w:p>
            <w:r>
              <w:rPr>
                <w:rFonts w:hint="eastAsia"/>
              </w:rPr>
              <w:t>交互控制面板</w:t>
            </w:r>
          </w:p>
        </w:tc>
        <w:tc>
          <w:tcPr>
            <w:tcW w:w="575" w:type="pct"/>
            <w:shd w:val="clear" w:color="auto" w:fill="auto"/>
            <w:noWrap/>
            <w:vAlign w:val="center"/>
          </w:tcPr>
          <w:p>
            <w:r>
              <w:rPr>
                <w:rFonts w:hint="eastAsia"/>
              </w:rPr>
              <w:t>套</w:t>
            </w:r>
          </w:p>
        </w:tc>
        <w:tc>
          <w:tcPr>
            <w:tcW w:w="885" w:type="pct"/>
            <w:shd w:val="clear" w:color="auto" w:fill="auto"/>
            <w:vAlign w:val="center"/>
          </w:tcPr>
          <w:p>
            <w:r>
              <w:rPr>
                <w:rFonts w:hint="eastAsia"/>
              </w:rPr>
              <w:t>1</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8</w:t>
            </w:r>
          </w:p>
        </w:tc>
        <w:tc>
          <w:tcPr>
            <w:tcW w:w="2451" w:type="pct"/>
            <w:shd w:val="clear" w:color="auto" w:fill="auto"/>
            <w:noWrap/>
            <w:vAlign w:val="center"/>
          </w:tcPr>
          <w:p>
            <w:r>
              <w:rPr>
                <w:rFonts w:hint="eastAsia"/>
              </w:rPr>
              <w:t>编程控制</w:t>
            </w:r>
          </w:p>
        </w:tc>
        <w:tc>
          <w:tcPr>
            <w:tcW w:w="575" w:type="pct"/>
            <w:shd w:val="clear" w:color="auto" w:fill="auto"/>
            <w:noWrap/>
            <w:vAlign w:val="center"/>
          </w:tcPr>
          <w:p>
            <w:r>
              <w:rPr>
                <w:rFonts w:hint="eastAsia"/>
              </w:rPr>
              <w:t>项</w:t>
            </w:r>
          </w:p>
        </w:tc>
        <w:tc>
          <w:tcPr>
            <w:tcW w:w="885" w:type="pct"/>
            <w:shd w:val="clear" w:color="auto" w:fill="auto"/>
            <w:vAlign w:val="center"/>
          </w:tcPr>
          <w:p>
            <w:r>
              <w:rPr>
                <w:rFonts w:hint="eastAsia"/>
              </w:rPr>
              <w:t>1</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9</w:t>
            </w:r>
          </w:p>
        </w:tc>
        <w:tc>
          <w:tcPr>
            <w:tcW w:w="2451" w:type="pct"/>
            <w:shd w:val="clear" w:color="auto" w:fill="auto"/>
            <w:noWrap/>
            <w:vAlign w:val="center"/>
          </w:tcPr>
          <w:p>
            <w:r>
              <w:rPr>
                <w:rFonts w:hint="eastAsia"/>
              </w:rPr>
              <w:t>数字红外无线教学扩声系统主机</w:t>
            </w:r>
          </w:p>
        </w:tc>
        <w:tc>
          <w:tcPr>
            <w:tcW w:w="575" w:type="pct"/>
            <w:shd w:val="clear" w:color="auto" w:fill="auto"/>
            <w:noWrap/>
            <w:vAlign w:val="center"/>
          </w:tcPr>
          <w:p>
            <w:r>
              <w:rPr>
                <w:rFonts w:hint="eastAsia"/>
              </w:rPr>
              <w:t>台</w:t>
            </w:r>
          </w:p>
        </w:tc>
        <w:tc>
          <w:tcPr>
            <w:tcW w:w="885" w:type="pct"/>
            <w:shd w:val="clear" w:color="auto" w:fill="auto"/>
            <w:vAlign w:val="center"/>
          </w:tcPr>
          <w:p>
            <w:r>
              <w:rPr>
                <w:rFonts w:hint="eastAsia"/>
              </w:rPr>
              <w:t>1</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1</w:t>
            </w:r>
            <w:r>
              <w:t>0</w:t>
            </w:r>
          </w:p>
        </w:tc>
        <w:tc>
          <w:tcPr>
            <w:tcW w:w="2451" w:type="pct"/>
            <w:shd w:val="clear" w:color="auto" w:fill="auto"/>
            <w:noWrap/>
            <w:vAlign w:val="center"/>
          </w:tcPr>
          <w:p>
            <w:r>
              <w:rPr>
                <w:rFonts w:hint="eastAsia"/>
              </w:rPr>
              <w:t>数字红外接收器</w:t>
            </w:r>
          </w:p>
        </w:tc>
        <w:tc>
          <w:tcPr>
            <w:tcW w:w="575" w:type="pct"/>
            <w:shd w:val="clear" w:color="auto" w:fill="auto"/>
            <w:noWrap/>
            <w:vAlign w:val="center"/>
          </w:tcPr>
          <w:p>
            <w:r>
              <w:rPr>
                <w:rFonts w:hint="eastAsia"/>
              </w:rPr>
              <w:t>台</w:t>
            </w:r>
          </w:p>
        </w:tc>
        <w:tc>
          <w:tcPr>
            <w:tcW w:w="885" w:type="pct"/>
            <w:shd w:val="clear" w:color="auto" w:fill="auto"/>
            <w:vAlign w:val="center"/>
          </w:tcPr>
          <w:p>
            <w:r>
              <w:rPr>
                <w:rFonts w:hint="eastAsia"/>
              </w:rPr>
              <w:t>2</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1</w:t>
            </w:r>
            <w:r>
              <w:t>1</w:t>
            </w:r>
          </w:p>
        </w:tc>
        <w:tc>
          <w:tcPr>
            <w:tcW w:w="2451" w:type="pct"/>
            <w:shd w:val="clear" w:color="auto" w:fill="auto"/>
            <w:noWrap/>
            <w:vAlign w:val="center"/>
          </w:tcPr>
          <w:p>
            <w:r>
              <w:rPr>
                <w:rFonts w:hint="eastAsia"/>
              </w:rPr>
              <w:t>屏蔽延长线</w:t>
            </w:r>
          </w:p>
        </w:tc>
        <w:tc>
          <w:tcPr>
            <w:tcW w:w="575" w:type="pct"/>
            <w:shd w:val="clear" w:color="auto" w:fill="auto"/>
            <w:noWrap/>
            <w:vAlign w:val="center"/>
          </w:tcPr>
          <w:p>
            <w:r>
              <w:rPr>
                <w:rFonts w:hint="eastAsia"/>
              </w:rPr>
              <w:t>条</w:t>
            </w:r>
          </w:p>
        </w:tc>
        <w:tc>
          <w:tcPr>
            <w:tcW w:w="885" w:type="pct"/>
            <w:shd w:val="clear" w:color="auto" w:fill="auto"/>
            <w:vAlign w:val="center"/>
          </w:tcPr>
          <w:p>
            <w:r>
              <w:rPr>
                <w:rFonts w:hint="eastAsia"/>
              </w:rPr>
              <w:t>2</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rPr>
                <w:rFonts w:hint="eastAsia"/>
              </w:rPr>
              <w:t>1</w:t>
            </w:r>
            <w:r>
              <w:t>2</w:t>
            </w:r>
          </w:p>
        </w:tc>
        <w:tc>
          <w:tcPr>
            <w:tcW w:w="2451" w:type="pct"/>
            <w:shd w:val="clear" w:color="auto" w:fill="auto"/>
            <w:noWrap/>
            <w:vAlign w:val="center"/>
          </w:tcPr>
          <w:p>
            <w:r>
              <w:rPr>
                <w:rFonts w:hint="eastAsia"/>
              </w:rPr>
              <w:t>数字红外无线麦克风</w:t>
            </w:r>
          </w:p>
        </w:tc>
        <w:tc>
          <w:tcPr>
            <w:tcW w:w="575" w:type="pct"/>
            <w:shd w:val="clear" w:color="auto" w:fill="auto"/>
            <w:noWrap/>
            <w:vAlign w:val="center"/>
          </w:tcPr>
          <w:p>
            <w:r>
              <w:rPr>
                <w:rFonts w:hint="eastAsia"/>
              </w:rPr>
              <w:t>只</w:t>
            </w:r>
          </w:p>
        </w:tc>
        <w:tc>
          <w:tcPr>
            <w:tcW w:w="885" w:type="pct"/>
            <w:shd w:val="clear" w:color="auto" w:fill="auto"/>
            <w:vAlign w:val="center"/>
          </w:tcPr>
          <w:p>
            <w:r>
              <w:rPr>
                <w:rFonts w:hint="eastAsia"/>
              </w:rPr>
              <w:t>2</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t>13</w:t>
            </w:r>
          </w:p>
        </w:tc>
        <w:tc>
          <w:tcPr>
            <w:tcW w:w="2451" w:type="pct"/>
            <w:shd w:val="clear" w:color="auto" w:fill="auto"/>
            <w:noWrap/>
            <w:vAlign w:val="center"/>
          </w:tcPr>
          <w:p>
            <w:r>
              <w:rPr>
                <w:rFonts w:hint="eastAsia"/>
              </w:rPr>
              <w:t>线阵列音柱</w:t>
            </w:r>
          </w:p>
        </w:tc>
        <w:tc>
          <w:tcPr>
            <w:tcW w:w="575" w:type="pct"/>
            <w:shd w:val="clear" w:color="auto" w:fill="auto"/>
            <w:noWrap/>
            <w:vAlign w:val="center"/>
          </w:tcPr>
          <w:p>
            <w:r>
              <w:rPr>
                <w:rFonts w:hint="eastAsia"/>
              </w:rPr>
              <w:t>个</w:t>
            </w:r>
          </w:p>
        </w:tc>
        <w:tc>
          <w:tcPr>
            <w:tcW w:w="885" w:type="pct"/>
            <w:shd w:val="clear" w:color="auto" w:fill="auto"/>
            <w:vAlign w:val="center"/>
          </w:tcPr>
          <w:p>
            <w:r>
              <w:rPr>
                <w:rFonts w:hint="eastAsia"/>
              </w:rPr>
              <w:t>4</w:t>
            </w:r>
          </w:p>
        </w:tc>
        <w:tc>
          <w:tcPr>
            <w:tcW w:w="714" w:type="pct"/>
            <w:shd w:val="clear" w:color="auto" w:fill="auto"/>
            <w:noWrap/>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73" w:type="pct"/>
            <w:shd w:val="clear" w:color="auto" w:fill="auto"/>
            <w:noWrap/>
            <w:vAlign w:val="center"/>
          </w:tcPr>
          <w:p>
            <w:r>
              <w:t>14</w:t>
            </w:r>
          </w:p>
        </w:tc>
        <w:tc>
          <w:tcPr>
            <w:tcW w:w="2451" w:type="pct"/>
            <w:shd w:val="clear" w:color="auto" w:fill="auto"/>
            <w:noWrap/>
            <w:vAlign w:val="center"/>
          </w:tcPr>
          <w:p>
            <w:r>
              <w:rPr>
                <w:rFonts w:hint="eastAsia"/>
              </w:rPr>
              <w:t>有线麦克</w:t>
            </w:r>
          </w:p>
        </w:tc>
        <w:tc>
          <w:tcPr>
            <w:tcW w:w="575" w:type="pct"/>
            <w:shd w:val="clear" w:color="auto" w:fill="auto"/>
            <w:noWrap/>
            <w:vAlign w:val="center"/>
          </w:tcPr>
          <w:p>
            <w:r>
              <w:rPr>
                <w:rFonts w:hint="eastAsia"/>
              </w:rPr>
              <w:t>只</w:t>
            </w:r>
          </w:p>
        </w:tc>
        <w:tc>
          <w:tcPr>
            <w:tcW w:w="885" w:type="pct"/>
            <w:shd w:val="clear" w:color="auto" w:fill="auto"/>
            <w:vAlign w:val="center"/>
          </w:tcPr>
          <w:p>
            <w:r>
              <w:rPr>
                <w:rFonts w:hint="eastAsia"/>
              </w:rPr>
              <w:t>1</w:t>
            </w:r>
          </w:p>
        </w:tc>
        <w:tc>
          <w:tcPr>
            <w:tcW w:w="714" w:type="pct"/>
            <w:shd w:val="clear" w:color="auto" w:fill="auto"/>
            <w:noWrap/>
            <w:vAlign w:val="center"/>
          </w:tcPr>
          <w:p>
            <w:r>
              <w:rPr>
                <w:rFonts w:hint="eastAsia"/>
              </w:rPr>
              <w:t>否</w:t>
            </w:r>
          </w:p>
        </w:tc>
      </w:tr>
    </w:tbl>
    <w:p/>
    <w:p>
      <w:pPr>
        <w:spacing w:line="360" w:lineRule="auto"/>
        <w:jc w:val="left"/>
        <w:rPr>
          <w:rFonts w:ascii="宋体" w:hAnsi="宋体"/>
          <w:b/>
          <w:szCs w:val="21"/>
        </w:rPr>
      </w:pPr>
      <w:r>
        <w:rPr>
          <w:rFonts w:hint="eastAsia" w:ascii="宋体" w:hAnsi="宋体"/>
          <w:b/>
          <w:szCs w:val="21"/>
        </w:rPr>
        <w:t>注：1、本章内容若有如下标注，“</w:t>
      </w:r>
      <w:r>
        <w:rPr>
          <w:rFonts w:hint="eastAsia" w:ascii="宋体" w:hAnsi="宋体" w:cs="等线"/>
          <w:b/>
          <w:bCs/>
          <w:kern w:val="0"/>
          <w:szCs w:val="21"/>
        </w:rPr>
        <w:t>★</w:t>
      </w:r>
      <w:r>
        <w:rPr>
          <w:rFonts w:hint="eastAsia" w:ascii="宋体" w:hAnsi="宋体"/>
          <w:b/>
          <w:szCs w:val="21"/>
        </w:rPr>
        <w:t>”</w:t>
      </w:r>
      <w:r>
        <w:rPr>
          <w:rFonts w:hint="eastAsia" w:ascii="宋体" w:hAnsi="宋体"/>
          <w:b/>
          <w:szCs w:val="21"/>
          <w:lang w:val="en-US" w:eastAsia="zh-CN"/>
        </w:rPr>
        <w:t>和“*”号条款</w:t>
      </w:r>
      <w:r>
        <w:rPr>
          <w:rFonts w:hint="eastAsia" w:ascii="宋体" w:hAnsi="宋体"/>
          <w:b/>
          <w:szCs w:val="21"/>
        </w:rPr>
        <w:t>为实质性条款，不满足的将被视为无效投标予以拒绝；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spacing w:line="360" w:lineRule="auto"/>
        <w:contextualSpacing/>
        <w:rPr>
          <w:sz w:val="24"/>
        </w:rPr>
      </w:pPr>
    </w:p>
    <w:p>
      <w:pPr>
        <w:spacing w:line="440" w:lineRule="exact"/>
        <w:rPr>
          <w:b/>
        </w:rPr>
      </w:pPr>
    </w:p>
    <w:p>
      <w:pPr>
        <w:autoSpaceDE w:val="0"/>
        <w:autoSpaceDN w:val="0"/>
        <w:rPr>
          <w:bCs/>
        </w:rPr>
      </w:pPr>
    </w:p>
    <w:p>
      <w:pPr>
        <w:rPr>
          <w:rFonts w:ascii="宋体" w:hAnsi="宋体"/>
        </w:rPr>
      </w:pPr>
      <w:r>
        <w:rPr>
          <w:rFonts w:hint="eastAsia" w:ascii="宋体" w:hAnsi="宋体"/>
        </w:rPr>
        <w:br w:type="page"/>
      </w:r>
    </w:p>
    <w:p>
      <w:pPr>
        <w:pStyle w:val="3"/>
        <w:rPr>
          <w:rFonts w:hint="eastAsia" w:ascii="宋体" w:hAnsi="宋体" w:eastAsia="宋体"/>
        </w:rPr>
      </w:pPr>
      <w:r>
        <w:rPr>
          <w:rFonts w:hint="eastAsia" w:ascii="宋体" w:hAnsi="宋体" w:eastAsia="宋体"/>
        </w:rPr>
        <w:t>第二部分：项目需求</w:t>
      </w:r>
    </w:p>
    <w:p>
      <w:pPr>
        <w:pStyle w:val="103"/>
        <w:numPr>
          <w:ilvl w:val="0"/>
          <w:numId w:val="0"/>
        </w:numPr>
        <w:rPr>
          <w:b/>
          <w:bCs/>
          <w:sz w:val="28"/>
          <w:szCs w:val="28"/>
        </w:rPr>
      </w:pPr>
      <w:bookmarkStart w:id="785" w:name="_Toc5021"/>
      <w:r>
        <w:rPr>
          <w:rFonts w:hint="eastAsia"/>
          <w:b/>
          <w:bCs/>
          <w:sz w:val="28"/>
          <w:szCs w:val="28"/>
          <w:lang w:val="en-US" w:eastAsia="zh-CN"/>
        </w:rPr>
        <w:t>一、</w:t>
      </w:r>
      <w:r>
        <w:rPr>
          <w:rFonts w:hint="eastAsia"/>
          <w:b/>
          <w:bCs/>
          <w:sz w:val="28"/>
          <w:szCs w:val="28"/>
        </w:rPr>
        <w:t>项目背景</w:t>
      </w:r>
    </w:p>
    <w:p>
      <w:pPr>
        <w:pStyle w:val="103"/>
        <w:rPr>
          <w:rFonts w:hint="eastAsia"/>
        </w:rPr>
      </w:pPr>
      <w:r>
        <w:rPr>
          <w:rFonts w:hint="eastAsia"/>
        </w:rPr>
        <w:t>为满足我校信息学院、电控学院、机材学院、理学院、创新学院、图书馆、继续教育学院、研究生院的学生教学课程需求，以及部分上机实习、大学生竞赛和各类国家级与北京市级的考试等事项，需对博远楼第二机房教学设备进行更新，改造完成后，满足教师与学生的需求，提升教学环境效果，保障日常教学、实验、竞赛和考试需求。</w:t>
      </w:r>
    </w:p>
    <w:p>
      <w:pPr>
        <w:pStyle w:val="103"/>
        <w:numPr>
          <w:ilvl w:val="0"/>
          <w:numId w:val="0"/>
        </w:numPr>
        <w:rPr>
          <w:rFonts w:hint="eastAsia"/>
          <w:b/>
          <w:bCs/>
          <w:sz w:val="28"/>
          <w:szCs w:val="28"/>
          <w:lang w:val="en-US" w:eastAsia="zh-CN"/>
        </w:rPr>
      </w:pPr>
    </w:p>
    <w:p>
      <w:pPr>
        <w:pStyle w:val="103"/>
        <w:numPr>
          <w:ilvl w:val="0"/>
          <w:numId w:val="0"/>
        </w:numPr>
        <w:rPr>
          <w:rFonts w:hint="eastAsia"/>
          <w:b/>
          <w:bCs/>
          <w:sz w:val="28"/>
          <w:szCs w:val="28"/>
          <w:lang w:val="en-US" w:eastAsia="zh-CN"/>
        </w:rPr>
      </w:pPr>
      <w:r>
        <w:rPr>
          <w:rFonts w:hint="eastAsia"/>
          <w:b/>
          <w:bCs/>
          <w:sz w:val="28"/>
          <w:szCs w:val="28"/>
          <w:lang w:val="en-US" w:eastAsia="zh-CN"/>
        </w:rPr>
        <w:t>二、技术要求</w:t>
      </w:r>
    </w:p>
    <w:p>
      <w:pPr>
        <w:pStyle w:val="103"/>
        <w:numPr>
          <w:ilvl w:val="0"/>
          <w:numId w:val="0"/>
        </w:numPr>
        <w:ind w:leftChars="200"/>
        <w:rPr>
          <w:rFonts w:hint="default"/>
          <w:b/>
          <w:bCs/>
          <w:sz w:val="28"/>
          <w:szCs w:val="28"/>
          <w:lang w:val="en-US" w:eastAsia="zh-CN"/>
        </w:rPr>
      </w:pPr>
    </w:p>
    <w:p>
      <w:pPr>
        <w:pStyle w:val="103"/>
        <w:numPr>
          <w:ilvl w:val="0"/>
          <w:numId w:val="0"/>
        </w:numPr>
      </w:pPr>
      <w:r>
        <w:rPr>
          <w:rFonts w:hint="eastAsia"/>
          <w:lang w:val="en-US" w:eastAsia="zh-CN"/>
        </w:rPr>
        <w:t>1.</w:t>
      </w:r>
      <w:r>
        <w:rPr>
          <w:rFonts w:hint="eastAsia"/>
        </w:rPr>
        <w:t>教学工作站</w:t>
      </w:r>
    </w:p>
    <w:tbl>
      <w:tblPr>
        <w:tblStyle w:val="40"/>
        <w:tblW w:w="4998" w:type="pct"/>
        <w:tblInd w:w="0" w:type="dxa"/>
        <w:tblLayout w:type="autofit"/>
        <w:tblCellMar>
          <w:top w:w="0" w:type="dxa"/>
          <w:left w:w="108" w:type="dxa"/>
          <w:bottom w:w="0" w:type="dxa"/>
          <w:right w:w="108" w:type="dxa"/>
        </w:tblCellMar>
      </w:tblPr>
      <w:tblGrid>
        <w:gridCol w:w="517"/>
        <w:gridCol w:w="745"/>
        <w:gridCol w:w="744"/>
        <w:gridCol w:w="5565"/>
        <w:gridCol w:w="953"/>
      </w:tblGrid>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处理器</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楷体"/>
                <w:highlight w:val="none"/>
              </w:rPr>
            </w:pPr>
            <w:r>
              <w:rPr>
                <w:rFonts w:hint="eastAsia"/>
                <w:highlight w:val="none"/>
              </w:rPr>
              <w:t>≥英特尔酷睿i7-13700，主频≥2</w:t>
            </w:r>
            <w:r>
              <w:rPr>
                <w:highlight w:val="none"/>
              </w:rPr>
              <w:t>.</w:t>
            </w:r>
            <w:r>
              <w:rPr>
                <w:rFonts w:hint="eastAsia"/>
                <w:highlight w:val="none"/>
              </w:rPr>
              <w:t>1</w:t>
            </w:r>
            <w:r>
              <w:rPr>
                <w:highlight w:val="none"/>
              </w:rPr>
              <w:t>GH</w:t>
            </w:r>
            <w:r>
              <w:rPr>
                <w:rFonts w:hint="eastAsia"/>
                <w:highlight w:val="none"/>
              </w:rPr>
              <w:t>z，缓存≥24</w:t>
            </w:r>
            <w:r>
              <w:rPr>
                <w:highlight w:val="none"/>
              </w:rPr>
              <w:t>M</w:t>
            </w:r>
            <w:r>
              <w:rPr>
                <w:rFonts w:hint="eastAsia"/>
                <w:highlight w:val="none"/>
              </w:rPr>
              <w:t>，≥十六核处理器；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芯片组</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Intel</w:t>
            </w:r>
            <w:r>
              <w:rPr>
                <w:highlight w:val="none"/>
              </w:rPr>
              <w:t xml:space="preserve"> B700芯片组</w:t>
            </w:r>
            <w:r>
              <w:rPr>
                <w:rFonts w:hint="eastAsia"/>
                <w:highlight w:val="none"/>
              </w:rPr>
              <w:t>及以上</w:t>
            </w:r>
            <w:r>
              <w:rPr>
                <w:highlight w:val="none"/>
              </w:rPr>
              <w:t>，</w:t>
            </w:r>
            <w:r>
              <w:rPr>
                <w:rFonts w:hint="eastAsia"/>
                <w:highlight w:val="none"/>
              </w:rPr>
              <w:t>≥</w:t>
            </w:r>
            <w:r>
              <w:rPr>
                <w:highlight w:val="none"/>
              </w:rPr>
              <w:t>1</w:t>
            </w:r>
            <w:r>
              <w:rPr>
                <w:rFonts w:hint="eastAsia"/>
                <w:highlight w:val="none"/>
              </w:rPr>
              <w:t>个</w:t>
            </w:r>
            <w:r>
              <w:rPr>
                <w:highlight w:val="none"/>
              </w:rPr>
              <w:t>PCIe x16</w:t>
            </w:r>
            <w:r>
              <w:rPr>
                <w:rFonts w:hint="eastAsia"/>
                <w:highlight w:val="none"/>
              </w:rPr>
              <w:t>、≥</w:t>
            </w:r>
            <w:r>
              <w:rPr>
                <w:highlight w:val="none"/>
              </w:rPr>
              <w:t>2</w:t>
            </w:r>
            <w:r>
              <w:rPr>
                <w:rFonts w:hint="eastAsia"/>
                <w:highlight w:val="none"/>
              </w:rPr>
              <w:t>个</w:t>
            </w:r>
            <w:r>
              <w:rPr>
                <w:highlight w:val="none"/>
              </w:rPr>
              <w:t>PCIe x1</w:t>
            </w:r>
            <w:r>
              <w:rPr>
                <w:rFonts w:hint="eastAsia"/>
                <w:highlight w:val="none"/>
              </w:rPr>
              <w:t>、≥</w:t>
            </w:r>
            <w:r>
              <w:rPr>
                <w:highlight w:val="none"/>
              </w:rPr>
              <w:t>1</w:t>
            </w:r>
            <w:r>
              <w:rPr>
                <w:rFonts w:hint="eastAsia"/>
                <w:highlight w:val="none"/>
              </w:rPr>
              <w:t>个</w:t>
            </w:r>
            <w:r>
              <w:rPr>
                <w:highlight w:val="none"/>
              </w:rPr>
              <w:t>PCI</w:t>
            </w:r>
            <w:r>
              <w:rPr>
                <w:rFonts w:hint="eastAsia"/>
                <w:highlight w:val="none"/>
              </w:rPr>
              <w:t>，≥3个</w:t>
            </w:r>
            <w:r>
              <w:rPr>
                <w:highlight w:val="none"/>
              </w:rPr>
              <w:t>M.2</w:t>
            </w:r>
            <w:r>
              <w:rPr>
                <w:rFonts w:hint="eastAsia"/>
                <w:highlight w:val="none"/>
              </w:rPr>
              <w:t>，≥4个SATA接口；</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是</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内存</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内存容量≥16GB DDR5 双通道48</w:t>
            </w:r>
            <w:r>
              <w:rPr>
                <w:highlight w:val="none"/>
              </w:rPr>
              <w:t>00</w:t>
            </w:r>
            <w:r>
              <w:rPr>
                <w:rFonts w:hint="eastAsia"/>
                <w:highlight w:val="none"/>
              </w:rPr>
              <w:t>MHz内存；</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硬盘</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≥1TB</w:t>
            </w:r>
            <w:r>
              <w:rPr>
                <w:highlight w:val="none"/>
              </w:rPr>
              <w:t xml:space="preserve"> P</w:t>
            </w:r>
            <w:r>
              <w:rPr>
                <w:rFonts w:hint="eastAsia"/>
                <w:highlight w:val="none"/>
              </w:rPr>
              <w:t>cie</w:t>
            </w:r>
            <w:r>
              <w:rPr>
                <w:highlight w:val="none"/>
              </w:rPr>
              <w:t xml:space="preserve">4.0 </w:t>
            </w:r>
            <w:r>
              <w:rPr>
                <w:rFonts w:hint="eastAsia"/>
                <w:highlight w:val="none"/>
              </w:rPr>
              <w:t xml:space="preserve">M.2 </w:t>
            </w:r>
            <w:r>
              <w:rPr>
                <w:highlight w:val="none"/>
              </w:rPr>
              <w:t>SSD</w:t>
            </w:r>
            <w:r>
              <w:rPr>
                <w:rFonts w:hint="eastAsia"/>
                <w:highlight w:val="none"/>
              </w:rPr>
              <w:t>支持双硬盘组合，配置防震保护架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显卡</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≥GTX1050 4G显卡</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声卡</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集成HD Audio，支持5.1声道，提供前2后3共5个音频接口</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楷体"/>
                <w:highlight w:val="none"/>
              </w:rPr>
            </w:pPr>
            <w:r>
              <w:rPr>
                <w:rFonts w:hint="eastAsia"/>
                <w:highlight w:val="none"/>
              </w:rPr>
              <w:t>网卡</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集成</w:t>
            </w:r>
            <w:r>
              <w:rPr>
                <w:highlight w:val="none"/>
              </w:rPr>
              <w:t>10/100/1000M</w:t>
            </w:r>
            <w:r>
              <w:rPr>
                <w:rFonts w:hint="eastAsia"/>
                <w:highlight w:val="none"/>
              </w:rPr>
              <w:t>自适应网卡</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楷体"/>
                <w:highlight w:val="none"/>
              </w:rPr>
            </w:pPr>
            <w:r>
              <w:rPr>
                <w:rFonts w:hint="eastAsia"/>
                <w:highlight w:val="none"/>
              </w:rPr>
              <w:t>键盘鼠标</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highlight w:val="none"/>
              </w:rPr>
              <w:t>USB</w:t>
            </w:r>
            <w:r>
              <w:rPr>
                <w:rFonts w:hint="eastAsia"/>
                <w:highlight w:val="none"/>
              </w:rPr>
              <w:t>抗菌防泼溅键盘，</w:t>
            </w:r>
            <w:r>
              <w:rPr>
                <w:highlight w:val="none"/>
              </w:rPr>
              <w:t xml:space="preserve"> USB</w:t>
            </w:r>
            <w:r>
              <w:rPr>
                <w:rFonts w:hint="eastAsia"/>
                <w:highlight w:val="none"/>
              </w:rPr>
              <w:t>抗菌光电鼠标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楷体"/>
                <w:highlight w:val="none"/>
              </w:rPr>
            </w:pPr>
            <w:r>
              <w:rPr>
                <w:rFonts w:hint="eastAsia"/>
                <w:highlight w:val="none"/>
              </w:rPr>
              <w:t>机箱</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w:t>
            </w:r>
            <w:r>
              <w:rPr>
                <w:highlight w:val="none"/>
              </w:rPr>
              <w:t>1</w:t>
            </w:r>
            <w:r>
              <w:rPr>
                <w:rFonts w:hint="eastAsia"/>
                <w:highlight w:val="none"/>
              </w:rPr>
              <w:t>5</w:t>
            </w:r>
            <w:r>
              <w:rPr>
                <w:highlight w:val="none"/>
              </w:rPr>
              <w:t>L</w:t>
            </w:r>
            <w:r>
              <w:rPr>
                <w:rFonts w:hint="eastAsia"/>
                <w:highlight w:val="none"/>
              </w:rPr>
              <w:t>立式机箱机箱，开关键、前面板有可拆洗防尘罩，后面板有串并口专用扩展位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是</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1</w:t>
            </w:r>
            <w:r>
              <w:rPr>
                <w:highlight w:val="none"/>
                <w:lang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接口</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整机原生≥10个USB口，其中至少4个USB 3.2 Gen2，2个USB 3.2 Gen1，4个USB 2.0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是</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1</w:t>
            </w:r>
            <w:r>
              <w:rPr>
                <w:highlight w:val="none"/>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楷体"/>
                <w:highlight w:val="none"/>
              </w:rPr>
            </w:pPr>
            <w:r>
              <w:rPr>
                <w:rFonts w:hint="eastAsia"/>
                <w:highlight w:val="none"/>
              </w:rPr>
              <w:t>电源</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≥30</w:t>
            </w:r>
            <w:r>
              <w:rPr>
                <w:highlight w:val="none"/>
              </w:rPr>
              <w:t>0</w:t>
            </w:r>
            <w:r>
              <w:rPr>
                <w:rFonts w:hint="eastAsia"/>
                <w:highlight w:val="none"/>
              </w:rPr>
              <w:t>W高效节能电源，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1</w:t>
            </w:r>
            <w:r>
              <w:rPr>
                <w:highlight w:val="none"/>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楷体"/>
                <w:highlight w:val="none"/>
              </w:rPr>
            </w:pPr>
            <w:r>
              <w:rPr>
                <w:rFonts w:hint="eastAsia"/>
                <w:highlight w:val="none"/>
              </w:rPr>
              <w:t>显示器</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≥2</w:t>
            </w:r>
            <w:r>
              <w:rPr>
                <w:highlight w:val="none"/>
              </w:rPr>
              <w:t>3</w:t>
            </w:r>
            <w:r>
              <w:rPr>
                <w:rFonts w:hint="eastAsia"/>
                <w:highlight w:val="none"/>
              </w:rPr>
              <w:t>英寸宽屏</w:t>
            </w:r>
            <w:r>
              <w:rPr>
                <w:highlight w:val="none"/>
              </w:rPr>
              <w:t>液晶</w:t>
            </w:r>
            <w:r>
              <w:rPr>
                <w:rFonts w:hint="eastAsia"/>
                <w:highlight w:val="none"/>
              </w:rPr>
              <w:t>屏，亮度≥250流明, 分辨率≥</w:t>
            </w:r>
            <w:r>
              <w:rPr>
                <w:highlight w:val="none"/>
              </w:rPr>
              <w:t>1920</w:t>
            </w:r>
            <w:r>
              <w:rPr>
                <w:rFonts w:hint="eastAsia"/>
                <w:highlight w:val="none"/>
              </w:rPr>
              <w:t>*</w:t>
            </w:r>
            <w:r>
              <w:rPr>
                <w:highlight w:val="none"/>
              </w:rPr>
              <w:t>1080</w:t>
            </w:r>
            <w:r>
              <w:rPr>
                <w:rFonts w:hint="eastAsia"/>
                <w:highlight w:val="none"/>
              </w:rPr>
              <w:t>，显示器具有低蓝光护眼功能；带蓝光过滤器，用户可以通过设置调整蓝光照射的比例。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是</w:t>
            </w:r>
          </w:p>
        </w:tc>
      </w:tr>
      <w:tr>
        <w:tblPrEx>
          <w:tblCellMar>
            <w:top w:w="0" w:type="dxa"/>
            <w:left w:w="108" w:type="dxa"/>
            <w:bottom w:w="0" w:type="dxa"/>
            <w:right w:w="108" w:type="dxa"/>
          </w:tblCellMar>
        </w:tblPrEx>
        <w:trPr>
          <w:trHeight w:val="68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1</w:t>
            </w:r>
            <w:r>
              <w:rPr>
                <w:highlight w:val="none"/>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楷体"/>
                <w:highlight w:val="none"/>
              </w:rPr>
            </w:pPr>
            <w:r>
              <w:rPr>
                <w:rFonts w:hint="eastAsia"/>
                <w:highlight w:val="none"/>
              </w:rPr>
              <w:t>认证</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rPr>
              <w:t>投标产品具有3C、节能认证证书，并提供证书；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是</w:t>
            </w:r>
          </w:p>
        </w:tc>
      </w:tr>
    </w:tbl>
    <w:p/>
    <w:p>
      <w:pPr>
        <w:pStyle w:val="103"/>
        <w:ind w:left="0" w:leftChars="0" w:firstLine="0" w:firstLineChars="0"/>
      </w:pPr>
      <w:r>
        <w:rPr>
          <w:rFonts w:hint="eastAsia"/>
          <w:lang w:val="en-US" w:eastAsia="zh-CN"/>
        </w:rPr>
        <w:t>2.</w:t>
      </w:r>
      <w:r>
        <w:rPr>
          <w:rFonts w:hint="eastAsia"/>
        </w:rPr>
        <w:t>交换机</w:t>
      </w:r>
    </w:p>
    <w:tbl>
      <w:tblPr>
        <w:tblStyle w:val="40"/>
        <w:tblW w:w="4998" w:type="pct"/>
        <w:tblInd w:w="0" w:type="dxa"/>
        <w:tblLayout w:type="autofit"/>
        <w:tblCellMar>
          <w:top w:w="0" w:type="dxa"/>
          <w:left w:w="108" w:type="dxa"/>
          <w:bottom w:w="0" w:type="dxa"/>
          <w:right w:w="108" w:type="dxa"/>
        </w:tblCellMar>
      </w:tblPr>
      <w:tblGrid>
        <w:gridCol w:w="504"/>
        <w:gridCol w:w="731"/>
        <w:gridCol w:w="800"/>
        <w:gridCol w:w="5549"/>
        <w:gridCol w:w="940"/>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指标项</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是否提供证明材料</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交换容量</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w:t>
            </w:r>
            <w:r>
              <w:rPr>
                <w:lang w:bidi="ar"/>
              </w:rPr>
              <w:t>432Gbps/4.32Tbps</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包转发率</w:t>
            </w:r>
          </w:p>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w:t>
            </w:r>
            <w:r>
              <w:rPr>
                <w:lang w:bidi="ar"/>
              </w:rPr>
              <w:t>144/166MppS</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lang w:bidi="ar"/>
              </w:rPr>
              <w:t>MAC地址表</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支持</w:t>
            </w:r>
            <w:r>
              <w:rPr>
                <w:lang w:bidi="ar"/>
              </w:rPr>
              <w:t xml:space="preserve"> MAC 地址自动学习和老化支持静态、动态、黑洞 MAC 表项支持源 MAC 地址过滤支持接口 MAC 地址学习个数限制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lang w:bidi="ar"/>
              </w:rPr>
              <w:t>VLAN特性</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支持</w:t>
            </w:r>
            <w:r>
              <w:rPr>
                <w:lang w:bidi="ar"/>
              </w:rPr>
              <w:t xml:space="preserve"> Guest VLAN、Voice VLAN支持 GVRP 协议支持 MUX VLAN 功能支持基于 MAC/ 协议 /IP 子网/策略/端口的 VLAN支持 1:1 和 N:1 VLAN Mapping 功能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模块</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w:t>
            </w:r>
            <w:r>
              <w:rPr>
                <w:lang w:bidi="ar"/>
              </w:rPr>
              <w:t>SFP+万兆模块*2</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bl>
    <w:p>
      <w:pPr>
        <w:pStyle w:val="103"/>
        <w:ind w:left="0" w:leftChars="0" w:firstLine="0" w:firstLineChars="0"/>
        <w:rPr>
          <w:rFonts w:hint="eastAsia"/>
        </w:rPr>
      </w:pPr>
    </w:p>
    <w:p>
      <w:pPr>
        <w:pStyle w:val="103"/>
        <w:ind w:left="0" w:leftChars="0" w:firstLine="0" w:firstLineChars="0"/>
      </w:pPr>
      <w:r>
        <w:rPr>
          <w:rFonts w:hint="eastAsia"/>
          <w:lang w:val="en-US" w:eastAsia="zh-CN"/>
        </w:rPr>
        <w:t>3.</w:t>
      </w:r>
      <w:r>
        <w:rPr>
          <w:rFonts w:hint="eastAsia"/>
        </w:rPr>
        <w:t>展示系统</w:t>
      </w:r>
    </w:p>
    <w:tbl>
      <w:tblPr>
        <w:tblStyle w:val="40"/>
        <w:tblW w:w="4998" w:type="pct"/>
        <w:tblInd w:w="0" w:type="dxa"/>
        <w:tblLayout w:type="autofit"/>
        <w:tblCellMar>
          <w:top w:w="0" w:type="dxa"/>
          <w:left w:w="108" w:type="dxa"/>
          <w:bottom w:w="0" w:type="dxa"/>
          <w:right w:w="108" w:type="dxa"/>
        </w:tblCellMar>
      </w:tblPr>
      <w:tblGrid>
        <w:gridCol w:w="518"/>
        <w:gridCol w:w="745"/>
        <w:gridCol w:w="743"/>
        <w:gridCol w:w="5563"/>
        <w:gridCol w:w="955"/>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是否提供证明材料</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屏幕尺寸</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w:t>
            </w:r>
            <w:r>
              <w:rPr>
                <w:lang w:bidi="ar"/>
              </w:rPr>
              <w:t>75英寸</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分辨率</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w:t>
            </w:r>
            <w:r>
              <w:rPr>
                <w:lang w:bidi="ar"/>
              </w:rPr>
              <w:t>3840X2160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刷新率</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≥5</w:t>
            </w:r>
            <w:r>
              <w:rPr>
                <w:lang w:bidi="ar"/>
              </w:rPr>
              <w:t>0/60H</w:t>
            </w:r>
            <w:r>
              <w:rPr>
                <w:rFonts w:hint="eastAsia"/>
                <w:lang w:bidi="ar"/>
              </w:rPr>
              <w:t>z</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接口</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w:t>
            </w:r>
            <w:r>
              <w:rPr>
                <w:lang w:bidi="ar"/>
              </w:rPr>
              <w:t>HDMI*3</w:t>
            </w:r>
            <w:r>
              <w:rPr>
                <w:rFonts w:hint="eastAsia"/>
                <w:lang w:bidi="ar"/>
              </w:rPr>
              <w:t>，</w:t>
            </w:r>
            <w:r>
              <w:rPr>
                <w:lang w:bidi="ar"/>
              </w:rPr>
              <w:t>USB*2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蓝牙模块</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支持</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功能</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支持</w:t>
            </w:r>
            <w:r>
              <w:rPr>
                <w:lang w:bidi="ar"/>
              </w:rPr>
              <w:t>4K处理器</w:t>
            </w:r>
            <w:r>
              <w:rPr>
                <w:rFonts w:hint="eastAsia"/>
                <w:lang w:bidi="ar"/>
              </w:rPr>
              <w:t>图像引擎</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bl>
    <w:p>
      <w:pPr>
        <w:pStyle w:val="103"/>
        <w:rPr>
          <w:rFonts w:hint="eastAsia"/>
          <w:lang w:val="en-US" w:eastAsia="zh-CN"/>
        </w:rPr>
      </w:pPr>
    </w:p>
    <w:p>
      <w:pPr>
        <w:pStyle w:val="103"/>
        <w:ind w:left="0" w:leftChars="0" w:firstLine="0" w:firstLineChars="0"/>
      </w:pPr>
      <w:r>
        <w:rPr>
          <w:rFonts w:hint="eastAsia"/>
          <w:lang w:val="en-US" w:eastAsia="zh-CN"/>
        </w:rPr>
        <w:t>4.</w:t>
      </w:r>
      <w:r>
        <w:rPr>
          <w:rFonts w:hint="eastAsia"/>
        </w:rPr>
        <w:t>空气净化系统</w:t>
      </w:r>
    </w:p>
    <w:tbl>
      <w:tblPr>
        <w:tblStyle w:val="40"/>
        <w:tblW w:w="4998" w:type="pct"/>
        <w:tblInd w:w="0" w:type="dxa"/>
        <w:tblLayout w:type="autofit"/>
        <w:tblCellMar>
          <w:top w:w="0" w:type="dxa"/>
          <w:left w:w="108" w:type="dxa"/>
          <w:bottom w:w="0" w:type="dxa"/>
          <w:right w:w="108" w:type="dxa"/>
        </w:tblCellMar>
      </w:tblPr>
      <w:tblGrid>
        <w:gridCol w:w="518"/>
        <w:gridCol w:w="745"/>
        <w:gridCol w:w="743"/>
        <w:gridCol w:w="5563"/>
        <w:gridCol w:w="955"/>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是否提供证明材料</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送风量</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≥350m</w:t>
            </w:r>
            <w:r>
              <w:rPr>
                <w:rFonts w:ascii="Calibri" w:hAnsi="Calibri" w:cs="Calibri"/>
              </w:rPr>
              <w:t>³</w:t>
            </w:r>
            <w:r>
              <w:rPr>
                <w:rFonts w:hint="eastAsia"/>
              </w:rPr>
              <w:t>/h</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功耗</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≤100W</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噪音</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≤35db</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安装方式</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壁挂式</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否</w:t>
            </w:r>
          </w:p>
        </w:tc>
      </w:tr>
    </w:tbl>
    <w:p>
      <w:pPr>
        <w:pStyle w:val="103"/>
        <w:ind w:left="0" w:leftChars="0" w:firstLine="0" w:firstLineChars="0"/>
        <w:rPr>
          <w:rFonts w:hint="eastAsia"/>
          <w:lang w:val="en-US" w:eastAsia="zh-CN"/>
        </w:rPr>
      </w:pPr>
    </w:p>
    <w:p>
      <w:pPr>
        <w:pStyle w:val="103"/>
        <w:ind w:left="0" w:leftChars="0" w:firstLine="0" w:firstLineChars="0"/>
      </w:pPr>
      <w:r>
        <w:rPr>
          <w:rFonts w:hint="eastAsia"/>
          <w:lang w:val="en-US" w:eastAsia="zh-CN"/>
        </w:rPr>
        <w:t>5.</w:t>
      </w:r>
      <w:r>
        <w:rPr>
          <w:rFonts w:hint="eastAsia"/>
        </w:rPr>
        <w:t>机柜</w:t>
      </w:r>
    </w:p>
    <w:tbl>
      <w:tblPr>
        <w:tblStyle w:val="40"/>
        <w:tblW w:w="4998" w:type="pct"/>
        <w:tblInd w:w="0" w:type="dxa"/>
        <w:tblLayout w:type="autofit"/>
        <w:tblCellMar>
          <w:top w:w="0" w:type="dxa"/>
          <w:left w:w="108" w:type="dxa"/>
          <w:bottom w:w="0" w:type="dxa"/>
          <w:right w:w="108" w:type="dxa"/>
        </w:tblCellMar>
      </w:tblPr>
      <w:tblGrid>
        <w:gridCol w:w="518"/>
        <w:gridCol w:w="745"/>
        <w:gridCol w:w="744"/>
        <w:gridCol w:w="5563"/>
        <w:gridCol w:w="954"/>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指标项</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是否提供证明材料</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容量</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w:t>
            </w:r>
            <w:r>
              <w:rPr>
                <w:lang w:bidi="ar"/>
              </w:rPr>
              <w:t>12U</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厚度</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方孔条</w:t>
            </w:r>
            <w:r>
              <w:rPr>
                <w:lang w:bidi="ar"/>
              </w:rPr>
              <w:t>1.5mm 侧门0.8mm:其余1.2mm</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rFonts w:hint="eastAsia"/>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配件</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lang w:bidi="ar"/>
              </w:rPr>
            </w:pPr>
            <w:r>
              <w:rPr>
                <w:lang w:bidi="ar"/>
              </w:rPr>
              <w:t>M6方螺母钉10套</w:t>
            </w:r>
            <w:r>
              <w:rPr>
                <w:rFonts w:hint="eastAsia"/>
                <w:lang w:bidi="ar"/>
              </w:rPr>
              <w:t>；</w:t>
            </w:r>
            <w:r>
              <w:rPr>
                <w:lang w:bidi="ar"/>
              </w:rPr>
              <w:t>内六角扳手一只</w:t>
            </w:r>
            <w:r>
              <w:rPr>
                <w:rFonts w:hint="eastAsia"/>
                <w:lang w:bidi="ar"/>
              </w:rPr>
              <w:t>；</w:t>
            </w:r>
            <w:r>
              <w:rPr>
                <w:lang w:bidi="ar"/>
              </w:rPr>
              <w:t>钥匙2把</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lang w:bidi="ar"/>
              </w:rPr>
            </w:pPr>
            <w:r>
              <w:rPr>
                <w:rFonts w:hint="eastAsia"/>
                <w:lang w:bidi="ar"/>
              </w:rPr>
              <w:t>否</w:t>
            </w:r>
          </w:p>
        </w:tc>
      </w:tr>
    </w:tbl>
    <w:p>
      <w:pPr>
        <w:pStyle w:val="103"/>
        <w:ind w:left="0" w:leftChars="0" w:firstLine="0" w:firstLineChars="0"/>
        <w:rPr>
          <w:rFonts w:hint="eastAsia"/>
        </w:rPr>
      </w:pPr>
    </w:p>
    <w:p>
      <w:pPr>
        <w:pStyle w:val="103"/>
        <w:ind w:left="0" w:leftChars="0" w:firstLine="0" w:firstLineChars="0"/>
      </w:pPr>
      <w:r>
        <w:rPr>
          <w:rFonts w:hint="eastAsia"/>
          <w:lang w:val="en-US" w:eastAsia="zh-CN"/>
        </w:rPr>
        <w:t>6.</w:t>
      </w:r>
      <w:r>
        <w:rPr>
          <w:rFonts w:hint="eastAsia"/>
        </w:rPr>
        <w:t>中控</w:t>
      </w:r>
    </w:p>
    <w:tbl>
      <w:tblPr>
        <w:tblStyle w:val="40"/>
        <w:tblW w:w="4998" w:type="pct"/>
        <w:tblInd w:w="0" w:type="dxa"/>
        <w:tblLayout w:type="autofit"/>
        <w:tblCellMar>
          <w:top w:w="0" w:type="dxa"/>
          <w:left w:w="108" w:type="dxa"/>
          <w:bottom w:w="0" w:type="dxa"/>
          <w:right w:w="108" w:type="dxa"/>
        </w:tblCellMar>
      </w:tblPr>
      <w:tblGrid>
        <w:gridCol w:w="518"/>
        <w:gridCol w:w="745"/>
        <w:gridCol w:w="744"/>
        <w:gridCol w:w="5563"/>
        <w:gridCol w:w="954"/>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控制主机、控制面板要求分体设计，支持液晶交互控制面板，具备系统锁定功能；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支持管理平台远程控制多媒体设备开关、信号切换、触控面板解锁、锁定等功能，具备计算机、笔记本、无线投屏音视频一键切换，一键开关系统；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1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≥4路HDMI输入，≥6路HDMI输出；支持4K高清信号传输；≥1路音频输入，≥2路3.5mm立体声音频输出； （需提供产品彩页或技术白皮书或厂家出具的技术证明文件）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199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7路RS232通讯接口；≥1路RS485接口；≥6路I/O接口；≥1路LAN网络接口；≥1路读卡器接口，接口形式采用RJ45模块插孔，支持为读卡器提供12V供电，支持插卡和刷卡模式读卡器；≥2路交互控制面板接口，接口形式采用RJ45模块插孔，并支持控制面板提供12V供电；（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≥3路220V可控电源插座；≥2路220V幕布控制端口；≥4路单刀双掷开关控制端口,无源干接点输出；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电源规格需满足输入:≥220V~，50Hz,10A，输出：≥220V~，50Hz,9A；</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7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具备IC卡权限管理，支持IC卡读卡器接入，支持插卡\刷卡启动系统，IC权限验证支持脱网工作模式；需支持IC卡数据本地存储，可以保存不少于3万张IC卡数据、不少于4万条刷卡记录，IC卡的权限由管理平台统一授权；（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支持课表自动管控功能，支持按课表时间自动执行系统开启和关闭；支持本地课表存储，不少于180天，每天16节次课表数据存储，断网时不影响设备使用；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1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支持投影机状态检测和投影机灯泡时长采集，采集灯时数据支持自动上传到管理平台；支持MODBUS协议\RS485协议物联传感器数据采集（如温度、湿度、CO2，PM2.5、PM10等），采集数据自动上传到管理平台；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需要支持EDID读取、设置，可以根据不同分辨率显示设备（投影机、显示器、触控屏等）设置EDID，要求支持4K、1080P、720P、1024*768等多种分辨率；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342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支持自定义编程配置，通过浏览器设置平台网络远程配置，支持终端设备IP地址、MAC地址扫描，支持DHCP自动获取IP地址和静态IP地址设置；支持按需求设置功能键码、功能序列；支持设备位置添加、删除、绑定等管理；支持远程固件升级，支持云端配置数据备份; （需提供产品彩页或技术白皮书或厂家出具的技术证明文件）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1191"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1</w:t>
            </w:r>
            <w:r>
              <w:rPr>
                <w:highlight w:val="none"/>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lang w:bidi="ar"/>
              </w:rPr>
            </w:pPr>
            <w:r>
              <w:rPr>
                <w:rFonts w:hint="eastAsia"/>
                <w:highlight w:val="none"/>
                <w:lang w:bidi="ar"/>
              </w:rPr>
              <w:t>按需求定制编程设计，中控编程、交互控制主机编程，个性化操作界面设计、根据每间教室功能需求自定义联动功能、按键，被控设备调试。</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lang w:bidi="ar"/>
              </w:rPr>
            </w:pPr>
            <w:r>
              <w:rPr>
                <w:rFonts w:hint="eastAsia"/>
                <w:highlight w:val="none"/>
                <w:lang w:bidi="ar"/>
              </w:rPr>
              <w:t>否</w:t>
            </w:r>
          </w:p>
        </w:tc>
      </w:tr>
    </w:tbl>
    <w:p>
      <w:pPr>
        <w:pStyle w:val="103"/>
        <w:ind w:left="0" w:leftChars="0" w:firstLine="0" w:firstLineChars="0"/>
        <w:rPr>
          <w:rFonts w:hint="eastAsia"/>
          <w:lang w:val="en-US" w:eastAsia="zh-CN"/>
        </w:rPr>
      </w:pPr>
    </w:p>
    <w:p>
      <w:pPr>
        <w:pStyle w:val="103"/>
        <w:ind w:left="0" w:leftChars="0" w:firstLine="0" w:firstLineChars="0"/>
      </w:pPr>
      <w:r>
        <w:rPr>
          <w:rFonts w:hint="eastAsia"/>
          <w:lang w:val="en-US" w:eastAsia="zh-CN"/>
        </w:rPr>
        <w:t>7.</w:t>
      </w:r>
      <w:r>
        <w:rPr>
          <w:rFonts w:hint="eastAsia"/>
        </w:rPr>
        <w:t>交互控制面板</w:t>
      </w:r>
    </w:p>
    <w:tbl>
      <w:tblPr>
        <w:tblStyle w:val="40"/>
        <w:tblW w:w="4998" w:type="pct"/>
        <w:tblInd w:w="0" w:type="dxa"/>
        <w:tblLayout w:type="autofit"/>
        <w:tblCellMar>
          <w:top w:w="0" w:type="dxa"/>
          <w:left w:w="108" w:type="dxa"/>
          <w:bottom w:w="0" w:type="dxa"/>
          <w:right w:w="108" w:type="dxa"/>
        </w:tblCellMar>
      </w:tblPr>
      <w:tblGrid>
        <w:gridCol w:w="518"/>
        <w:gridCol w:w="745"/>
        <w:gridCol w:w="744"/>
        <w:gridCol w:w="5563"/>
        <w:gridCol w:w="954"/>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142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采用Android 11或以上版本操作系统，电容触摸屏，不低于四核1.8G主频处理器，16G存储，4G内存；尺寸≥10英寸；分辨率≥1280x800；对比度≥800:1；（需提供CMA标识的检测报告复印件或提供原厂产品彩页佐证材料，要求内容能体现满足上述参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具备LAN以太网通讯端口，≥1个RS485接口，≥1个USB接口，≥1个3.5mm音频输出口；支持无线WIFI;</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显示背景、操作界面和功能按键可根据用户需求自定义编程配置，支持联动控制编程，支持个性化图片、图标、颜色配置，支持锁屏背景图设置；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与中控配合，可以对录播、互动等设备进行管控，自定义界面和控制逻辑。支持融合第三方app应用程序；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1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需支持与录播系统融合，可以在控制面板上实时预览录播视频画面或对摄像头进行视频拉流显示，可以在控制面板上直接看到正在录制的视频画面；（需提供功能截图）</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支持IP语音对讲功能，具备拾音麦和喇叭；支持分机号码配置，接入IP语音服务器后可实现各教室与控制室IP语音通话功能；（需提供CMA标识的检测报告复印件或提供原厂产品彩页佐证材料，要求内容能体现满足上述参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需要支持密码验证解锁功能，输入正确密码后面板解锁，开启系统；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交互控制面板通讯接口需支持RJ45模块方式，支持网线连接智能终端主机实现通讯与供电，不需配置单独电源；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支持通过设置平台网络远程配置，支持IP地址、MAC地址扫描，支持IP地址设置，支持远程固件升级；需支持配置程序云端备份；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9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为了保证系统的稳定性和兼容性，要求交互控制面板与中控同一品牌；</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bl>
    <w:p>
      <w:pPr>
        <w:pStyle w:val="103"/>
        <w:ind w:left="0" w:leftChars="0" w:firstLine="0" w:firstLineChars="0"/>
        <w:rPr>
          <w:rFonts w:hint="eastAsia"/>
          <w:lang w:val="en-US" w:eastAsia="zh-CN"/>
        </w:rPr>
      </w:pPr>
    </w:p>
    <w:p>
      <w:pPr>
        <w:pStyle w:val="103"/>
        <w:ind w:left="0" w:leftChars="0" w:firstLine="0" w:firstLineChars="0"/>
      </w:pPr>
      <w:r>
        <w:rPr>
          <w:rFonts w:hint="eastAsia"/>
          <w:lang w:val="en-US" w:eastAsia="zh-CN"/>
        </w:rPr>
        <w:t>8.</w:t>
      </w:r>
      <w:r>
        <w:rPr>
          <w:rFonts w:hint="eastAsia"/>
        </w:rPr>
        <w:t>编程控制</w:t>
      </w:r>
    </w:p>
    <w:tbl>
      <w:tblPr>
        <w:tblStyle w:val="40"/>
        <w:tblW w:w="4998" w:type="pct"/>
        <w:tblInd w:w="0" w:type="dxa"/>
        <w:tblLayout w:type="autofit"/>
        <w:tblCellMar>
          <w:top w:w="0" w:type="dxa"/>
          <w:left w:w="108" w:type="dxa"/>
          <w:bottom w:w="0" w:type="dxa"/>
          <w:right w:w="108" w:type="dxa"/>
        </w:tblCellMar>
      </w:tblPr>
      <w:tblGrid>
        <w:gridCol w:w="518"/>
        <w:gridCol w:w="745"/>
        <w:gridCol w:w="743"/>
        <w:gridCol w:w="5563"/>
        <w:gridCol w:w="955"/>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指标要求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是否提供证明材料</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bidi="ar"/>
              </w:rPr>
              <w:t>按需求定制编程设计，要求产品可通过折线图一键滑动选定时间范围，支持一键下载对应指定时间内的全部通讯流量数据包；支持展示每个会话的五元组信息及对应上下行流量大小和数据包数量，也可对某个会话详情进行实时预览并单独下载</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lang w:bidi="ar"/>
              </w:rPr>
              <w:t>是</w:t>
            </w:r>
          </w:p>
        </w:tc>
      </w:tr>
    </w:tbl>
    <w:p>
      <w:pPr>
        <w:pStyle w:val="103"/>
        <w:ind w:left="0" w:leftChars="0" w:firstLine="0" w:firstLineChars="0"/>
        <w:rPr>
          <w:rFonts w:hint="eastAsia"/>
          <w:lang w:val="en-US" w:eastAsia="zh-CN"/>
        </w:rPr>
      </w:pPr>
    </w:p>
    <w:p>
      <w:pPr>
        <w:pStyle w:val="103"/>
        <w:ind w:left="0" w:leftChars="0" w:firstLine="0" w:firstLineChars="0"/>
      </w:pPr>
      <w:r>
        <w:rPr>
          <w:rFonts w:hint="eastAsia"/>
          <w:lang w:val="en-US" w:eastAsia="zh-CN"/>
        </w:rPr>
        <w:t>9.</w:t>
      </w:r>
      <w:r>
        <w:rPr>
          <w:rFonts w:hint="eastAsia"/>
        </w:rPr>
        <w:t>数字红外无线教学扩声系统主机</w:t>
      </w:r>
    </w:p>
    <w:tbl>
      <w:tblPr>
        <w:tblStyle w:val="40"/>
        <w:tblW w:w="4998" w:type="pct"/>
        <w:tblInd w:w="0" w:type="dxa"/>
        <w:tblLayout w:type="autofit"/>
        <w:tblCellMar>
          <w:top w:w="0" w:type="dxa"/>
          <w:left w:w="108" w:type="dxa"/>
          <w:bottom w:w="0" w:type="dxa"/>
          <w:right w:w="108" w:type="dxa"/>
        </w:tblCellMar>
      </w:tblPr>
      <w:tblGrid>
        <w:gridCol w:w="514"/>
        <w:gridCol w:w="744"/>
        <w:gridCol w:w="744"/>
        <w:gridCol w:w="5565"/>
        <w:gridCol w:w="957"/>
      </w:tblGrid>
      <w:tr>
        <w:tblPrEx>
          <w:tblCellMar>
            <w:top w:w="0" w:type="dxa"/>
            <w:left w:w="108" w:type="dxa"/>
            <w:bottom w:w="0" w:type="dxa"/>
            <w:right w:w="108" w:type="dxa"/>
          </w:tblCellMar>
        </w:tblPrEx>
        <w:trPr>
          <w:trHeight w:val="8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8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系统采用数字红外音频传输及控制技术，红外传输副载波符合IEC 61603-7数字红外国际标准，DQPSK数字调制/解调技术；（需提供产品彩页或技术白皮书或厂家出具的技术证明文件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11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需要集数字红外主机与专业数字音频功率放大器于一体，内置功放最大输出功率:≥60 W×4（6 Ω）；不少于2路线路音频输入，不少于1路麦克风输入，带幻象电源，每路输入音量可单独可调节；不少于1路线路音频输出接口；（需提供产品彩页或技术白皮书或厂家出具的技术证明文件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11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个RJ45接口，用于连接数字红外接收器，可使用标准网线与接收器进行连接；需支持2只无线麦克风同时对频使用，授课讲话，需支持打开无线麦克风自动静音有线麦克风；（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8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≥2路USB接口，一路USB口用于连接麦克风充电座，一路通过USB线连接到电脑，可配合数字红外无线麦克风实现PPT翻页或数字激光笔功能；</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1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不少于2个ETHERNET接口（RJ45）可连接PC进行网页调试软件控制与参数配置管理；内置DSP音频处理器，可调节麦克风的5段参量均衡，31段图示均衡，同时支持场景保存；</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需不少于1路RS232控制接口，可用于连接中控系统控制音量；</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1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需具有LCD显示屏，显示主机状态、设置系统时的菜单显示及红外话筒音量调节；需支持红外遥控、线路输出音量及啸叫抑制等调节功能；需具有幻象电源、网络设置及语言设置等功能；</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需具有线路声音自动衰减功能设置，即麦克风有声音触发时，线路声音降低；需具备完善的保护功能：短路、直流、过温等保护，过载功率控制，超温功率控制；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1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频率响应（麦克风-主机）100Hz～20kHz；信噪比≥90 dBA；总谐波失真≤0.05%；动态范围（麦克风-主机）≥85dB；（需提供产品彩页或技术白皮书或厂家出具的技术证明文件）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载波频率：音频通道1：2.33 MHz，音频通道2：3.67 MHz;（需提供产品彩页或技术白皮书或厂家出具的技术证明文件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bl>
    <w:p>
      <w:pPr>
        <w:pStyle w:val="103"/>
        <w:ind w:left="0" w:leftChars="0" w:firstLine="0" w:firstLineChars="0"/>
        <w:rPr>
          <w:rFonts w:hint="eastAsia"/>
          <w:lang w:val="en-US" w:eastAsia="zh-CN"/>
        </w:rPr>
      </w:pPr>
    </w:p>
    <w:p>
      <w:pPr>
        <w:pStyle w:val="103"/>
        <w:ind w:left="0" w:leftChars="0" w:firstLine="0" w:firstLineChars="0"/>
      </w:pPr>
      <w:r>
        <w:rPr>
          <w:rFonts w:hint="eastAsia"/>
          <w:lang w:val="en-US" w:eastAsia="zh-CN"/>
        </w:rPr>
        <w:t>10.</w:t>
      </w:r>
      <w:r>
        <w:rPr>
          <w:rFonts w:hint="eastAsia"/>
        </w:rPr>
        <w:t>数字红外接收器</w:t>
      </w:r>
    </w:p>
    <w:tbl>
      <w:tblPr>
        <w:tblStyle w:val="40"/>
        <w:tblW w:w="4998" w:type="pct"/>
        <w:tblInd w:w="0" w:type="dxa"/>
        <w:tblLayout w:type="autofit"/>
        <w:tblCellMar>
          <w:top w:w="0" w:type="dxa"/>
          <w:left w:w="108" w:type="dxa"/>
          <w:bottom w:w="0" w:type="dxa"/>
          <w:right w:w="108" w:type="dxa"/>
        </w:tblCellMar>
      </w:tblPr>
      <w:tblGrid>
        <w:gridCol w:w="518"/>
        <w:gridCol w:w="745"/>
        <w:gridCol w:w="744"/>
        <w:gridCol w:w="5563"/>
        <w:gridCol w:w="954"/>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5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采用数字红外音频传输及控制技术（需提供产品彩页或技术白皮书或厂家出具的技术证明文件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接收器具备≥1个RJ45接口，支持与红扩系统扩声主机使用标准网线连接，主机给接收器供电与数据通讯，无需单独电源适配器；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28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接收频点可调，需要支持2支无线麦克风连接；</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辐射距离不小于15米（需提供产品彩页或技术白皮书或厂家出具的技术证明文件）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接收角度：垂直：150° (±75°)，水平：360°；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bl>
    <w:p>
      <w:pPr>
        <w:pStyle w:val="103"/>
        <w:ind w:left="0" w:leftChars="0" w:firstLine="0" w:firstLineChars="0"/>
        <w:rPr>
          <w:rFonts w:hint="eastAsia"/>
          <w:lang w:val="en-US" w:eastAsia="zh-CN"/>
        </w:rPr>
      </w:pPr>
    </w:p>
    <w:p>
      <w:pPr>
        <w:pStyle w:val="103"/>
        <w:ind w:left="0" w:leftChars="0" w:firstLine="0" w:firstLineChars="0"/>
      </w:pPr>
      <w:r>
        <w:rPr>
          <w:rFonts w:hint="eastAsia"/>
          <w:lang w:val="en-US" w:eastAsia="zh-CN"/>
        </w:rPr>
        <w:t>11.</w:t>
      </w:r>
      <w:r>
        <w:rPr>
          <w:rFonts w:hint="eastAsia"/>
        </w:rPr>
        <w:t>屏蔽延长线</w:t>
      </w:r>
    </w:p>
    <w:tbl>
      <w:tblPr>
        <w:tblStyle w:val="40"/>
        <w:tblW w:w="4998" w:type="pct"/>
        <w:tblInd w:w="0" w:type="dxa"/>
        <w:tblLayout w:type="autofit"/>
        <w:tblCellMar>
          <w:top w:w="0" w:type="dxa"/>
          <w:left w:w="108" w:type="dxa"/>
          <w:bottom w:w="0" w:type="dxa"/>
          <w:right w:w="108" w:type="dxa"/>
        </w:tblCellMar>
      </w:tblPr>
      <w:tblGrid>
        <w:gridCol w:w="518"/>
        <w:gridCol w:w="745"/>
        <w:gridCol w:w="743"/>
        <w:gridCol w:w="5563"/>
        <w:gridCol w:w="955"/>
      </w:tblGrid>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85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highlight w:val="none"/>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屏蔽延长线不少于30米，带水线直通网线，金属外壳RJ45水晶头。用于红外接收机和主机连接。</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bl>
    <w:p>
      <w:pPr>
        <w:pStyle w:val="103"/>
        <w:ind w:left="0" w:leftChars="0" w:firstLine="0" w:firstLineChars="0"/>
        <w:rPr>
          <w:rFonts w:hint="eastAsia"/>
        </w:rPr>
      </w:pPr>
    </w:p>
    <w:p>
      <w:pPr>
        <w:pStyle w:val="103"/>
        <w:ind w:left="0" w:leftChars="0" w:firstLine="0" w:firstLineChars="0"/>
      </w:pPr>
      <w:r>
        <w:rPr>
          <w:rFonts w:hint="eastAsia"/>
          <w:lang w:val="en-US" w:eastAsia="zh-CN"/>
        </w:rPr>
        <w:t>12.</w:t>
      </w:r>
      <w:r>
        <w:rPr>
          <w:rFonts w:hint="eastAsia"/>
        </w:rPr>
        <w:t>数字红外无线麦克风</w:t>
      </w:r>
    </w:p>
    <w:tbl>
      <w:tblPr>
        <w:tblStyle w:val="40"/>
        <w:tblW w:w="4998" w:type="pct"/>
        <w:tblInd w:w="0" w:type="dxa"/>
        <w:tblLayout w:type="autofit"/>
        <w:tblCellMar>
          <w:top w:w="0" w:type="dxa"/>
          <w:left w:w="108" w:type="dxa"/>
          <w:bottom w:w="0" w:type="dxa"/>
          <w:right w:w="108" w:type="dxa"/>
        </w:tblCellMar>
      </w:tblPr>
      <w:tblGrid>
        <w:gridCol w:w="518"/>
        <w:gridCol w:w="745"/>
        <w:gridCol w:w="743"/>
        <w:gridCol w:w="5564"/>
        <w:gridCol w:w="954"/>
      </w:tblGrid>
      <w:tr>
        <w:tblPrEx>
          <w:tblCellMar>
            <w:top w:w="0" w:type="dxa"/>
            <w:left w:w="108" w:type="dxa"/>
            <w:bottom w:w="0" w:type="dxa"/>
            <w:right w:w="108" w:type="dxa"/>
          </w:tblCellMar>
        </w:tblPrEx>
        <w:trPr>
          <w:trHeight w:val="8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8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系统采用数字红外音频传输及控制技术，红外传输副载波符合IEC 61603-7数字红外国际标准，DQPSK数字调制/解调技术；（需提供产品彩页或技术白皮书或厂家出具的技术证明文件）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8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红外麦克风在不同教室之间使用，无需对频，即开即用，简单方便；不受高频驱动光源干扰，可正常工作于阳光下的环境；</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内置拾音麦，同时需具备3.5mm音频输入,支持外置3.5mm领夹麦输入及其它音频设备（如MP3、手机等）音频直接输入到麦克风；（需提供产品彩页或技术白皮书或厂家出具的技术证明文件）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需具有麦克风音量调节、话筒频点设定及话筒灵敏度设置功能；需要具备控制PPT翻页及内置激光笔功能；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当发言者在设定时间内无发言时，自动关闭红外信号发射，达到智能管理电量；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为了满足互动教学，无线麦克风需支持按住发言功能，即按键开启话筒，松开话筒即关闭；</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7</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发射角度：垂直0°～90°，水平120°；在教室使用范围不小于15米；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麦克风类型：驻极体心形指向性 ；支持可手持、颈挂多种使用方式：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27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9</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载波频率：音频通道1：2.33 MHz，音频通道2：3.67 MHz;</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81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内置可充电锂电池，电池容量不低于2000 mAh，充满电持续发言时间不小于7小时；需支持USB口充电（兼容DC5V手机充电器）或插入充电座充电；</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bl>
    <w:p>
      <w:pPr>
        <w:pStyle w:val="103"/>
        <w:ind w:left="0" w:leftChars="0" w:firstLine="0" w:firstLineChars="0"/>
        <w:rPr>
          <w:rFonts w:hint="eastAsia"/>
        </w:rPr>
      </w:pPr>
    </w:p>
    <w:p>
      <w:pPr>
        <w:pStyle w:val="103"/>
        <w:ind w:left="0" w:leftChars="0" w:firstLine="0" w:firstLineChars="0"/>
      </w:pPr>
      <w:r>
        <w:rPr>
          <w:rFonts w:hint="eastAsia"/>
          <w:lang w:val="en-US" w:eastAsia="zh-CN"/>
        </w:rPr>
        <w:t>13.</w:t>
      </w:r>
      <w:r>
        <w:rPr>
          <w:rFonts w:hint="eastAsia"/>
        </w:rPr>
        <w:t>线阵列音柱</w:t>
      </w:r>
    </w:p>
    <w:tbl>
      <w:tblPr>
        <w:tblStyle w:val="40"/>
        <w:tblW w:w="4998" w:type="pct"/>
        <w:tblInd w:w="0" w:type="dxa"/>
        <w:tblLayout w:type="autofit"/>
        <w:tblCellMar>
          <w:top w:w="0" w:type="dxa"/>
          <w:left w:w="108" w:type="dxa"/>
          <w:bottom w:w="0" w:type="dxa"/>
          <w:right w:w="108" w:type="dxa"/>
        </w:tblCellMar>
      </w:tblPr>
      <w:tblGrid>
        <w:gridCol w:w="514"/>
        <w:gridCol w:w="744"/>
        <w:gridCol w:w="744"/>
        <w:gridCol w:w="5565"/>
        <w:gridCol w:w="957"/>
      </w:tblGrid>
      <w:tr>
        <w:tblPrEx>
          <w:tblCellMar>
            <w:top w:w="0" w:type="dxa"/>
            <w:left w:w="108" w:type="dxa"/>
            <w:bottom w:w="0" w:type="dxa"/>
            <w:right w:w="108" w:type="dxa"/>
          </w:tblCellMar>
        </w:tblPrEx>
        <w:trPr>
          <w:trHeight w:val="81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5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紧凑型设计，高保真音质，内置4个3英寸全频扬声器单元；</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功率≥60W（6 Ω），输出音量高，频响带宽平直，最低频率可低至80Hz；（需提供产品彩页或技术白皮书或厂家出具的技术证明文件）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81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要求技术参数：频率响应：（-10 dB） 80Hz ~ 20 kHz；覆盖角度（水平方向150°，垂直方向30°）；灵敏度≥90 dB,声压级≥107dB；</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108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箱体表面按防护等级标准符合 IP-55设计（需提供产品彩页或技术白皮书或厂家出具的技术证明文件）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防紫外线玻璃纤维ABS外壳，防锈铝材面罩，颜色：黑色；</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bl>
    <w:p>
      <w:pPr>
        <w:pStyle w:val="103"/>
        <w:numPr>
          <w:ilvl w:val="0"/>
          <w:numId w:val="0"/>
        </w:numPr>
        <w:ind w:leftChars="0"/>
        <w:rPr>
          <w:rFonts w:hint="eastAsia"/>
        </w:rPr>
      </w:pPr>
    </w:p>
    <w:p>
      <w:pPr>
        <w:pStyle w:val="103"/>
        <w:numPr>
          <w:ilvl w:val="0"/>
          <w:numId w:val="0"/>
        </w:numPr>
        <w:ind w:leftChars="0"/>
      </w:pPr>
      <w:r>
        <w:rPr>
          <w:rFonts w:hint="eastAsia"/>
          <w:lang w:val="en-US" w:eastAsia="zh-CN"/>
        </w:rPr>
        <w:t>14.</w:t>
      </w:r>
      <w:r>
        <w:rPr>
          <w:rFonts w:hint="eastAsia"/>
        </w:rPr>
        <w:t>有线麦克</w:t>
      </w:r>
    </w:p>
    <w:tbl>
      <w:tblPr>
        <w:tblStyle w:val="40"/>
        <w:tblW w:w="4998" w:type="pct"/>
        <w:tblInd w:w="0" w:type="dxa"/>
        <w:tblLayout w:type="autofit"/>
        <w:tblCellMar>
          <w:top w:w="0" w:type="dxa"/>
          <w:left w:w="108" w:type="dxa"/>
          <w:bottom w:w="0" w:type="dxa"/>
          <w:right w:w="108" w:type="dxa"/>
        </w:tblCellMar>
      </w:tblPr>
      <w:tblGrid>
        <w:gridCol w:w="516"/>
        <w:gridCol w:w="744"/>
        <w:gridCol w:w="744"/>
        <w:gridCol w:w="5563"/>
        <w:gridCol w:w="957"/>
      </w:tblGrid>
      <w:tr>
        <w:tblPrEx>
          <w:tblCellMar>
            <w:top w:w="0" w:type="dxa"/>
            <w:left w:w="108" w:type="dxa"/>
            <w:bottom w:w="0" w:type="dxa"/>
            <w:right w:w="108" w:type="dxa"/>
          </w:tblCellMar>
        </w:tblPrEx>
        <w:trPr>
          <w:trHeight w:val="81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重要性</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指标项</w:t>
            </w:r>
          </w:p>
        </w:tc>
        <w:tc>
          <w:tcPr>
            <w:tcW w:w="3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指标要求</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是否提供证明材料</w:t>
            </w:r>
          </w:p>
        </w:tc>
      </w:tr>
      <w:tr>
        <w:tblPrEx>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鹅颈麦克话筒杆需可以拆卸，话筒杆长度≥60cm；</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有线麦克风需带充电底座，可对无线麦克风进行充电；（需提供产品彩页或技术白皮书或厂家出具的技术证明文件）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有线麦克风需≥2路USB接口，1个用于连接红外主机传输音频，1个USB接口，可使用5V适配器为充电座供电；</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27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需具有麦克风开/关按键，1个解锁触摸按键；</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p>
        </w:tc>
        <w:tc>
          <w:tcPr>
            <w:tcW w:w="3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无线麦克风充电座内置电子锁，可通过RS232连接中控主机解锁无线麦克风。（需提供产品彩页或技术白皮书或厂家出具的技术证明文件）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是</w:t>
            </w: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颜色</w:t>
            </w:r>
          </w:p>
        </w:tc>
        <w:tc>
          <w:tcPr>
            <w:tcW w:w="3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highlight w:val="none"/>
              </w:rPr>
            </w:pPr>
            <w:r>
              <w:rPr>
                <w:rFonts w:hint="eastAsia"/>
                <w:highlight w:val="none"/>
                <w:lang w:bidi="ar"/>
              </w:rPr>
              <w:t>黑色；</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highlight w:val="none"/>
              </w:rPr>
            </w:pPr>
            <w:r>
              <w:rPr>
                <w:rFonts w:hint="eastAsia"/>
                <w:highlight w:val="none"/>
                <w:lang w:bidi="ar"/>
              </w:rPr>
              <w:t>否</w:t>
            </w:r>
          </w:p>
        </w:tc>
      </w:tr>
    </w:tbl>
    <w:p>
      <w:pPr>
        <w:pStyle w:val="103"/>
        <w:numPr>
          <w:ilvl w:val="0"/>
          <w:numId w:val="0"/>
        </w:numPr>
        <w:rPr>
          <w:rFonts w:hint="eastAsia"/>
          <w:lang w:val="en-US" w:eastAsia="zh-CN"/>
        </w:rPr>
      </w:pPr>
    </w:p>
    <w:p>
      <w:pPr>
        <w:pStyle w:val="103"/>
        <w:numPr>
          <w:ilvl w:val="0"/>
          <w:numId w:val="0"/>
        </w:numPr>
      </w:pPr>
      <w:r>
        <w:rPr>
          <w:rFonts w:hint="eastAsia"/>
          <w:b/>
          <w:bCs/>
          <w:sz w:val="28"/>
          <w:szCs w:val="28"/>
          <w:lang w:val="en-US" w:eastAsia="zh-CN"/>
        </w:rPr>
        <w:t>三、项目交付时间及地点</w:t>
      </w:r>
    </w:p>
    <w:tbl>
      <w:tblPr>
        <w:tblStyle w:val="40"/>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3705"/>
        <w:gridCol w:w="2203"/>
        <w:gridCol w:w="19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000000" w:fill="E7E6E6"/>
            <w:noWrap/>
            <w:vAlign w:val="center"/>
          </w:tcPr>
          <w:p>
            <w:r>
              <w:rPr>
                <w:rFonts w:hint="eastAsia"/>
              </w:rPr>
              <w:t>序号</w:t>
            </w:r>
          </w:p>
        </w:tc>
        <w:tc>
          <w:tcPr>
            <w:tcW w:w="2173" w:type="pct"/>
            <w:shd w:val="clear" w:color="000000" w:fill="E7E6E6"/>
            <w:noWrap/>
            <w:vAlign w:val="center"/>
          </w:tcPr>
          <w:p>
            <w:r>
              <w:rPr>
                <w:rFonts w:hint="eastAsia"/>
              </w:rPr>
              <w:t>货物名称</w:t>
            </w:r>
          </w:p>
        </w:tc>
        <w:tc>
          <w:tcPr>
            <w:tcW w:w="1292" w:type="pct"/>
            <w:shd w:val="clear" w:color="000000" w:fill="E7E6E6"/>
            <w:noWrap/>
            <w:vAlign w:val="center"/>
          </w:tcPr>
          <w:p>
            <w:r>
              <w:rPr>
                <w:rFonts w:hint="eastAsia"/>
              </w:rPr>
              <w:t>交付时间</w:t>
            </w:r>
          </w:p>
        </w:tc>
        <w:tc>
          <w:tcPr>
            <w:tcW w:w="1128" w:type="pct"/>
            <w:shd w:val="clear" w:color="000000" w:fill="E7E6E6"/>
            <w:noWrap/>
            <w:vAlign w:val="center"/>
          </w:tcPr>
          <w:p>
            <w:r>
              <w:rPr>
                <w:rFonts w:hint="eastAsia"/>
              </w:rPr>
              <w:t>交付地点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1</w:t>
            </w:r>
          </w:p>
        </w:tc>
        <w:tc>
          <w:tcPr>
            <w:tcW w:w="2173" w:type="pct"/>
            <w:shd w:val="clear" w:color="auto" w:fill="auto"/>
            <w:noWrap/>
            <w:vAlign w:val="center"/>
          </w:tcPr>
          <w:p>
            <w:r>
              <w:rPr>
                <w:rFonts w:hint="eastAsia"/>
              </w:rPr>
              <w:t>教学工作站</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2</w:t>
            </w:r>
          </w:p>
        </w:tc>
        <w:tc>
          <w:tcPr>
            <w:tcW w:w="2173" w:type="pct"/>
            <w:shd w:val="clear" w:color="auto" w:fill="auto"/>
            <w:noWrap/>
            <w:vAlign w:val="center"/>
          </w:tcPr>
          <w:p>
            <w:r>
              <w:rPr>
                <w:rFonts w:hint="eastAsia"/>
              </w:rPr>
              <w:t>交换机</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3</w:t>
            </w:r>
          </w:p>
        </w:tc>
        <w:tc>
          <w:tcPr>
            <w:tcW w:w="2173" w:type="pct"/>
            <w:shd w:val="clear" w:color="auto" w:fill="auto"/>
            <w:noWrap/>
            <w:vAlign w:val="center"/>
          </w:tcPr>
          <w:p>
            <w:r>
              <w:rPr>
                <w:rFonts w:hint="eastAsia"/>
              </w:rPr>
              <w:t>展示系统</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4</w:t>
            </w:r>
          </w:p>
        </w:tc>
        <w:tc>
          <w:tcPr>
            <w:tcW w:w="2173" w:type="pct"/>
            <w:shd w:val="clear" w:color="auto" w:fill="auto"/>
            <w:noWrap/>
            <w:vAlign w:val="center"/>
          </w:tcPr>
          <w:p>
            <w:r>
              <w:rPr>
                <w:rFonts w:hint="eastAsia"/>
              </w:rPr>
              <w:t>空气净化系统</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5</w:t>
            </w:r>
          </w:p>
        </w:tc>
        <w:tc>
          <w:tcPr>
            <w:tcW w:w="2173" w:type="pct"/>
            <w:shd w:val="clear" w:color="auto" w:fill="auto"/>
            <w:noWrap/>
            <w:vAlign w:val="center"/>
          </w:tcPr>
          <w:p>
            <w:r>
              <w:rPr>
                <w:rFonts w:hint="eastAsia"/>
              </w:rPr>
              <w:t>机柜</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6</w:t>
            </w:r>
          </w:p>
        </w:tc>
        <w:tc>
          <w:tcPr>
            <w:tcW w:w="2173" w:type="pct"/>
            <w:shd w:val="clear" w:color="auto" w:fill="auto"/>
            <w:noWrap/>
            <w:vAlign w:val="center"/>
          </w:tcPr>
          <w:p>
            <w:r>
              <w:rPr>
                <w:rFonts w:hint="eastAsia"/>
              </w:rPr>
              <w:t>中控</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7</w:t>
            </w:r>
          </w:p>
        </w:tc>
        <w:tc>
          <w:tcPr>
            <w:tcW w:w="2173" w:type="pct"/>
            <w:shd w:val="clear" w:color="auto" w:fill="auto"/>
            <w:noWrap/>
            <w:vAlign w:val="center"/>
          </w:tcPr>
          <w:p>
            <w:r>
              <w:rPr>
                <w:rFonts w:hint="eastAsia"/>
              </w:rPr>
              <w:t>交互控制面板</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8</w:t>
            </w:r>
          </w:p>
        </w:tc>
        <w:tc>
          <w:tcPr>
            <w:tcW w:w="2173" w:type="pct"/>
            <w:shd w:val="clear" w:color="auto" w:fill="auto"/>
            <w:noWrap/>
            <w:vAlign w:val="center"/>
          </w:tcPr>
          <w:p>
            <w:r>
              <w:rPr>
                <w:rFonts w:hint="eastAsia"/>
              </w:rPr>
              <w:t>编程控制</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9</w:t>
            </w:r>
          </w:p>
        </w:tc>
        <w:tc>
          <w:tcPr>
            <w:tcW w:w="2173" w:type="pct"/>
            <w:shd w:val="clear" w:color="auto" w:fill="auto"/>
            <w:noWrap/>
            <w:vAlign w:val="center"/>
          </w:tcPr>
          <w:p>
            <w:r>
              <w:rPr>
                <w:rFonts w:hint="eastAsia"/>
              </w:rPr>
              <w:t>数字红外无线教学扩声系统主机</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10</w:t>
            </w:r>
          </w:p>
        </w:tc>
        <w:tc>
          <w:tcPr>
            <w:tcW w:w="2173" w:type="pct"/>
            <w:shd w:val="clear" w:color="auto" w:fill="auto"/>
            <w:noWrap/>
            <w:vAlign w:val="center"/>
          </w:tcPr>
          <w:p>
            <w:r>
              <w:rPr>
                <w:rFonts w:hint="eastAsia"/>
              </w:rPr>
              <w:t>数字红外接收器</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11</w:t>
            </w:r>
          </w:p>
        </w:tc>
        <w:tc>
          <w:tcPr>
            <w:tcW w:w="2173" w:type="pct"/>
            <w:shd w:val="clear" w:color="auto" w:fill="auto"/>
            <w:noWrap/>
            <w:vAlign w:val="center"/>
          </w:tcPr>
          <w:p>
            <w:r>
              <w:rPr>
                <w:rFonts w:hint="eastAsia"/>
              </w:rPr>
              <w:t>屏蔽延长线</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12</w:t>
            </w:r>
          </w:p>
        </w:tc>
        <w:tc>
          <w:tcPr>
            <w:tcW w:w="2173" w:type="pct"/>
            <w:shd w:val="clear" w:color="auto" w:fill="auto"/>
            <w:noWrap/>
            <w:vAlign w:val="center"/>
          </w:tcPr>
          <w:p>
            <w:r>
              <w:rPr>
                <w:rFonts w:hint="eastAsia"/>
              </w:rPr>
              <w:t>数字红外无线麦克风</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13</w:t>
            </w:r>
          </w:p>
        </w:tc>
        <w:tc>
          <w:tcPr>
            <w:tcW w:w="2173" w:type="pct"/>
            <w:shd w:val="clear" w:color="auto" w:fill="auto"/>
            <w:noWrap/>
            <w:vAlign w:val="center"/>
          </w:tcPr>
          <w:p>
            <w:r>
              <w:rPr>
                <w:rFonts w:hint="eastAsia"/>
              </w:rPr>
              <w:t>线阵列音柱</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06" w:type="pct"/>
            <w:shd w:val="clear" w:color="auto" w:fill="auto"/>
            <w:noWrap/>
            <w:vAlign w:val="center"/>
          </w:tcPr>
          <w:p>
            <w:r>
              <w:t>14</w:t>
            </w:r>
          </w:p>
        </w:tc>
        <w:tc>
          <w:tcPr>
            <w:tcW w:w="2173" w:type="pct"/>
            <w:shd w:val="clear" w:color="auto" w:fill="auto"/>
            <w:noWrap/>
            <w:vAlign w:val="center"/>
          </w:tcPr>
          <w:p>
            <w:r>
              <w:rPr>
                <w:rFonts w:hint="eastAsia"/>
              </w:rPr>
              <w:t>有线麦克</w:t>
            </w:r>
          </w:p>
        </w:tc>
        <w:tc>
          <w:tcPr>
            <w:tcW w:w="1292" w:type="pct"/>
            <w:shd w:val="clear" w:color="auto" w:fill="auto"/>
            <w:vAlign w:val="center"/>
          </w:tcPr>
          <w:p>
            <w:r>
              <w:rPr>
                <w:rFonts w:hint="eastAsia"/>
              </w:rPr>
              <w:t>合同签订后30日内</w:t>
            </w:r>
          </w:p>
        </w:tc>
        <w:tc>
          <w:tcPr>
            <w:tcW w:w="1128" w:type="pct"/>
            <w:shd w:val="clear" w:color="auto" w:fill="auto"/>
            <w:vAlign w:val="center"/>
          </w:tcPr>
          <w:p>
            <w:r>
              <w:rPr>
                <w:rFonts w:hint="eastAsia"/>
              </w:rPr>
              <w:t>北方工业大学</w:t>
            </w:r>
          </w:p>
        </w:tc>
      </w:tr>
    </w:tbl>
    <w:p>
      <w:pPr>
        <w:pStyle w:val="103"/>
        <w:numPr>
          <w:ilvl w:val="0"/>
          <w:numId w:val="0"/>
        </w:numPr>
        <w:rPr>
          <w:rFonts w:hint="eastAsia"/>
          <w:b/>
          <w:bCs/>
          <w:sz w:val="28"/>
          <w:szCs w:val="28"/>
          <w:lang w:val="en-US" w:eastAsia="zh-CN"/>
        </w:rPr>
      </w:pPr>
    </w:p>
    <w:p>
      <w:pPr>
        <w:pStyle w:val="103"/>
        <w:numPr>
          <w:ilvl w:val="0"/>
          <w:numId w:val="0"/>
        </w:numPr>
        <w:rPr>
          <w:rFonts w:hint="eastAsia"/>
          <w:b/>
          <w:bCs/>
          <w:sz w:val="28"/>
          <w:szCs w:val="28"/>
          <w:lang w:val="en-US" w:eastAsia="zh-CN"/>
        </w:rPr>
      </w:pPr>
      <w:r>
        <w:rPr>
          <w:rFonts w:hint="eastAsia"/>
          <w:b/>
          <w:bCs/>
          <w:sz w:val="28"/>
          <w:szCs w:val="28"/>
          <w:lang w:val="en-US" w:eastAsia="zh-CN"/>
        </w:rPr>
        <w:t>四、服务要求</w:t>
      </w:r>
    </w:p>
    <w:tbl>
      <w:tblPr>
        <w:tblStyle w:val="40"/>
        <w:tblW w:w="89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4"/>
        <w:gridCol w:w="1625"/>
        <w:gridCol w:w="1020"/>
        <w:gridCol w:w="4440"/>
        <w:gridCol w:w="1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704" w:type="dxa"/>
            <w:shd w:val="clear" w:color="auto" w:fill="auto"/>
            <w:vAlign w:val="center"/>
          </w:tcPr>
          <w:p>
            <w:r>
              <w:rPr>
                <w:rFonts w:hint="eastAsia"/>
              </w:rPr>
              <w:t>序号</w:t>
            </w:r>
          </w:p>
        </w:tc>
        <w:tc>
          <w:tcPr>
            <w:tcW w:w="1625" w:type="dxa"/>
            <w:shd w:val="clear" w:color="auto" w:fill="auto"/>
            <w:vAlign w:val="center"/>
          </w:tcPr>
          <w:p>
            <w:r>
              <w:rPr>
                <w:rFonts w:hint="eastAsia"/>
              </w:rPr>
              <w:t>内容</w:t>
            </w:r>
          </w:p>
        </w:tc>
        <w:tc>
          <w:tcPr>
            <w:tcW w:w="1020" w:type="dxa"/>
            <w:shd w:val="clear" w:color="auto" w:fill="auto"/>
            <w:vAlign w:val="center"/>
          </w:tcPr>
          <w:p>
            <w:r>
              <w:rPr>
                <w:rFonts w:hint="eastAsia"/>
              </w:rPr>
              <w:t>重要性</w:t>
            </w:r>
          </w:p>
        </w:tc>
        <w:tc>
          <w:tcPr>
            <w:tcW w:w="4440" w:type="dxa"/>
            <w:shd w:val="clear" w:color="auto" w:fill="auto"/>
            <w:vAlign w:val="center"/>
          </w:tcPr>
          <w:p>
            <w:r>
              <w:rPr>
                <w:rFonts w:hint="eastAsia"/>
              </w:rPr>
              <w:t>服务要求标准</w:t>
            </w:r>
          </w:p>
        </w:tc>
        <w:tc>
          <w:tcPr>
            <w:tcW w:w="1142" w:type="dxa"/>
            <w:shd w:val="clear" w:color="auto" w:fill="auto"/>
            <w:vAlign w:val="center"/>
          </w:tcPr>
          <w:p>
            <w:r>
              <w:rPr>
                <w:rFonts w:hint="eastAsia"/>
              </w:rPr>
              <w:t>证明材料要求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704" w:type="dxa"/>
            <w:shd w:val="clear" w:color="auto" w:fill="auto"/>
            <w:vAlign w:val="center"/>
          </w:tcPr>
          <w:p>
            <w:r>
              <w:rPr>
                <w:rFonts w:hint="eastAsia"/>
              </w:rPr>
              <w:t>1</w:t>
            </w:r>
          </w:p>
        </w:tc>
        <w:tc>
          <w:tcPr>
            <w:tcW w:w="1625" w:type="dxa"/>
            <w:shd w:val="clear" w:color="auto" w:fill="auto"/>
            <w:vAlign w:val="center"/>
          </w:tcPr>
          <w:p>
            <w:r>
              <w:rPr>
                <w:rFonts w:hint="eastAsia"/>
              </w:rPr>
              <w:t>原厂售后服务承诺函</w:t>
            </w:r>
          </w:p>
        </w:tc>
        <w:tc>
          <w:tcPr>
            <w:tcW w:w="1020" w:type="dxa"/>
            <w:shd w:val="clear" w:color="auto" w:fill="auto"/>
            <w:vAlign w:val="center"/>
          </w:tcPr>
          <w:p>
            <w:pPr>
              <w:jc w:val="center"/>
            </w:pPr>
            <w:r>
              <w:rPr>
                <w:rFonts w:hint="eastAsia"/>
              </w:rPr>
              <w:t>▲</w:t>
            </w:r>
          </w:p>
        </w:tc>
        <w:tc>
          <w:tcPr>
            <w:tcW w:w="4440" w:type="dxa"/>
            <w:shd w:val="clear" w:color="auto" w:fill="auto"/>
            <w:vAlign w:val="center"/>
          </w:tcPr>
          <w:p>
            <w:r>
              <w:rPr>
                <w:rFonts w:hint="eastAsia"/>
              </w:rPr>
              <w:t>本次所有产品提供软件和硬件不少于三年质保服务，</w:t>
            </w:r>
            <w:r>
              <w:rPr>
                <w:rFonts w:hint="eastAsia"/>
                <w:lang w:val="en-US" w:eastAsia="zh-CN"/>
              </w:rPr>
              <w:t>其中要求至少</w:t>
            </w:r>
            <w:r>
              <w:rPr>
                <w:rFonts w:hint="eastAsia"/>
              </w:rPr>
              <w:t>提供教学工作站、中控、数字红外接收器</w:t>
            </w:r>
            <w:r>
              <w:rPr>
                <w:rFonts w:hint="eastAsia"/>
                <w:lang w:val="en-US" w:eastAsia="zh-CN"/>
              </w:rPr>
              <w:t>的</w:t>
            </w:r>
            <w:r>
              <w:rPr>
                <w:rFonts w:hint="eastAsia"/>
              </w:rPr>
              <w:t>原厂售后服务承诺函。</w:t>
            </w:r>
          </w:p>
        </w:tc>
        <w:tc>
          <w:tcPr>
            <w:tcW w:w="1142" w:type="dxa"/>
            <w:shd w:val="clear" w:color="auto" w:fill="auto"/>
            <w:vAlign w:val="center"/>
          </w:tcPr>
          <w:p>
            <w:r>
              <w:rPr>
                <w:rFonts w:hint="eastAsia"/>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r>
              <w:rPr>
                <w:rFonts w:hint="eastAsia"/>
              </w:rPr>
              <w:t>2</w:t>
            </w:r>
          </w:p>
        </w:tc>
        <w:tc>
          <w:tcPr>
            <w:tcW w:w="1625" w:type="dxa"/>
            <w:shd w:val="clear" w:color="auto" w:fill="auto"/>
            <w:vAlign w:val="center"/>
          </w:tcPr>
          <w:p>
            <w:r>
              <w:rPr>
                <w:rFonts w:hint="eastAsia"/>
              </w:rPr>
              <w:t>培训标准</w:t>
            </w:r>
          </w:p>
        </w:tc>
        <w:tc>
          <w:tcPr>
            <w:tcW w:w="1020" w:type="dxa"/>
            <w:shd w:val="clear" w:color="auto" w:fill="auto"/>
            <w:vAlign w:val="center"/>
          </w:tcPr>
          <w:p>
            <w:pPr>
              <w:jc w:val="center"/>
            </w:pPr>
          </w:p>
        </w:tc>
        <w:tc>
          <w:tcPr>
            <w:tcW w:w="4440" w:type="dxa"/>
            <w:shd w:val="clear" w:color="auto" w:fill="auto"/>
            <w:vAlign w:val="center"/>
          </w:tcPr>
          <w:p>
            <w:r>
              <w:rPr>
                <w:rFonts w:hint="eastAsia"/>
              </w:rPr>
              <w:t>提供不少于2天不少于5人的全系统安装配置维修等实操培训课程，培训内容应执行原厂标准流程，场地、交通等与培训相关的费用均由投标人承担。</w:t>
            </w:r>
          </w:p>
        </w:tc>
        <w:tc>
          <w:tcPr>
            <w:tcW w:w="1142" w:type="dxa"/>
            <w:shd w:val="clear" w:color="auto" w:fill="auto"/>
            <w:vAlign w:val="center"/>
          </w:tcPr>
          <w:p>
            <w:r>
              <w:rPr>
                <w:rFonts w:hint="eastAsi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r>
              <w:rPr>
                <w:rFonts w:hint="eastAsia"/>
              </w:rPr>
              <w:t>3</w:t>
            </w:r>
          </w:p>
        </w:tc>
        <w:tc>
          <w:tcPr>
            <w:tcW w:w="1625" w:type="dxa"/>
            <w:shd w:val="clear" w:color="auto" w:fill="auto"/>
            <w:vAlign w:val="center"/>
          </w:tcPr>
          <w:p>
            <w:r>
              <w:rPr>
                <w:rFonts w:hint="eastAsia"/>
              </w:rPr>
              <w:t>驻场人员要求</w:t>
            </w:r>
          </w:p>
        </w:tc>
        <w:tc>
          <w:tcPr>
            <w:tcW w:w="1020" w:type="dxa"/>
            <w:shd w:val="clear" w:color="auto" w:fill="auto"/>
            <w:vAlign w:val="center"/>
          </w:tcPr>
          <w:p>
            <w:pPr>
              <w:jc w:val="center"/>
            </w:pPr>
            <w:r>
              <w:rPr>
                <w:rFonts w:hint="eastAsia"/>
              </w:rPr>
              <w:t>★</w:t>
            </w:r>
          </w:p>
        </w:tc>
        <w:tc>
          <w:tcPr>
            <w:tcW w:w="4440" w:type="dxa"/>
            <w:shd w:val="clear" w:color="auto" w:fill="auto"/>
            <w:vAlign w:val="center"/>
          </w:tcPr>
          <w:p>
            <w:r>
              <w:rPr>
                <w:rFonts w:hint="eastAsia"/>
              </w:rPr>
              <w:t>项目验收后，中标人需提供1名技术人员</w:t>
            </w:r>
            <w:r>
              <w:t>1</w:t>
            </w:r>
            <w:r>
              <w:rPr>
                <w:rFonts w:hint="eastAsia"/>
              </w:rPr>
              <w:t>年驻场5</w:t>
            </w:r>
            <w:r>
              <w:t>*</w:t>
            </w:r>
            <w:r>
              <w:rPr>
                <w:rFonts w:hint="eastAsia"/>
              </w:rPr>
              <w:t>6小时服务。提供驻场人员信息表及承诺函并加盖投标人公章。</w:t>
            </w:r>
          </w:p>
        </w:tc>
        <w:tc>
          <w:tcPr>
            <w:tcW w:w="1142" w:type="dxa"/>
            <w:shd w:val="clear" w:color="auto" w:fill="auto"/>
            <w:vAlign w:val="center"/>
          </w:tcPr>
          <w:p>
            <w:r>
              <w:rPr>
                <w:rFonts w:hint="eastAsia"/>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4" w:type="dxa"/>
            <w:shd w:val="clear" w:color="auto" w:fill="auto"/>
            <w:vAlign w:val="center"/>
          </w:tcPr>
          <w:p>
            <w:r>
              <w:rPr>
                <w:rFonts w:hint="eastAsia"/>
              </w:rPr>
              <w:t>4</w:t>
            </w:r>
          </w:p>
        </w:tc>
        <w:tc>
          <w:tcPr>
            <w:tcW w:w="1625" w:type="dxa"/>
            <w:shd w:val="clear" w:color="auto" w:fill="auto"/>
            <w:vAlign w:val="center"/>
          </w:tcPr>
          <w:p>
            <w:r>
              <w:rPr>
                <w:rFonts w:hint="eastAsia"/>
              </w:rPr>
              <w:t>人员资格标准</w:t>
            </w:r>
          </w:p>
        </w:tc>
        <w:tc>
          <w:tcPr>
            <w:tcW w:w="1020" w:type="dxa"/>
            <w:shd w:val="clear" w:color="auto" w:fill="auto"/>
            <w:vAlign w:val="center"/>
          </w:tcPr>
          <w:p>
            <w:pPr>
              <w:jc w:val="center"/>
            </w:pPr>
            <w:r>
              <w:rPr>
                <w:rFonts w:hint="eastAsia"/>
              </w:rPr>
              <w:t>▲</w:t>
            </w:r>
          </w:p>
        </w:tc>
        <w:tc>
          <w:tcPr>
            <w:tcW w:w="4440" w:type="dxa"/>
            <w:shd w:val="clear" w:color="auto" w:fill="auto"/>
            <w:vAlign w:val="center"/>
          </w:tcPr>
          <w:p>
            <w:r>
              <w:rPr>
                <w:rFonts w:hint="eastAsia"/>
              </w:rPr>
              <w:t>驻场人员需具有信息安全保障人员认证证书：安全运维</w:t>
            </w:r>
          </w:p>
        </w:tc>
        <w:tc>
          <w:tcPr>
            <w:tcW w:w="1142" w:type="dxa"/>
            <w:shd w:val="clear" w:color="auto" w:fill="auto"/>
            <w:vAlign w:val="center"/>
          </w:tcPr>
          <w:p>
            <w:r>
              <w:rPr>
                <w:rFonts w:hint="eastAsia"/>
              </w:rPr>
              <w:t>是</w:t>
            </w:r>
          </w:p>
        </w:tc>
      </w:tr>
    </w:tbl>
    <w:p>
      <w:pPr>
        <w:pStyle w:val="103"/>
        <w:numPr>
          <w:ilvl w:val="0"/>
          <w:numId w:val="0"/>
        </w:numPr>
        <w:rPr>
          <w:rFonts w:hint="eastAsia"/>
          <w:b/>
          <w:bCs/>
          <w:sz w:val="28"/>
          <w:szCs w:val="28"/>
          <w:lang w:val="en-US" w:eastAsia="zh-CN"/>
        </w:rPr>
      </w:pPr>
      <w:r>
        <w:rPr>
          <w:rFonts w:hint="eastAsia"/>
          <w:b/>
          <w:bCs/>
          <w:sz w:val="28"/>
          <w:szCs w:val="28"/>
          <w:lang w:val="en-US" w:eastAsia="zh-CN"/>
        </w:rPr>
        <w:t>五、技术支持及售后要求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提供自验收合格之日起不少于3年原厂质保服务，服务期内中标供应商应提供免费维护、保修服务。质保期内因产品质量问题造成采购人的损失由中标供应商承担。供应商应承诺保证该项目按时正式稳定地运行，并承诺提供每周7×24小时在线支持服务。应提供热线电话、E-mai1、网站等途径，随时接受采购人提出的各种技术问题，并在24小时内提出解决方案。在接到故障报修要求时，1小时内做出明确响应及安排，在2小时内为采购人提供维护服务，并做出故障诊断报告。若需要现场服务才能解决问题，投标人应在4小时内到达。</w:t>
      </w:r>
    </w:p>
    <w:p>
      <w:pPr>
        <w:rPr>
          <w:rFonts w:ascii="宋体" w:hAnsi="宋体"/>
          <w:b/>
          <w:sz w:val="36"/>
          <w:szCs w:val="36"/>
        </w:rPr>
      </w:pPr>
    </w:p>
    <w:p>
      <w:pPr>
        <w:rPr>
          <w:rFonts w:ascii="宋体" w:hAnsi="宋体"/>
          <w:b/>
          <w:sz w:val="36"/>
          <w:szCs w:val="36"/>
        </w:rPr>
      </w:pPr>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第六章  拟签订的合同文本</w:t>
      </w:r>
      <w:bookmarkEnd w:id="785"/>
    </w:p>
    <w:p>
      <w:pPr>
        <w:jc w:val="center"/>
        <w:rPr>
          <w:rFonts w:ascii="宋体" w:hAnsi="宋体"/>
        </w:rPr>
      </w:pPr>
      <w:r>
        <w:rPr>
          <w:rFonts w:hint="eastAsia" w:ascii="宋体" w:hAnsi="宋体"/>
        </w:rPr>
        <w:t>（以实际签订为准）</w:t>
      </w:r>
    </w:p>
    <w:p>
      <w:pPr>
        <w:ind w:left="1133" w:leftChars="1" w:hanging="1131" w:hangingChars="404"/>
        <w:jc w:val="center"/>
        <w:rPr>
          <w:rFonts w:ascii="Times New Roman"/>
          <w:color w:val="auto"/>
          <w:sz w:val="28"/>
          <w:szCs w:val="28"/>
        </w:rPr>
      </w:pPr>
      <w:bookmarkStart w:id="786" w:name="_Toc17149"/>
    </w:p>
    <w:p>
      <w:pPr>
        <w:ind w:left="1133" w:leftChars="1" w:hanging="1131" w:hangingChars="404"/>
        <w:jc w:val="center"/>
        <w:rPr>
          <w:rFonts w:ascii="Times New Roman"/>
          <w:color w:val="auto"/>
          <w:sz w:val="28"/>
          <w:szCs w:val="28"/>
        </w:rPr>
      </w:pPr>
      <w:r>
        <w:rPr>
          <w:rFonts w:ascii="Times New Roman"/>
          <w:color w:val="auto"/>
          <w:sz w:val="28"/>
          <w:szCs w:val="28"/>
        </w:rPr>
        <w:t>政府采购合同</w:t>
      </w:r>
      <w:bookmarkEnd w:id="786"/>
    </w:p>
    <w:p>
      <w:pPr>
        <w:pStyle w:val="2"/>
        <w:widowControl w:val="0"/>
        <w:snapToGrid w:val="0"/>
        <w:spacing w:line="288" w:lineRule="auto"/>
        <w:ind w:left="971" w:leftChars="1" w:hanging="969" w:hangingChars="404"/>
        <w:jc w:val="right"/>
      </w:pPr>
      <w:bookmarkStart w:id="787" w:name="_Toc26007"/>
      <w:r>
        <w:rPr>
          <w:rFonts w:ascii="Times New Roman" w:hAnsi="宋体"/>
          <w:b w:val="0"/>
          <w:color w:val="auto"/>
          <w:sz w:val="24"/>
          <w:szCs w:val="24"/>
        </w:rPr>
        <w:t>合同编号：************</w:t>
      </w:r>
      <w:bookmarkEnd w:id="787"/>
    </w:p>
    <w:p/>
    <w:p>
      <w:pPr>
        <w:widowControl w:val="0"/>
        <w:snapToGrid w:val="0"/>
        <w:spacing w:before="119" w:line="360" w:lineRule="auto"/>
        <w:jc w:val="center"/>
        <w:rPr>
          <w:rFonts w:hAnsi="宋体"/>
          <w:color w:val="auto"/>
          <w:sz w:val="24"/>
          <w:szCs w:val="24"/>
        </w:rPr>
      </w:pPr>
      <w:r>
        <w:rPr>
          <w:rFonts w:hAnsi="宋体"/>
          <w:color w:val="auto"/>
          <w:sz w:val="24"/>
          <w:szCs w:val="24"/>
        </w:rPr>
        <w:t>项目名称：</w:t>
      </w:r>
      <w:r>
        <w:rPr>
          <w:rFonts w:hint="eastAsia" w:hAnsi="宋体"/>
          <w:color w:val="auto"/>
          <w:sz w:val="24"/>
          <w:szCs w:val="24"/>
          <w:u w:val="single"/>
        </w:rPr>
        <w:t>*</w:t>
      </w:r>
      <w:r>
        <w:rPr>
          <w:rFonts w:hAnsi="宋体"/>
          <w:color w:val="auto"/>
          <w:sz w:val="24"/>
          <w:szCs w:val="24"/>
          <w:u w:val="single"/>
        </w:rPr>
        <w:t xml:space="preserve">************************* </w:t>
      </w:r>
    </w:p>
    <w:p>
      <w:pPr>
        <w:widowControl w:val="0"/>
        <w:snapToGrid w:val="0"/>
        <w:spacing w:before="119" w:line="360" w:lineRule="auto"/>
        <w:jc w:val="center"/>
        <w:rPr>
          <w:color w:val="auto"/>
          <w:sz w:val="24"/>
          <w:szCs w:val="24"/>
        </w:rPr>
      </w:pPr>
      <w:r>
        <w:rPr>
          <w:rFonts w:hAnsi="宋体"/>
          <w:color w:val="auto"/>
          <w:sz w:val="24"/>
          <w:szCs w:val="24"/>
        </w:rPr>
        <w:t>货物名称：</w:t>
      </w:r>
      <w:r>
        <w:rPr>
          <w:rFonts w:hint="eastAsia"/>
          <w:color w:val="auto"/>
          <w:sz w:val="24"/>
          <w:szCs w:val="24"/>
          <w:u w:val="single"/>
        </w:rPr>
        <w:t>*</w:t>
      </w:r>
      <w:r>
        <w:rPr>
          <w:color w:val="auto"/>
          <w:sz w:val="24"/>
          <w:szCs w:val="24"/>
          <w:u w:val="single"/>
        </w:rPr>
        <w:t>*************************</w:t>
      </w:r>
    </w:p>
    <w:p>
      <w:pPr>
        <w:widowControl w:val="0"/>
        <w:snapToGrid w:val="0"/>
        <w:spacing w:before="119" w:line="272" w:lineRule="atLeast"/>
        <w:ind w:left="971" w:leftChars="1" w:hanging="969" w:hangingChars="404"/>
        <w:jc w:val="center"/>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2127"/>
        <w:jc w:val="left"/>
        <w:rPr>
          <w:color w:val="auto"/>
          <w:sz w:val="24"/>
          <w:szCs w:val="24"/>
        </w:rPr>
      </w:pPr>
      <w:r>
        <w:rPr>
          <w:rFonts w:hAnsi="宋体"/>
          <w:color w:val="auto"/>
          <w:sz w:val="24"/>
          <w:szCs w:val="24"/>
        </w:rPr>
        <w:t>买　　方：</w:t>
      </w:r>
      <w:r>
        <w:rPr>
          <w:rFonts w:hAnsi="宋体"/>
          <w:color w:val="auto"/>
          <w:sz w:val="24"/>
          <w:szCs w:val="24"/>
          <w:u w:val="single"/>
        </w:rPr>
        <w:t>北方工业大学</w:t>
      </w:r>
    </w:p>
    <w:p>
      <w:pPr>
        <w:widowControl w:val="0"/>
        <w:snapToGrid w:val="0"/>
        <w:spacing w:before="119" w:line="272" w:lineRule="atLeast"/>
        <w:ind w:left="2127"/>
        <w:jc w:val="left"/>
        <w:rPr>
          <w:color w:val="auto"/>
          <w:sz w:val="24"/>
          <w:szCs w:val="24"/>
        </w:rPr>
      </w:pPr>
    </w:p>
    <w:p>
      <w:pPr>
        <w:widowControl w:val="0"/>
        <w:snapToGrid w:val="0"/>
        <w:spacing w:before="119" w:line="272" w:lineRule="atLeast"/>
        <w:ind w:left="2127"/>
        <w:jc w:val="left"/>
        <w:rPr>
          <w:color w:val="auto"/>
          <w:sz w:val="24"/>
          <w:szCs w:val="24"/>
        </w:rPr>
      </w:pPr>
      <w:r>
        <w:rPr>
          <w:rFonts w:hAnsi="宋体"/>
          <w:color w:val="auto"/>
          <w:sz w:val="24"/>
          <w:szCs w:val="24"/>
        </w:rPr>
        <w:t>卖　　方：</w:t>
      </w:r>
      <w:r>
        <w:rPr>
          <w:rFonts w:hint="eastAsia" w:hAnsi="宋体"/>
          <w:color w:val="auto"/>
          <w:sz w:val="24"/>
          <w:szCs w:val="24"/>
          <w:u w:val="single"/>
        </w:rPr>
        <w:t>*</w:t>
      </w:r>
      <w:r>
        <w:rPr>
          <w:rFonts w:hAnsi="宋体"/>
          <w:color w:val="auto"/>
          <w:sz w:val="24"/>
          <w:szCs w:val="24"/>
          <w:u w:val="single"/>
        </w:rPr>
        <w:t>*************************</w:t>
      </w:r>
    </w:p>
    <w:p>
      <w:pPr>
        <w:widowControl w:val="0"/>
        <w:snapToGrid w:val="0"/>
        <w:spacing w:before="119" w:line="272" w:lineRule="atLeast"/>
        <w:ind w:left="2127"/>
        <w:jc w:val="left"/>
        <w:rPr>
          <w:color w:val="auto"/>
          <w:sz w:val="24"/>
          <w:szCs w:val="24"/>
        </w:rPr>
      </w:pPr>
    </w:p>
    <w:p>
      <w:pPr>
        <w:widowControl w:val="0"/>
        <w:snapToGrid w:val="0"/>
        <w:spacing w:before="119" w:line="272" w:lineRule="atLeast"/>
        <w:ind w:left="2127"/>
        <w:jc w:val="left"/>
        <w:rPr>
          <w:color w:val="auto"/>
          <w:sz w:val="24"/>
          <w:szCs w:val="24"/>
          <w:u w:val="single"/>
        </w:rPr>
      </w:pPr>
      <w:r>
        <w:rPr>
          <w:rFonts w:hAnsi="宋体"/>
          <w:color w:val="auto"/>
          <w:sz w:val="24"/>
          <w:szCs w:val="24"/>
        </w:rPr>
        <w:t>签署日期：</w:t>
      </w:r>
      <w:r>
        <w:rPr>
          <w:color w:val="auto"/>
          <w:sz w:val="24"/>
          <w:szCs w:val="24"/>
          <w:u w:val="single"/>
        </w:rPr>
        <w:t>2024</w:t>
      </w:r>
      <w:r>
        <w:rPr>
          <w:rFonts w:hAnsi="宋体"/>
          <w:color w:val="auto"/>
          <w:sz w:val="24"/>
          <w:szCs w:val="24"/>
          <w:u w:val="single"/>
        </w:rPr>
        <w:t>年</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r>
        <w:rPr>
          <w:rFonts w:hAnsi="宋体"/>
          <w:color w:val="auto"/>
          <w:sz w:val="24"/>
          <w:szCs w:val="24"/>
          <w:u w:val="single"/>
        </w:rPr>
        <w:t>月</w:t>
      </w:r>
      <w:r>
        <w:rPr>
          <w:rFonts w:hint="eastAsia" w:hAnsi="宋体"/>
          <w:color w:val="auto"/>
          <w:sz w:val="24"/>
          <w:szCs w:val="24"/>
          <w:u w:val="single"/>
        </w:rPr>
        <w:t xml:space="preserve"> </w:t>
      </w:r>
      <w:r>
        <w:rPr>
          <w:rFonts w:hAnsi="宋体"/>
          <w:color w:val="auto"/>
          <w:sz w:val="24"/>
          <w:szCs w:val="24"/>
          <w:u w:val="single"/>
        </w:rPr>
        <w:t xml:space="preserve">    日</w:t>
      </w:r>
    </w:p>
    <w:p>
      <w:pPr>
        <w:widowControl w:val="0"/>
        <w:snapToGrid w:val="0"/>
        <w:spacing w:before="119" w:line="272" w:lineRule="atLeast"/>
        <w:ind w:left="971" w:leftChars="1" w:hanging="969" w:hangingChars="404"/>
        <w:rPr>
          <w:color w:val="auto"/>
          <w:sz w:val="24"/>
          <w:szCs w:val="24"/>
          <w:u w:val="single"/>
        </w:rPr>
      </w:pPr>
    </w:p>
    <w:p>
      <w:pPr>
        <w:widowControl w:val="0"/>
        <w:snapToGrid w:val="0"/>
        <w:spacing w:before="119" w:line="272" w:lineRule="atLeast"/>
        <w:ind w:left="971" w:leftChars="1" w:hanging="969" w:hangingChars="404"/>
        <w:rPr>
          <w:color w:val="auto"/>
          <w:sz w:val="24"/>
          <w:szCs w:val="24"/>
          <w:u w:val="single"/>
        </w:rPr>
        <w:sectPr>
          <w:headerReference r:id="rId14" w:type="default"/>
          <w:footerReference r:id="rId15" w:type="default"/>
          <w:pgSz w:w="11905" w:h="16837"/>
          <w:pgMar w:top="1439" w:right="1797" w:bottom="1439" w:left="1797" w:header="850" w:footer="992" w:gutter="0"/>
          <w:cols w:space="425" w:num="1"/>
        </w:sectPr>
      </w:pPr>
    </w:p>
    <w:p>
      <w:pPr>
        <w:widowControl w:val="0"/>
        <w:snapToGrid w:val="0"/>
        <w:spacing w:before="119" w:line="289" w:lineRule="atLeast"/>
        <w:ind w:left="1138" w:leftChars="1" w:hanging="1136" w:hangingChars="404"/>
        <w:jc w:val="center"/>
        <w:rPr>
          <w:color w:val="auto"/>
          <w:sz w:val="28"/>
          <w:szCs w:val="28"/>
        </w:rPr>
      </w:pPr>
      <w:r>
        <w:rPr>
          <w:rFonts w:hAnsi="宋体"/>
          <w:b/>
          <w:color w:val="auto"/>
          <w:sz w:val="28"/>
          <w:szCs w:val="28"/>
        </w:rPr>
        <w:t>合　　同　　　书</w:t>
      </w:r>
    </w:p>
    <w:p>
      <w:pPr>
        <w:widowControl w:val="0"/>
        <w:tabs>
          <w:tab w:val="left" w:pos="142"/>
        </w:tabs>
        <w:snapToGrid w:val="0"/>
        <w:spacing w:before="119" w:line="360" w:lineRule="auto"/>
        <w:ind w:firstLine="424" w:firstLineChars="177"/>
        <w:rPr>
          <w:color w:val="auto"/>
          <w:sz w:val="24"/>
          <w:szCs w:val="24"/>
          <w:u w:val="single"/>
        </w:rPr>
      </w:pPr>
      <w:r>
        <w:rPr>
          <w:rFonts w:hAnsi="宋体"/>
          <w:color w:val="auto"/>
          <w:sz w:val="24"/>
          <w:szCs w:val="24"/>
          <w:u w:val="single"/>
        </w:rPr>
        <w:t>北方工业大学</w:t>
      </w:r>
      <w:r>
        <w:rPr>
          <w:color w:val="auto"/>
          <w:sz w:val="24"/>
          <w:szCs w:val="24"/>
        </w:rPr>
        <w:t>(</w:t>
      </w:r>
      <w:r>
        <w:rPr>
          <w:rFonts w:hAnsi="宋体"/>
          <w:color w:val="auto"/>
          <w:sz w:val="24"/>
          <w:szCs w:val="24"/>
        </w:rPr>
        <w:t>买方</w:t>
      </w:r>
      <w:r>
        <w:rPr>
          <w:color w:val="auto"/>
          <w:sz w:val="24"/>
          <w:szCs w:val="24"/>
        </w:rPr>
        <w:t>)</w:t>
      </w:r>
      <w:r>
        <w:rPr>
          <w:rFonts w:hint="eastAsia"/>
          <w:sz w:val="24"/>
          <w:szCs w:val="24"/>
        </w:rPr>
        <w:t xml:space="preserve"> </w:t>
      </w:r>
      <w:r>
        <w:rPr>
          <w:rFonts w:hint="eastAsia"/>
          <w:color w:val="auto"/>
          <w:sz w:val="24"/>
          <w:szCs w:val="24"/>
          <w:u w:val="single"/>
        </w:rPr>
        <w:t>*</w:t>
      </w:r>
      <w:r>
        <w:rPr>
          <w:color w:val="auto"/>
          <w:sz w:val="24"/>
          <w:szCs w:val="24"/>
          <w:u w:val="single"/>
        </w:rPr>
        <w:t>********************</w:t>
      </w:r>
      <w:r>
        <w:rPr>
          <w:color w:val="auto"/>
          <w:sz w:val="24"/>
          <w:szCs w:val="24"/>
        </w:rPr>
        <w:t>(</w:t>
      </w:r>
      <w:r>
        <w:rPr>
          <w:rFonts w:hAnsi="宋体"/>
          <w:color w:val="auto"/>
          <w:sz w:val="24"/>
          <w:szCs w:val="24"/>
        </w:rPr>
        <w:t>项目名称</w:t>
      </w:r>
      <w:r>
        <w:rPr>
          <w:color w:val="auto"/>
          <w:sz w:val="24"/>
          <w:szCs w:val="24"/>
        </w:rPr>
        <w:t>)</w:t>
      </w:r>
      <w:r>
        <w:rPr>
          <w:rFonts w:hAnsi="宋体"/>
          <w:color w:val="auto"/>
          <w:sz w:val="24"/>
          <w:szCs w:val="24"/>
        </w:rPr>
        <w:t>中所需</w:t>
      </w:r>
      <w:r>
        <w:rPr>
          <w:rFonts w:hint="eastAsia"/>
          <w:color w:val="auto"/>
          <w:sz w:val="24"/>
          <w:szCs w:val="24"/>
          <w:u w:val="single"/>
        </w:rPr>
        <w:t>*</w:t>
      </w:r>
      <w:r>
        <w:rPr>
          <w:color w:val="auto"/>
          <w:sz w:val="24"/>
          <w:szCs w:val="24"/>
          <w:u w:val="single"/>
        </w:rPr>
        <w:t>**************</w:t>
      </w:r>
      <w:r>
        <w:rPr>
          <w:color w:val="auto"/>
          <w:sz w:val="24"/>
          <w:szCs w:val="24"/>
        </w:rPr>
        <w:t>(</w:t>
      </w:r>
      <w:r>
        <w:rPr>
          <w:rFonts w:hAnsi="宋体"/>
          <w:color w:val="auto"/>
          <w:sz w:val="24"/>
          <w:szCs w:val="24"/>
        </w:rPr>
        <w:t>货物名称</w:t>
      </w:r>
      <w:r>
        <w:rPr>
          <w:color w:val="auto"/>
          <w:sz w:val="24"/>
          <w:szCs w:val="24"/>
        </w:rPr>
        <w:t>)</w:t>
      </w:r>
      <w:r>
        <w:rPr>
          <w:rFonts w:hAnsi="宋体"/>
          <w:color w:val="auto"/>
          <w:sz w:val="24"/>
          <w:szCs w:val="24"/>
        </w:rPr>
        <w:t>经</w:t>
      </w:r>
      <w:r>
        <w:rPr>
          <w:rFonts w:hint="eastAsia" w:hAnsi="宋体"/>
          <w:color w:val="auto"/>
          <w:sz w:val="24"/>
          <w:szCs w:val="24"/>
          <w:u w:val="single"/>
        </w:rPr>
        <w:t>*</w:t>
      </w:r>
      <w:r>
        <w:rPr>
          <w:rFonts w:hAnsi="宋体"/>
          <w:color w:val="auto"/>
          <w:sz w:val="24"/>
          <w:szCs w:val="24"/>
          <w:u w:val="single"/>
        </w:rPr>
        <w:t>*****************</w:t>
      </w:r>
      <w:r>
        <w:rPr>
          <w:rFonts w:hint="eastAsia" w:hAnsi="宋体"/>
          <w:color w:val="auto"/>
          <w:sz w:val="24"/>
          <w:szCs w:val="24"/>
          <w:u w:val="single"/>
        </w:rPr>
        <w:t>招标有限公司</w:t>
      </w:r>
      <w:r>
        <w:rPr>
          <w:color w:val="auto"/>
          <w:sz w:val="24"/>
          <w:szCs w:val="24"/>
        </w:rPr>
        <w:t>(</w:t>
      </w:r>
      <w:r>
        <w:rPr>
          <w:rFonts w:hAnsi="宋体"/>
          <w:color w:val="auto"/>
          <w:sz w:val="24"/>
          <w:szCs w:val="24"/>
        </w:rPr>
        <w:t>招标代理机构</w:t>
      </w:r>
      <w:r>
        <w:rPr>
          <w:color w:val="auto"/>
          <w:sz w:val="24"/>
          <w:szCs w:val="24"/>
        </w:rPr>
        <w:t>)</w:t>
      </w:r>
      <w:r>
        <w:rPr>
          <w:rFonts w:hAnsi="宋体"/>
          <w:color w:val="auto"/>
          <w:sz w:val="24"/>
          <w:szCs w:val="24"/>
        </w:rPr>
        <w:t>以</w:t>
      </w:r>
      <w:r>
        <w:rPr>
          <w:rFonts w:eastAsiaTheme="minorEastAsia"/>
          <w:color w:val="auto"/>
          <w:sz w:val="24"/>
          <w:szCs w:val="24"/>
          <w:u w:val="single"/>
          <w:shd w:val="clear" w:color="auto" w:fill="FFFFFF"/>
        </w:rPr>
        <w:t>*******************</w:t>
      </w:r>
      <w:r>
        <w:rPr>
          <w:rFonts w:hAnsi="宋体"/>
          <w:color w:val="auto"/>
          <w:sz w:val="24"/>
          <w:szCs w:val="24"/>
        </w:rPr>
        <w:t>号招标文件在国内</w:t>
      </w:r>
      <w:r>
        <w:rPr>
          <w:rFonts w:hAnsi="宋体"/>
          <w:color w:val="FF0000"/>
          <w:sz w:val="24"/>
          <w:szCs w:val="24"/>
          <w:u w:val="single"/>
        </w:rPr>
        <w:t>公开</w:t>
      </w:r>
      <w:r>
        <w:rPr>
          <w:rFonts w:hAnsi="宋体"/>
          <w:color w:val="auto"/>
          <w:sz w:val="24"/>
          <w:szCs w:val="24"/>
        </w:rPr>
        <w:t>（公开</w:t>
      </w:r>
      <w:r>
        <w:rPr>
          <w:color w:val="auto"/>
          <w:sz w:val="24"/>
          <w:szCs w:val="24"/>
        </w:rPr>
        <w:t>/</w:t>
      </w:r>
      <w:r>
        <w:rPr>
          <w:rFonts w:hAnsi="宋体"/>
          <w:color w:val="auto"/>
          <w:sz w:val="24"/>
          <w:szCs w:val="24"/>
        </w:rPr>
        <w:t>单一来源</w:t>
      </w:r>
      <w:r>
        <w:rPr>
          <w:color w:val="auto"/>
          <w:sz w:val="24"/>
          <w:szCs w:val="24"/>
        </w:rPr>
        <w:t>/</w:t>
      </w:r>
      <w:r>
        <w:rPr>
          <w:rFonts w:hAnsi="宋体"/>
          <w:color w:val="auto"/>
          <w:sz w:val="24"/>
          <w:szCs w:val="24"/>
        </w:rPr>
        <w:t>竞争性谈判）招标。经评标委员会评定</w:t>
      </w:r>
      <w:r>
        <w:rPr>
          <w:rFonts w:hint="eastAsia" w:hAnsi="宋体"/>
          <w:color w:val="auto"/>
          <w:sz w:val="24"/>
          <w:szCs w:val="24"/>
          <w:u w:val="single"/>
        </w:rPr>
        <w:t>*</w:t>
      </w:r>
      <w:r>
        <w:rPr>
          <w:rFonts w:hAnsi="宋体"/>
          <w:color w:val="auto"/>
          <w:sz w:val="24"/>
          <w:szCs w:val="24"/>
          <w:u w:val="single"/>
        </w:rPr>
        <w:t>*******************</w:t>
      </w:r>
      <w:r>
        <w:rPr>
          <w:color w:val="auto"/>
          <w:sz w:val="24"/>
          <w:szCs w:val="24"/>
        </w:rPr>
        <w:t>(</w:t>
      </w:r>
      <w:r>
        <w:rPr>
          <w:rFonts w:hAnsi="宋体"/>
          <w:color w:val="auto"/>
          <w:sz w:val="24"/>
          <w:szCs w:val="24"/>
        </w:rPr>
        <w:t>卖方</w:t>
      </w:r>
      <w:r>
        <w:rPr>
          <w:color w:val="auto"/>
          <w:sz w:val="24"/>
          <w:szCs w:val="24"/>
        </w:rPr>
        <w:t>)</w:t>
      </w:r>
      <w:r>
        <w:rPr>
          <w:rFonts w:hAnsi="宋体"/>
          <w:color w:val="auto"/>
          <w:sz w:val="24"/>
          <w:szCs w:val="24"/>
        </w:rPr>
        <w:t>为中标人。买、卖双方依据《中华人民共和国政府采购法》、《中华人民共和国民法典》，在平等自愿的基础上，同意按照下面的条款和条件，签署本合同。</w:t>
      </w:r>
    </w:p>
    <w:p>
      <w:pPr>
        <w:widowControl w:val="0"/>
        <w:numPr>
          <w:ilvl w:val="0"/>
          <w:numId w:val="12"/>
        </w:numPr>
        <w:snapToGrid w:val="0"/>
        <w:spacing w:before="238" w:line="419" w:lineRule="atLeast"/>
        <w:ind w:left="975" w:leftChars="1" w:hanging="973" w:hangingChars="404"/>
        <w:rPr>
          <w:b/>
          <w:color w:val="auto"/>
          <w:sz w:val="24"/>
          <w:szCs w:val="24"/>
        </w:rPr>
      </w:pPr>
      <w:r>
        <w:rPr>
          <w:rFonts w:hAnsi="宋体"/>
          <w:b/>
          <w:color w:val="auto"/>
          <w:sz w:val="24"/>
          <w:szCs w:val="24"/>
        </w:rPr>
        <w:t>合同文件</w:t>
      </w:r>
    </w:p>
    <w:p>
      <w:pPr>
        <w:widowControl w:val="0"/>
        <w:snapToGrid w:val="0"/>
        <w:spacing w:before="238" w:line="419" w:lineRule="atLeast"/>
        <w:ind w:left="2" w:leftChars="1" w:firstLine="480" w:firstLineChars="200"/>
        <w:rPr>
          <w:color w:val="auto"/>
          <w:sz w:val="24"/>
          <w:szCs w:val="24"/>
        </w:rPr>
      </w:pPr>
      <w:r>
        <w:rPr>
          <w:rFonts w:hAnsi="宋体"/>
          <w:color w:val="auto"/>
          <w:sz w:val="24"/>
          <w:szCs w:val="24"/>
        </w:rPr>
        <w:t>下列文件构成本合同的组成部分，应该认为是一个整体，彼此相互解释，相互补充。组成合同的多个文件如下：</w:t>
      </w:r>
    </w:p>
    <w:p>
      <w:pPr>
        <w:widowControl w:val="0"/>
        <w:snapToGrid w:val="0"/>
        <w:spacing w:before="119" w:line="419" w:lineRule="atLeast"/>
        <w:ind w:left="971" w:leftChars="1" w:hanging="969" w:hangingChars="404"/>
        <w:rPr>
          <w:color w:val="auto"/>
          <w:sz w:val="24"/>
          <w:szCs w:val="24"/>
        </w:rPr>
      </w:pPr>
      <w:r>
        <w:rPr>
          <w:color w:val="auto"/>
          <w:sz w:val="24"/>
          <w:szCs w:val="24"/>
        </w:rPr>
        <w:t>a.</w:t>
      </w:r>
      <w:r>
        <w:rPr>
          <w:color w:val="auto"/>
          <w:sz w:val="24"/>
          <w:szCs w:val="24"/>
        </w:rPr>
        <w:tab/>
      </w:r>
      <w:r>
        <w:rPr>
          <w:rFonts w:hAnsi="宋体"/>
          <w:color w:val="auto"/>
          <w:sz w:val="24"/>
          <w:szCs w:val="24"/>
        </w:rPr>
        <w:t>本合同书，包含附件</w:t>
      </w:r>
      <w:r>
        <w:rPr>
          <w:color w:val="auto"/>
          <w:sz w:val="24"/>
          <w:szCs w:val="24"/>
        </w:rPr>
        <w:t>1</w:t>
      </w:r>
      <w:r>
        <w:rPr>
          <w:rFonts w:hAnsi="宋体"/>
          <w:color w:val="auto"/>
          <w:sz w:val="24"/>
          <w:szCs w:val="24"/>
        </w:rPr>
        <w:t>、附件</w:t>
      </w:r>
      <w:r>
        <w:rPr>
          <w:color w:val="auto"/>
          <w:sz w:val="24"/>
          <w:szCs w:val="24"/>
        </w:rPr>
        <w:t>2</w:t>
      </w:r>
    </w:p>
    <w:p>
      <w:pPr>
        <w:widowControl w:val="0"/>
        <w:snapToGrid w:val="0"/>
        <w:spacing w:before="119" w:line="419" w:lineRule="atLeast"/>
        <w:ind w:left="971" w:leftChars="1" w:hanging="969" w:hangingChars="404"/>
        <w:rPr>
          <w:color w:val="auto"/>
          <w:sz w:val="24"/>
          <w:szCs w:val="24"/>
        </w:rPr>
      </w:pPr>
      <w:r>
        <w:rPr>
          <w:color w:val="auto"/>
          <w:sz w:val="24"/>
          <w:szCs w:val="24"/>
        </w:rPr>
        <w:t>b.</w:t>
      </w:r>
      <w:r>
        <w:rPr>
          <w:color w:val="auto"/>
          <w:sz w:val="24"/>
          <w:szCs w:val="24"/>
        </w:rPr>
        <w:tab/>
      </w:r>
      <w:r>
        <w:rPr>
          <w:rFonts w:hAnsi="宋体"/>
          <w:color w:val="auto"/>
          <w:sz w:val="24"/>
          <w:szCs w:val="24"/>
        </w:rPr>
        <w:t>中标通知书</w:t>
      </w:r>
      <w:r>
        <w:rPr>
          <w:color w:val="auto"/>
          <w:sz w:val="24"/>
          <w:szCs w:val="24"/>
        </w:rPr>
        <w:tab/>
      </w:r>
    </w:p>
    <w:p>
      <w:pPr>
        <w:widowControl w:val="0"/>
        <w:snapToGrid w:val="0"/>
        <w:spacing w:before="119" w:line="419" w:lineRule="atLeast"/>
        <w:ind w:left="971" w:leftChars="1" w:hanging="969" w:hangingChars="404"/>
        <w:rPr>
          <w:color w:val="auto"/>
          <w:sz w:val="24"/>
          <w:szCs w:val="24"/>
        </w:rPr>
      </w:pPr>
      <w:r>
        <w:rPr>
          <w:color w:val="auto"/>
          <w:sz w:val="24"/>
          <w:szCs w:val="24"/>
        </w:rPr>
        <w:t>c.</w:t>
      </w:r>
      <w:r>
        <w:rPr>
          <w:color w:val="auto"/>
          <w:sz w:val="24"/>
          <w:szCs w:val="24"/>
        </w:rPr>
        <w:tab/>
      </w:r>
      <w:r>
        <w:rPr>
          <w:rFonts w:hAnsi="宋体"/>
          <w:color w:val="auto"/>
          <w:sz w:val="24"/>
          <w:szCs w:val="24"/>
        </w:rPr>
        <w:t>协议</w:t>
      </w:r>
      <w:r>
        <w:rPr>
          <w:color w:val="auto"/>
          <w:sz w:val="24"/>
          <w:szCs w:val="24"/>
        </w:rPr>
        <w:tab/>
      </w:r>
      <w:r>
        <w:rPr>
          <w:color w:val="auto"/>
          <w:sz w:val="24"/>
          <w:szCs w:val="24"/>
        </w:rPr>
        <w:tab/>
      </w:r>
      <w:r>
        <w:rPr>
          <w:color w:val="auto"/>
          <w:sz w:val="24"/>
          <w:szCs w:val="24"/>
        </w:rPr>
        <w:tab/>
      </w:r>
      <w:r>
        <w:rPr>
          <w:color w:val="auto"/>
          <w:sz w:val="24"/>
          <w:szCs w:val="24"/>
        </w:rPr>
        <w:tab/>
      </w:r>
    </w:p>
    <w:p>
      <w:pPr>
        <w:widowControl w:val="0"/>
        <w:snapToGrid w:val="0"/>
        <w:spacing w:before="119" w:line="419" w:lineRule="atLeast"/>
        <w:ind w:left="971" w:leftChars="1" w:hanging="969" w:hangingChars="404"/>
        <w:rPr>
          <w:color w:val="auto"/>
          <w:sz w:val="24"/>
          <w:szCs w:val="24"/>
        </w:rPr>
      </w:pPr>
      <w:r>
        <w:rPr>
          <w:color w:val="auto"/>
          <w:sz w:val="24"/>
          <w:szCs w:val="24"/>
        </w:rPr>
        <w:t>d.</w:t>
      </w:r>
      <w:r>
        <w:rPr>
          <w:color w:val="auto"/>
          <w:sz w:val="24"/>
          <w:szCs w:val="24"/>
        </w:rPr>
        <w:tab/>
      </w:r>
      <w:r>
        <w:rPr>
          <w:rFonts w:hAnsi="宋体"/>
          <w:color w:val="auto"/>
          <w:sz w:val="24"/>
          <w:szCs w:val="24"/>
        </w:rPr>
        <w:t>投标文件</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w:t>
      </w:r>
      <w:r>
        <w:rPr>
          <w:rFonts w:hAnsi="宋体"/>
          <w:color w:val="auto"/>
          <w:sz w:val="24"/>
          <w:szCs w:val="24"/>
        </w:rPr>
        <w:t>含澄清文件</w:t>
      </w:r>
      <w:r>
        <w:rPr>
          <w:color w:val="auto"/>
          <w:sz w:val="24"/>
          <w:szCs w:val="24"/>
        </w:rPr>
        <w:t>)</w:t>
      </w:r>
    </w:p>
    <w:p>
      <w:pPr>
        <w:widowControl w:val="0"/>
        <w:snapToGrid w:val="0"/>
        <w:spacing w:before="119" w:after="147" w:line="419" w:lineRule="atLeast"/>
        <w:ind w:left="971" w:leftChars="1" w:hanging="969" w:hangingChars="404"/>
        <w:rPr>
          <w:color w:val="auto"/>
          <w:sz w:val="24"/>
          <w:szCs w:val="24"/>
        </w:rPr>
      </w:pPr>
      <w:r>
        <w:rPr>
          <w:color w:val="auto"/>
          <w:sz w:val="24"/>
          <w:szCs w:val="24"/>
        </w:rPr>
        <w:t>e.</w:t>
      </w:r>
      <w:r>
        <w:rPr>
          <w:color w:val="auto"/>
          <w:sz w:val="24"/>
          <w:szCs w:val="24"/>
        </w:rPr>
        <w:tab/>
      </w:r>
      <w:r>
        <w:rPr>
          <w:rFonts w:hAnsi="宋体"/>
          <w:color w:val="auto"/>
          <w:sz w:val="24"/>
          <w:szCs w:val="24"/>
        </w:rPr>
        <w:t>招标文件</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w:t>
      </w:r>
      <w:r>
        <w:rPr>
          <w:rFonts w:hAnsi="宋体"/>
          <w:color w:val="auto"/>
          <w:sz w:val="24"/>
          <w:szCs w:val="24"/>
        </w:rPr>
        <w:t>含招标文件补充通知</w:t>
      </w:r>
      <w:r>
        <w:rPr>
          <w:color w:val="auto"/>
          <w:sz w:val="24"/>
          <w:szCs w:val="24"/>
        </w:rPr>
        <w:t>)</w:t>
      </w:r>
    </w:p>
    <w:p>
      <w:pPr>
        <w:widowControl w:val="0"/>
        <w:snapToGrid w:val="0"/>
        <w:spacing w:before="119" w:line="419" w:lineRule="atLeast"/>
        <w:ind w:left="975" w:leftChars="1" w:hanging="973" w:hangingChars="404"/>
        <w:rPr>
          <w:color w:val="auto"/>
          <w:sz w:val="24"/>
          <w:szCs w:val="24"/>
        </w:rPr>
      </w:pPr>
      <w:r>
        <w:rPr>
          <w:b/>
          <w:color w:val="auto"/>
          <w:sz w:val="24"/>
          <w:szCs w:val="24"/>
        </w:rPr>
        <w:t>2</w:t>
      </w:r>
      <w:r>
        <w:rPr>
          <w:rFonts w:hAnsi="宋体"/>
          <w:b/>
          <w:color w:val="auto"/>
          <w:sz w:val="24"/>
          <w:szCs w:val="24"/>
        </w:rPr>
        <w:t>、货物和数量</w:t>
      </w:r>
    </w:p>
    <w:p>
      <w:pPr>
        <w:widowControl w:val="0"/>
        <w:snapToGrid w:val="0"/>
        <w:spacing w:before="119" w:line="419" w:lineRule="atLeast"/>
        <w:ind w:left="1418" w:hanging="1418"/>
        <w:rPr>
          <w:color w:val="auto"/>
          <w:sz w:val="24"/>
          <w:szCs w:val="24"/>
          <w:u w:val="single"/>
        </w:rPr>
      </w:pPr>
      <w:r>
        <w:rPr>
          <w:rFonts w:hAnsi="宋体"/>
          <w:color w:val="auto"/>
          <w:sz w:val="24"/>
          <w:szCs w:val="24"/>
        </w:rPr>
        <w:t>本合同货物：</w:t>
      </w:r>
      <w:r>
        <w:rPr>
          <w:rFonts w:hint="eastAsia"/>
          <w:color w:val="auto"/>
          <w:sz w:val="24"/>
          <w:szCs w:val="24"/>
          <w:u w:val="single"/>
        </w:rPr>
        <w:t>*</w:t>
      </w:r>
      <w:r>
        <w:rPr>
          <w:color w:val="auto"/>
          <w:sz w:val="24"/>
          <w:szCs w:val="24"/>
          <w:u w:val="single"/>
        </w:rPr>
        <w:t>***************************</w:t>
      </w:r>
    </w:p>
    <w:p>
      <w:pPr>
        <w:widowControl w:val="0"/>
        <w:snapToGrid w:val="0"/>
        <w:spacing w:before="119" w:line="419" w:lineRule="atLeast"/>
        <w:ind w:left="1418" w:hanging="1418"/>
        <w:rPr>
          <w:color w:val="auto"/>
          <w:sz w:val="24"/>
          <w:szCs w:val="24"/>
        </w:rPr>
      </w:pPr>
      <w:r>
        <w:rPr>
          <w:rFonts w:hAnsi="宋体"/>
          <w:color w:val="auto"/>
          <w:sz w:val="24"/>
          <w:szCs w:val="24"/>
        </w:rPr>
        <w:t>数量：</w:t>
      </w:r>
      <w:r>
        <w:rPr>
          <w:rFonts w:hAnsi="宋体"/>
          <w:color w:val="auto"/>
          <w:sz w:val="24"/>
          <w:szCs w:val="24"/>
          <w:u w:val="single"/>
        </w:rPr>
        <w:t>详见附件一</w:t>
      </w:r>
    </w:p>
    <w:p>
      <w:pPr>
        <w:widowControl w:val="0"/>
        <w:snapToGrid w:val="0"/>
        <w:spacing w:before="238" w:line="419" w:lineRule="atLeast"/>
        <w:ind w:left="975" w:leftChars="1" w:hanging="973" w:hangingChars="404"/>
        <w:rPr>
          <w:color w:val="auto"/>
          <w:sz w:val="24"/>
          <w:szCs w:val="24"/>
        </w:rPr>
      </w:pPr>
      <w:r>
        <w:rPr>
          <w:b/>
          <w:color w:val="auto"/>
          <w:sz w:val="24"/>
          <w:szCs w:val="24"/>
        </w:rPr>
        <w:t>3</w:t>
      </w:r>
      <w:r>
        <w:rPr>
          <w:rFonts w:hAnsi="宋体"/>
          <w:b/>
          <w:color w:val="auto"/>
          <w:sz w:val="24"/>
          <w:szCs w:val="24"/>
        </w:rPr>
        <w:t>、合同总价</w:t>
      </w:r>
    </w:p>
    <w:p>
      <w:pPr>
        <w:widowControl w:val="0"/>
        <w:snapToGrid w:val="0"/>
        <w:spacing w:before="119" w:line="419" w:lineRule="atLeast"/>
        <w:ind w:left="971" w:leftChars="1" w:hanging="969" w:hangingChars="404"/>
        <w:rPr>
          <w:color w:val="auto"/>
          <w:sz w:val="24"/>
          <w:szCs w:val="24"/>
        </w:rPr>
      </w:pPr>
      <w:r>
        <w:rPr>
          <w:rFonts w:hAnsi="宋体"/>
          <w:color w:val="auto"/>
          <w:sz w:val="24"/>
          <w:szCs w:val="24"/>
        </w:rPr>
        <w:t>本合同总价为</w:t>
      </w:r>
      <w:r>
        <w:rPr>
          <w:color w:val="auto"/>
          <w:sz w:val="24"/>
          <w:szCs w:val="24"/>
          <w:u w:val="single"/>
        </w:rPr>
        <w:t>************************</w:t>
      </w:r>
      <w:r>
        <w:rPr>
          <w:rFonts w:hAnsi="宋体"/>
          <w:color w:val="auto"/>
          <w:sz w:val="24"/>
          <w:szCs w:val="24"/>
        </w:rPr>
        <w:t>元人民币。</w:t>
      </w:r>
    </w:p>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分项价格：</w:t>
      </w:r>
      <w:r>
        <w:rPr>
          <w:rFonts w:hAnsi="宋体"/>
          <w:color w:val="auto"/>
          <w:sz w:val="24"/>
          <w:szCs w:val="24"/>
          <w:u w:val="single"/>
        </w:rPr>
        <w:t>详见附件一</w:t>
      </w:r>
    </w:p>
    <w:p>
      <w:pPr>
        <w:widowControl w:val="0"/>
        <w:snapToGrid w:val="0"/>
        <w:spacing w:before="238" w:line="419" w:lineRule="atLeast"/>
        <w:ind w:left="975" w:leftChars="1" w:hanging="973" w:hangingChars="404"/>
        <w:rPr>
          <w:color w:val="auto"/>
          <w:sz w:val="24"/>
          <w:szCs w:val="24"/>
        </w:rPr>
      </w:pPr>
      <w:r>
        <w:rPr>
          <w:b/>
          <w:color w:val="auto"/>
          <w:sz w:val="24"/>
          <w:szCs w:val="24"/>
        </w:rPr>
        <w:t>4</w:t>
      </w:r>
      <w:r>
        <w:rPr>
          <w:rFonts w:hAnsi="宋体"/>
          <w:b/>
          <w:color w:val="auto"/>
          <w:sz w:val="24"/>
          <w:szCs w:val="24"/>
        </w:rPr>
        <w:t>、付款方式</w:t>
      </w:r>
    </w:p>
    <w:p>
      <w:pPr>
        <w:widowControl w:val="0"/>
        <w:snapToGrid w:val="0"/>
        <w:spacing w:before="119" w:line="419" w:lineRule="atLeast"/>
        <w:ind w:left="2" w:leftChars="1"/>
        <w:rPr>
          <w:rFonts w:hAnsi="宋体"/>
          <w:color w:val="auto"/>
          <w:szCs w:val="21"/>
          <w:u w:val="single"/>
        </w:rPr>
      </w:pPr>
      <w:r>
        <w:rPr>
          <w:rFonts w:hAnsi="宋体"/>
          <w:color w:val="auto"/>
          <w:sz w:val="24"/>
          <w:szCs w:val="24"/>
        </w:rPr>
        <w:t>本合同的付款方式为：</w:t>
      </w:r>
      <w:r>
        <w:rPr>
          <w:rFonts w:hAnsi="宋体"/>
          <w:color w:val="auto"/>
          <w:sz w:val="24"/>
          <w:szCs w:val="24"/>
          <w:u w:val="single"/>
        </w:rPr>
        <w:t>合同签订</w:t>
      </w:r>
      <w:r>
        <w:rPr>
          <w:rFonts w:hint="eastAsia" w:hAnsi="宋体"/>
          <w:color w:val="auto"/>
          <w:sz w:val="24"/>
          <w:szCs w:val="24"/>
          <w:u w:val="single"/>
        </w:rPr>
        <w:t>后</w:t>
      </w:r>
      <w:r>
        <w:rPr>
          <w:rFonts w:hAnsi="宋体"/>
          <w:color w:val="auto"/>
          <w:sz w:val="24"/>
          <w:szCs w:val="24"/>
          <w:u w:val="single"/>
        </w:rPr>
        <w:t>买方向卖方支付合同总金额的</w:t>
      </w:r>
      <w:r>
        <w:rPr>
          <w:color w:val="auto"/>
          <w:sz w:val="24"/>
          <w:szCs w:val="24"/>
          <w:u w:val="single"/>
        </w:rPr>
        <w:t>60</w:t>
      </w:r>
      <w:r>
        <w:rPr>
          <w:rFonts w:hAnsi="宋体"/>
          <w:color w:val="auto"/>
          <w:sz w:val="24"/>
          <w:szCs w:val="24"/>
          <w:u w:val="single"/>
        </w:rPr>
        <w:t>％；所有货物到货验收合格后卖方向买方缴纳合同总金额的</w:t>
      </w:r>
      <w:r>
        <w:rPr>
          <w:color w:val="auto"/>
          <w:sz w:val="24"/>
          <w:szCs w:val="24"/>
          <w:u w:val="single"/>
        </w:rPr>
        <w:t>5</w:t>
      </w:r>
      <w:r>
        <w:rPr>
          <w:rFonts w:hAnsi="宋体"/>
          <w:color w:val="auto"/>
          <w:sz w:val="24"/>
          <w:szCs w:val="24"/>
          <w:u w:val="single"/>
        </w:rPr>
        <w:t>％作为</w:t>
      </w:r>
      <w:r>
        <w:rPr>
          <w:rFonts w:hint="eastAsia" w:hAnsi="宋体"/>
          <w:color w:val="auto"/>
          <w:sz w:val="24"/>
          <w:szCs w:val="24"/>
          <w:u w:val="single"/>
        </w:rPr>
        <w:t>履约</w:t>
      </w:r>
      <w:r>
        <w:rPr>
          <w:rFonts w:hAnsi="宋体"/>
          <w:color w:val="auto"/>
          <w:sz w:val="24"/>
          <w:szCs w:val="24"/>
          <w:u w:val="single"/>
        </w:rPr>
        <w:t>保证金，</w:t>
      </w:r>
      <w:r>
        <w:rPr>
          <w:rFonts w:hint="eastAsia" w:hAnsi="宋体"/>
          <w:color w:val="auto"/>
          <w:sz w:val="24"/>
          <w:szCs w:val="24"/>
          <w:u w:val="single"/>
        </w:rPr>
        <w:t>然后</w:t>
      </w:r>
      <w:r>
        <w:rPr>
          <w:rFonts w:hAnsi="宋体"/>
          <w:color w:val="auto"/>
          <w:sz w:val="24"/>
          <w:szCs w:val="24"/>
          <w:u w:val="single"/>
        </w:rPr>
        <w:t>买方向卖方支付合同总金额</w:t>
      </w:r>
      <w:r>
        <w:rPr>
          <w:color w:val="auto"/>
          <w:sz w:val="24"/>
          <w:szCs w:val="24"/>
          <w:u w:val="single"/>
        </w:rPr>
        <w:t>40</w:t>
      </w:r>
      <w:r>
        <w:rPr>
          <w:rFonts w:hAnsi="宋体"/>
          <w:color w:val="auto"/>
          <w:sz w:val="24"/>
          <w:szCs w:val="24"/>
          <w:u w:val="single"/>
        </w:rPr>
        <w:t>％</w:t>
      </w:r>
      <w:r>
        <w:rPr>
          <w:rFonts w:hint="eastAsia" w:hAnsi="宋体"/>
          <w:color w:val="auto"/>
          <w:sz w:val="24"/>
          <w:szCs w:val="24"/>
          <w:u w:val="single"/>
        </w:rPr>
        <w:t>，</w:t>
      </w:r>
      <w:r>
        <w:rPr>
          <w:rFonts w:hAnsi="宋体"/>
          <w:color w:val="auto"/>
          <w:sz w:val="24"/>
          <w:szCs w:val="24"/>
          <w:u w:val="single"/>
        </w:rPr>
        <w:t>自货物验收合格算起</w:t>
      </w:r>
      <w:r>
        <w:rPr>
          <w:rFonts w:hint="eastAsia" w:hAnsi="宋体"/>
          <w:color w:val="auto"/>
          <w:sz w:val="24"/>
          <w:szCs w:val="24"/>
          <w:u w:val="single"/>
        </w:rPr>
        <w:t>1</w:t>
      </w:r>
      <w:r>
        <w:rPr>
          <w:rFonts w:hAnsi="宋体"/>
          <w:color w:val="auto"/>
          <w:sz w:val="24"/>
          <w:szCs w:val="24"/>
          <w:u w:val="single"/>
        </w:rPr>
        <w:t>2</w:t>
      </w:r>
      <w:r>
        <w:rPr>
          <w:rFonts w:hint="eastAsia" w:hAnsi="宋体"/>
          <w:color w:val="auto"/>
          <w:sz w:val="24"/>
          <w:szCs w:val="24"/>
          <w:u w:val="single"/>
        </w:rPr>
        <w:t>个月</w:t>
      </w:r>
      <w:r>
        <w:rPr>
          <w:rFonts w:hAnsi="宋体"/>
          <w:color w:val="auto"/>
          <w:sz w:val="24"/>
          <w:szCs w:val="24"/>
          <w:u w:val="single"/>
        </w:rPr>
        <w:t>后由买方无息退还</w:t>
      </w:r>
      <w:r>
        <w:rPr>
          <w:rFonts w:hint="eastAsia" w:hAnsi="宋体"/>
          <w:color w:val="auto"/>
          <w:sz w:val="24"/>
          <w:szCs w:val="24"/>
          <w:u w:val="single"/>
        </w:rPr>
        <w:t>履约</w:t>
      </w:r>
      <w:r>
        <w:rPr>
          <w:rFonts w:hAnsi="宋体"/>
          <w:color w:val="auto"/>
          <w:sz w:val="24"/>
          <w:szCs w:val="24"/>
          <w:u w:val="single"/>
        </w:rPr>
        <w:t>保证金。</w:t>
      </w:r>
      <w:r>
        <w:rPr>
          <w:rFonts w:hAnsi="宋体"/>
          <w:color w:val="auto"/>
          <w:szCs w:val="21"/>
          <w:u w:val="single"/>
        </w:rPr>
        <w:t>　</w:t>
      </w:r>
    </w:p>
    <w:p>
      <w:pPr>
        <w:widowControl w:val="0"/>
        <w:snapToGrid w:val="0"/>
        <w:spacing w:before="238" w:line="419" w:lineRule="atLeast"/>
        <w:ind w:left="975" w:leftChars="1" w:hanging="973" w:hangingChars="404"/>
        <w:rPr>
          <w:color w:val="auto"/>
          <w:sz w:val="24"/>
          <w:szCs w:val="24"/>
        </w:rPr>
      </w:pPr>
      <w:r>
        <w:rPr>
          <w:b/>
          <w:color w:val="auto"/>
          <w:sz w:val="24"/>
          <w:szCs w:val="24"/>
        </w:rPr>
        <w:t>5</w:t>
      </w:r>
      <w:r>
        <w:rPr>
          <w:rFonts w:hAnsi="宋体"/>
          <w:b/>
          <w:color w:val="auto"/>
          <w:sz w:val="24"/>
          <w:szCs w:val="24"/>
        </w:rPr>
        <w:t>、本合同货物的交货时间及交货地点</w:t>
      </w:r>
    </w:p>
    <w:p>
      <w:pPr>
        <w:widowControl w:val="0"/>
        <w:snapToGrid w:val="0"/>
        <w:spacing w:before="119" w:line="419" w:lineRule="atLeast"/>
        <w:ind w:leftChars="-1" w:hanging="2"/>
        <w:rPr>
          <w:color w:val="auto"/>
          <w:sz w:val="24"/>
          <w:szCs w:val="24"/>
        </w:rPr>
      </w:pPr>
      <w:r>
        <w:rPr>
          <w:rFonts w:hAnsi="宋体"/>
          <w:color w:val="auto"/>
          <w:sz w:val="24"/>
          <w:szCs w:val="24"/>
        </w:rPr>
        <w:t>交货时间：</w:t>
      </w:r>
      <w:r>
        <w:rPr>
          <w:rFonts w:hint="eastAsia" w:hAnsi="宋体"/>
          <w:color w:val="auto"/>
          <w:sz w:val="24"/>
          <w:szCs w:val="24"/>
          <w:u w:val="single"/>
        </w:rPr>
        <w:t>*</w:t>
      </w:r>
      <w:r>
        <w:rPr>
          <w:rFonts w:hAnsi="宋体"/>
          <w:color w:val="auto"/>
          <w:sz w:val="24"/>
          <w:szCs w:val="24"/>
          <w:u w:val="single"/>
        </w:rPr>
        <w:t>***********************　</w:t>
      </w:r>
    </w:p>
    <w:p>
      <w:pPr>
        <w:widowControl w:val="0"/>
        <w:snapToGrid w:val="0"/>
        <w:spacing w:before="119" w:line="419" w:lineRule="atLeast"/>
        <w:ind w:left="971" w:leftChars="1" w:hanging="969" w:hangingChars="404"/>
        <w:rPr>
          <w:color w:val="auto"/>
          <w:sz w:val="24"/>
          <w:szCs w:val="24"/>
          <w:u w:val="single"/>
        </w:rPr>
      </w:pPr>
      <w:r>
        <w:rPr>
          <w:rFonts w:hAnsi="宋体"/>
          <w:color w:val="auto"/>
          <w:sz w:val="24"/>
          <w:szCs w:val="24"/>
        </w:rPr>
        <w:t>交货地点：</w:t>
      </w:r>
      <w:r>
        <w:rPr>
          <w:rFonts w:hAnsi="宋体"/>
          <w:color w:val="auto"/>
          <w:sz w:val="24"/>
          <w:szCs w:val="24"/>
          <w:u w:val="single"/>
        </w:rPr>
        <w:t>北方工业大学</w:t>
      </w:r>
      <w:r>
        <w:rPr>
          <w:rFonts w:hint="eastAsia" w:hAnsi="宋体"/>
          <w:color w:val="auto"/>
          <w:sz w:val="24"/>
          <w:szCs w:val="24"/>
          <w:u w:val="single"/>
        </w:rPr>
        <w:t>指定地点</w:t>
      </w:r>
    </w:p>
    <w:p>
      <w:pPr>
        <w:widowControl w:val="0"/>
        <w:snapToGrid w:val="0"/>
        <w:spacing w:before="119" w:line="419" w:lineRule="atLeast"/>
        <w:ind w:left="971" w:leftChars="1" w:hanging="969" w:hangingChars="404"/>
        <w:rPr>
          <w:color w:val="auto"/>
          <w:sz w:val="24"/>
          <w:szCs w:val="24"/>
          <w:u w:val="single"/>
        </w:rPr>
      </w:pPr>
      <w:r>
        <w:rPr>
          <w:rFonts w:hAnsi="宋体"/>
          <w:color w:val="auto"/>
          <w:sz w:val="24"/>
          <w:szCs w:val="24"/>
        </w:rPr>
        <w:t>联系人：</w:t>
      </w:r>
      <w:r>
        <w:rPr>
          <w:rFonts w:hAnsi="宋体"/>
          <w:color w:val="auto"/>
          <w:sz w:val="24"/>
          <w:szCs w:val="24"/>
          <w:u w:val="single"/>
        </w:rPr>
        <w:t>王老师</w:t>
      </w:r>
      <w:r>
        <w:rPr>
          <w:color w:val="auto"/>
          <w:sz w:val="24"/>
          <w:szCs w:val="24"/>
          <w:u w:val="single"/>
        </w:rPr>
        <w:t>88801778</w:t>
      </w:r>
    </w:p>
    <w:p>
      <w:pPr>
        <w:widowControl w:val="0"/>
        <w:snapToGrid w:val="0"/>
        <w:spacing w:before="238" w:line="419" w:lineRule="atLeast"/>
        <w:ind w:left="975" w:leftChars="1" w:hanging="973" w:hangingChars="404"/>
        <w:rPr>
          <w:color w:val="auto"/>
          <w:sz w:val="24"/>
          <w:szCs w:val="24"/>
        </w:rPr>
      </w:pPr>
      <w:r>
        <w:rPr>
          <w:b/>
          <w:color w:val="auto"/>
          <w:sz w:val="24"/>
          <w:szCs w:val="24"/>
        </w:rPr>
        <w:t>6</w:t>
      </w:r>
      <w:r>
        <w:rPr>
          <w:rFonts w:hAnsi="宋体"/>
          <w:b/>
          <w:color w:val="auto"/>
          <w:sz w:val="24"/>
          <w:szCs w:val="24"/>
        </w:rPr>
        <w:t>、合同的生效。</w:t>
      </w:r>
    </w:p>
    <w:p>
      <w:pPr>
        <w:widowControl w:val="0"/>
        <w:snapToGrid w:val="0"/>
        <w:spacing w:before="119" w:line="419" w:lineRule="atLeast"/>
        <w:ind w:left="971" w:leftChars="1" w:hanging="969" w:hangingChars="404"/>
        <w:rPr>
          <w:color w:val="auto"/>
          <w:sz w:val="24"/>
          <w:szCs w:val="24"/>
        </w:rPr>
      </w:pPr>
      <w:r>
        <w:rPr>
          <w:rFonts w:hAnsi="宋体"/>
          <w:color w:val="auto"/>
          <w:sz w:val="24"/>
          <w:szCs w:val="24"/>
        </w:rPr>
        <w:t>本合同经双方全权代表签署、加盖单位印章后生效。</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8"/>
        <w:gridCol w:w="4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买　方：</w:t>
            </w:r>
            <w:r>
              <w:rPr>
                <w:rFonts w:hAnsi="宋体"/>
                <w:color w:val="auto"/>
                <w:sz w:val="24"/>
                <w:szCs w:val="24"/>
                <w:u w:val="single"/>
              </w:rPr>
              <w:t>北方工业大学</w:t>
            </w:r>
          </w:p>
        </w:tc>
        <w:tc>
          <w:tcPr>
            <w:tcW w:w="4123" w:type="dxa"/>
          </w:tcPr>
          <w:p>
            <w:pPr>
              <w:widowControl w:val="0"/>
              <w:snapToGrid w:val="0"/>
              <w:spacing w:before="119" w:line="419" w:lineRule="atLeast"/>
              <w:ind w:left="971" w:leftChars="1" w:hanging="969" w:hangingChars="404"/>
              <w:rPr>
                <w:color w:val="auto"/>
                <w:sz w:val="24"/>
                <w:szCs w:val="24"/>
                <w:u w:val="single"/>
              </w:rPr>
            </w:pPr>
            <w:r>
              <w:rPr>
                <w:rFonts w:hAnsi="宋体"/>
                <w:color w:val="auto"/>
                <w:sz w:val="24"/>
                <w:szCs w:val="24"/>
              </w:rPr>
              <w:t>卖　方：</w:t>
            </w:r>
            <w:r>
              <w:rPr>
                <w:rFonts w:hint="eastAsia" w:hAnsi="宋体"/>
                <w:color w:val="auto"/>
                <w:sz w:val="24"/>
                <w:szCs w:val="24"/>
                <w:u w:val="single"/>
              </w:rPr>
              <w:t>*</w:t>
            </w:r>
            <w:r>
              <w:rPr>
                <w:rFonts w:hAnsi="宋体"/>
                <w:color w:val="auto"/>
                <w:sz w:val="24"/>
                <w:szCs w:val="24"/>
                <w:u w:val="singl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名　称：</w:t>
            </w:r>
            <w:r>
              <w:rPr>
                <w:color w:val="auto"/>
                <w:sz w:val="24"/>
                <w:szCs w:val="24"/>
              </w:rPr>
              <w:t>(</w:t>
            </w:r>
            <w:r>
              <w:rPr>
                <w:rFonts w:hAnsi="宋体"/>
                <w:color w:val="auto"/>
                <w:sz w:val="24"/>
                <w:szCs w:val="24"/>
              </w:rPr>
              <w:t>印章</w:t>
            </w:r>
            <w:r>
              <w:rPr>
                <w:color w:val="auto"/>
                <w:sz w:val="24"/>
                <w:szCs w:val="24"/>
              </w:rPr>
              <w:t>)</w:t>
            </w:r>
          </w:p>
          <w:p>
            <w:pPr>
              <w:widowControl w:val="0"/>
              <w:snapToGrid w:val="0"/>
              <w:spacing w:before="119" w:line="419" w:lineRule="atLeast"/>
              <w:ind w:left="971" w:leftChars="1" w:hanging="969" w:hangingChars="404"/>
              <w:rPr>
                <w:color w:val="auto"/>
                <w:sz w:val="24"/>
                <w:szCs w:val="24"/>
              </w:rPr>
            </w:pPr>
          </w:p>
        </w:tc>
        <w:tc>
          <w:tcPr>
            <w:tcW w:w="4123"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名　称：</w:t>
            </w:r>
            <w:r>
              <w:rPr>
                <w:color w:val="auto"/>
                <w:sz w:val="24"/>
                <w:szCs w:val="24"/>
              </w:rPr>
              <w:t>(</w:t>
            </w:r>
            <w:r>
              <w:rPr>
                <w:rFonts w:hAnsi="宋体"/>
                <w:color w:val="auto"/>
                <w:sz w:val="24"/>
                <w:szCs w:val="24"/>
              </w:rPr>
              <w:t>印章</w:t>
            </w:r>
            <w:r>
              <w:rPr>
                <w:color w:val="auto"/>
                <w:sz w:val="24"/>
                <w:szCs w:val="24"/>
              </w:rPr>
              <w:t>)</w:t>
            </w:r>
          </w:p>
          <w:p>
            <w:pPr>
              <w:widowControl w:val="0"/>
              <w:snapToGrid w:val="0"/>
              <w:spacing w:before="119" w:line="419" w:lineRule="atLeast"/>
              <w:ind w:left="971" w:leftChars="1" w:hanging="969" w:hangingChars="404"/>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jc w:val="center"/>
              <w:rPr>
                <w:color w:val="auto"/>
                <w:sz w:val="24"/>
                <w:szCs w:val="24"/>
              </w:rPr>
            </w:pPr>
            <w:r>
              <w:rPr>
                <w:color w:val="auto"/>
                <w:sz w:val="24"/>
                <w:szCs w:val="24"/>
              </w:rPr>
              <w:t>2024</w:t>
            </w:r>
            <w:r>
              <w:rPr>
                <w:rFonts w:hAnsi="宋体"/>
                <w:color w:val="auto"/>
                <w:sz w:val="24"/>
                <w:szCs w:val="24"/>
              </w:rPr>
              <w:t>年</w:t>
            </w:r>
            <w:r>
              <w:rPr>
                <w:rFonts w:hint="eastAsia" w:hAnsi="宋体"/>
                <w:color w:val="auto"/>
                <w:sz w:val="24"/>
                <w:szCs w:val="24"/>
              </w:rPr>
              <w:t xml:space="preserve">  </w:t>
            </w:r>
            <w:r>
              <w:rPr>
                <w:rFonts w:hAnsi="宋体"/>
                <w:color w:val="auto"/>
                <w:sz w:val="24"/>
                <w:szCs w:val="24"/>
              </w:rPr>
              <w:t xml:space="preserve"> 　月</w:t>
            </w:r>
            <w:r>
              <w:rPr>
                <w:rFonts w:hint="eastAsia" w:hAnsi="宋体"/>
                <w:color w:val="auto"/>
                <w:sz w:val="24"/>
                <w:szCs w:val="24"/>
              </w:rPr>
              <w:t xml:space="preserve">     </w:t>
            </w:r>
            <w:r>
              <w:rPr>
                <w:rFonts w:hAnsi="宋体"/>
                <w:color w:val="auto"/>
                <w:sz w:val="24"/>
                <w:szCs w:val="24"/>
              </w:rPr>
              <w:t>日</w:t>
            </w:r>
          </w:p>
        </w:tc>
        <w:tc>
          <w:tcPr>
            <w:tcW w:w="4123" w:type="dxa"/>
          </w:tcPr>
          <w:p>
            <w:pPr>
              <w:widowControl w:val="0"/>
              <w:wordWrap w:val="0"/>
              <w:snapToGrid w:val="0"/>
              <w:spacing w:before="119" w:line="419" w:lineRule="atLeast"/>
              <w:ind w:left="971" w:leftChars="1" w:hanging="969" w:hangingChars="404"/>
              <w:jc w:val="right"/>
              <w:rPr>
                <w:color w:val="auto"/>
                <w:sz w:val="24"/>
                <w:szCs w:val="24"/>
              </w:rPr>
            </w:pPr>
            <w:r>
              <w:rPr>
                <w:color w:val="auto"/>
                <w:sz w:val="24"/>
                <w:szCs w:val="24"/>
              </w:rPr>
              <w:t xml:space="preserve">2024 </w:t>
            </w:r>
            <w:r>
              <w:rPr>
                <w:rFonts w:hAnsi="宋体"/>
                <w:color w:val="auto"/>
                <w:sz w:val="24"/>
                <w:szCs w:val="24"/>
              </w:rPr>
              <w:t>年</w:t>
            </w:r>
            <w:r>
              <w:rPr>
                <w:rFonts w:hint="eastAsia" w:hAnsi="宋体"/>
                <w:color w:val="auto"/>
                <w:sz w:val="24"/>
                <w:szCs w:val="24"/>
              </w:rPr>
              <w:t xml:space="preserve"> </w:t>
            </w:r>
            <w:r>
              <w:rPr>
                <w:rFonts w:hAnsi="宋体"/>
                <w:color w:val="auto"/>
                <w:sz w:val="24"/>
                <w:szCs w:val="24"/>
              </w:rPr>
              <w:t xml:space="preserve">    月</w:t>
            </w:r>
            <w:r>
              <w:rPr>
                <w:rFonts w:hint="eastAsia" w:hAnsi="宋体"/>
                <w:color w:val="auto"/>
                <w:sz w:val="24"/>
                <w:szCs w:val="24"/>
              </w:rPr>
              <w:t xml:space="preserve">  </w:t>
            </w:r>
            <w:r>
              <w:rPr>
                <w:rFonts w:hAnsi="宋体"/>
                <w:color w:val="auto"/>
                <w:sz w:val="24"/>
                <w:szCs w:val="24"/>
              </w:rPr>
              <w:t xml:space="preserve">   日</w:t>
            </w:r>
          </w:p>
          <w:p>
            <w:pPr>
              <w:widowControl w:val="0"/>
              <w:snapToGrid w:val="0"/>
              <w:spacing w:before="119" w:line="419" w:lineRule="atLeast"/>
              <w:ind w:left="971" w:leftChars="1" w:hanging="969" w:hangingChars="404"/>
              <w:jc w:val="right"/>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授权代表</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r>
              <w:rPr>
                <w:color w:val="auto"/>
                <w:sz w:val="24"/>
                <w:szCs w:val="24"/>
              </w:rPr>
              <w:tab/>
            </w:r>
          </w:p>
        </w:tc>
        <w:tc>
          <w:tcPr>
            <w:tcW w:w="4123"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授权代表</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u w:val="single"/>
              </w:rPr>
            </w:pPr>
            <w:r>
              <w:rPr>
                <w:rFonts w:hAnsi="宋体"/>
                <w:color w:val="auto"/>
                <w:sz w:val="24"/>
                <w:szCs w:val="24"/>
              </w:rPr>
              <w:t>项目负责人</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p>
          <w:p>
            <w:pPr>
              <w:widowControl w:val="0"/>
              <w:snapToGrid w:val="0"/>
              <w:spacing w:before="119" w:line="272" w:lineRule="atLeast"/>
              <w:ind w:left="971" w:leftChars="1" w:hanging="969" w:hangingChars="404"/>
              <w:rPr>
                <w:color w:val="auto"/>
                <w:sz w:val="24"/>
                <w:szCs w:val="24"/>
              </w:rPr>
            </w:pPr>
            <w:r>
              <w:rPr>
                <w:color w:val="auto"/>
                <w:sz w:val="24"/>
                <w:szCs w:val="24"/>
              </w:rPr>
              <w:tab/>
            </w:r>
          </w:p>
        </w:tc>
        <w:tc>
          <w:tcPr>
            <w:tcW w:w="4123" w:type="dxa"/>
          </w:tcPr>
          <w:p>
            <w:pPr>
              <w:widowControl w:val="0"/>
              <w:snapToGrid w:val="0"/>
              <w:spacing w:before="119" w:line="419" w:lineRule="atLeast"/>
              <w:ind w:left="971" w:leftChars="1" w:hanging="969" w:hangingChars="404"/>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地　　址：</w:t>
            </w:r>
            <w:r>
              <w:rPr>
                <w:color w:val="auto"/>
                <w:sz w:val="24"/>
                <w:szCs w:val="24"/>
                <w:u w:val="single"/>
              </w:rPr>
              <w:tab/>
            </w:r>
            <w:r>
              <w:rPr>
                <w:rFonts w:hAnsi="宋体"/>
                <w:color w:val="auto"/>
                <w:sz w:val="24"/>
                <w:szCs w:val="24"/>
                <w:u w:val="single"/>
              </w:rPr>
              <w:t>石景山区晋元庄路</w:t>
            </w:r>
            <w:r>
              <w:rPr>
                <w:color w:val="auto"/>
                <w:sz w:val="24"/>
                <w:szCs w:val="24"/>
                <w:u w:val="single"/>
              </w:rPr>
              <w:t>5</w:t>
            </w:r>
            <w:r>
              <w:rPr>
                <w:rFonts w:hAnsi="宋体"/>
                <w:color w:val="auto"/>
                <w:sz w:val="24"/>
                <w:szCs w:val="24"/>
                <w:u w:val="single"/>
              </w:rPr>
              <w:t>号</w:t>
            </w:r>
          </w:p>
        </w:tc>
        <w:tc>
          <w:tcPr>
            <w:tcW w:w="4123" w:type="dxa"/>
            <w:shd w:val="clear" w:color="auto" w:fill="auto"/>
          </w:tcPr>
          <w:p>
            <w:pPr>
              <w:widowControl w:val="0"/>
              <w:snapToGrid w:val="0"/>
              <w:spacing w:before="119" w:line="419" w:lineRule="atLeast"/>
              <w:ind w:left="971" w:leftChars="1" w:hanging="969" w:hangingChars="404"/>
              <w:rPr>
                <w:color w:val="auto"/>
                <w:sz w:val="24"/>
                <w:szCs w:val="24"/>
              </w:rPr>
            </w:pPr>
            <w:r>
              <w:rPr>
                <w:color w:val="auto"/>
                <w:sz w:val="24"/>
                <w:szCs w:val="24"/>
              </w:rPr>
              <w:t>地　　址：</w:t>
            </w:r>
            <w:r>
              <w:rPr>
                <w:rFonts w:hint="eastAsia"/>
                <w:color w:val="auto"/>
                <w:sz w:val="24"/>
                <w:szCs w:val="24"/>
                <w:u w:val="single"/>
              </w:rPr>
              <w:t xml:space="preserve">  </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邮政编码：</w:t>
            </w:r>
            <w:r>
              <w:rPr>
                <w:color w:val="auto"/>
                <w:sz w:val="24"/>
                <w:szCs w:val="24"/>
                <w:u w:val="single"/>
              </w:rPr>
              <w:tab/>
            </w:r>
            <w:r>
              <w:rPr>
                <w:color w:val="auto"/>
                <w:sz w:val="24"/>
                <w:szCs w:val="24"/>
                <w:u w:val="single"/>
              </w:rPr>
              <w:t>100144</w:t>
            </w:r>
            <w:r>
              <w:rPr>
                <w:color w:val="auto"/>
                <w:sz w:val="24"/>
                <w:szCs w:val="24"/>
                <w:u w:val="single"/>
              </w:rPr>
              <w:tab/>
            </w:r>
          </w:p>
        </w:tc>
        <w:tc>
          <w:tcPr>
            <w:tcW w:w="4123" w:type="dxa"/>
            <w:shd w:val="clear" w:color="auto" w:fill="auto"/>
          </w:tcPr>
          <w:p>
            <w:pPr>
              <w:widowControl w:val="0"/>
              <w:snapToGrid w:val="0"/>
              <w:spacing w:before="119" w:line="419" w:lineRule="atLeast"/>
              <w:ind w:left="971" w:leftChars="1" w:hanging="969" w:hangingChars="404"/>
              <w:rPr>
                <w:color w:val="auto"/>
                <w:sz w:val="24"/>
                <w:szCs w:val="24"/>
              </w:rPr>
            </w:pPr>
            <w:r>
              <w:rPr>
                <w:color w:val="auto"/>
                <w:sz w:val="24"/>
                <w:szCs w:val="24"/>
              </w:rPr>
              <w:t>邮政编码：</w:t>
            </w:r>
            <w:r>
              <w:rPr>
                <w:color w:val="auto"/>
                <w:sz w:val="24"/>
                <w:szCs w:val="24"/>
                <w:u w:val="single"/>
              </w:rPr>
              <w:tab/>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电　　话：</w:t>
            </w:r>
            <w:r>
              <w:rPr>
                <w:color w:val="auto"/>
                <w:sz w:val="24"/>
                <w:szCs w:val="24"/>
                <w:u w:val="single"/>
              </w:rPr>
              <w:tab/>
            </w:r>
            <w:r>
              <w:rPr>
                <w:color w:val="auto"/>
                <w:sz w:val="24"/>
                <w:szCs w:val="24"/>
                <w:u w:val="single"/>
              </w:rPr>
              <w:t>88803417</w:t>
            </w:r>
            <w:r>
              <w:rPr>
                <w:color w:val="auto"/>
                <w:sz w:val="24"/>
                <w:szCs w:val="24"/>
                <w:u w:val="single"/>
              </w:rPr>
              <w:tab/>
            </w:r>
          </w:p>
        </w:tc>
        <w:tc>
          <w:tcPr>
            <w:tcW w:w="4123" w:type="dxa"/>
            <w:shd w:val="clear" w:color="auto" w:fill="auto"/>
          </w:tcPr>
          <w:p>
            <w:pPr>
              <w:widowControl w:val="0"/>
              <w:snapToGrid w:val="0"/>
              <w:spacing w:before="119" w:line="419" w:lineRule="atLeast"/>
              <w:ind w:left="971" w:leftChars="1" w:hanging="969" w:hangingChars="404"/>
              <w:rPr>
                <w:color w:val="auto"/>
                <w:sz w:val="24"/>
                <w:szCs w:val="24"/>
                <w:u w:val="single"/>
              </w:rPr>
            </w:pPr>
            <w:r>
              <w:rPr>
                <w:color w:val="auto"/>
                <w:sz w:val="24"/>
                <w:szCs w:val="24"/>
              </w:rPr>
              <w:t>电　　话：</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开户银行：</w:t>
            </w:r>
            <w:r>
              <w:rPr>
                <w:color w:val="auto"/>
                <w:sz w:val="24"/>
                <w:szCs w:val="24"/>
                <w:u w:val="single"/>
              </w:rPr>
              <w:t>建行北京石景山支行营业部</w:t>
            </w:r>
          </w:p>
        </w:tc>
        <w:tc>
          <w:tcPr>
            <w:tcW w:w="4123" w:type="dxa"/>
            <w:shd w:val="clear" w:color="auto" w:fill="auto"/>
          </w:tcPr>
          <w:p>
            <w:pPr>
              <w:widowControl w:val="0"/>
              <w:snapToGrid w:val="0"/>
              <w:spacing w:before="119" w:line="272" w:lineRule="atLeast"/>
              <w:ind w:left="971" w:leftChars="1" w:hanging="969" w:hangingChars="404"/>
              <w:rPr>
                <w:color w:val="auto"/>
                <w:sz w:val="24"/>
                <w:szCs w:val="24"/>
              </w:rPr>
            </w:pPr>
            <w:r>
              <w:rPr>
                <w:color w:val="auto"/>
                <w:sz w:val="24"/>
                <w:szCs w:val="24"/>
              </w:rPr>
              <w:t>开户银行：</w:t>
            </w:r>
            <w:r>
              <w:rPr>
                <w:rFonts w:hint="eastAsia"/>
                <w:color w:val="auto"/>
                <w:sz w:val="24"/>
                <w:szCs w:val="24"/>
                <w:u w:val="single"/>
              </w:rPr>
              <w:t xml:space="preserve"> </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账　　号：</w:t>
            </w:r>
            <w:r>
              <w:rPr>
                <w:color w:val="auto"/>
                <w:sz w:val="24"/>
                <w:u w:val="single"/>
              </w:rPr>
              <w:t>11001006600056081036</w:t>
            </w:r>
          </w:p>
        </w:tc>
        <w:tc>
          <w:tcPr>
            <w:tcW w:w="4123" w:type="dxa"/>
            <w:shd w:val="clear" w:color="auto" w:fill="auto"/>
          </w:tcPr>
          <w:p>
            <w:pPr>
              <w:widowControl w:val="0"/>
              <w:snapToGrid w:val="0"/>
              <w:spacing w:before="119" w:line="419" w:lineRule="atLeast"/>
              <w:ind w:left="971" w:leftChars="1" w:hanging="969" w:hangingChars="404"/>
              <w:rPr>
                <w:color w:val="auto"/>
                <w:sz w:val="24"/>
                <w:szCs w:val="24"/>
              </w:rPr>
            </w:pPr>
            <w:r>
              <w:rPr>
                <w:color w:val="auto"/>
                <w:sz w:val="24"/>
                <w:szCs w:val="24"/>
              </w:rPr>
              <w:t>账　　号：</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纳税人识别号：</w:t>
            </w:r>
            <w:r>
              <w:rPr>
                <w:color w:val="auto"/>
                <w:sz w:val="24"/>
                <w:szCs w:val="24"/>
                <w:u w:val="single"/>
              </w:rPr>
              <w:t>1211000040086596XB</w:t>
            </w:r>
          </w:p>
        </w:tc>
        <w:tc>
          <w:tcPr>
            <w:tcW w:w="4123" w:type="dxa"/>
            <w:shd w:val="clear" w:color="auto" w:fill="auto"/>
          </w:tcPr>
          <w:p>
            <w:pPr>
              <w:widowControl w:val="0"/>
              <w:snapToGrid w:val="0"/>
              <w:spacing w:before="119" w:line="360" w:lineRule="auto"/>
              <w:ind w:left="971" w:leftChars="1" w:hanging="969" w:hangingChars="404"/>
              <w:rPr>
                <w:color w:val="auto"/>
                <w:sz w:val="24"/>
                <w:szCs w:val="24"/>
              </w:rPr>
            </w:pPr>
            <w:r>
              <w:rPr>
                <w:color w:val="auto"/>
                <w:sz w:val="24"/>
                <w:szCs w:val="24"/>
              </w:rPr>
              <w:t>开户行号：</w:t>
            </w:r>
            <w:r>
              <w:rPr>
                <w:color w:val="auto"/>
                <w:sz w:val="24"/>
                <w:szCs w:val="24"/>
                <w:u w:val="single"/>
              </w:rPr>
              <w:t xml:space="preserve">                                 </w:t>
            </w:r>
          </w:p>
        </w:tc>
      </w:tr>
    </w:tbl>
    <w:p>
      <w:pPr>
        <w:widowControl w:val="0"/>
        <w:snapToGrid w:val="0"/>
        <w:spacing w:before="119" w:line="345" w:lineRule="auto"/>
        <w:ind w:left="1138" w:leftChars="1" w:hanging="1136" w:hangingChars="404"/>
        <w:rPr>
          <w:b/>
          <w:color w:val="auto"/>
          <w:sz w:val="28"/>
          <w:szCs w:val="28"/>
        </w:rPr>
      </w:pPr>
    </w:p>
    <w:p>
      <w:pPr>
        <w:pStyle w:val="38"/>
        <w:ind w:firstLine="210"/>
      </w:pPr>
    </w:p>
    <w:p>
      <w:pPr>
        <w:pStyle w:val="38"/>
        <w:ind w:firstLine="210"/>
      </w:pPr>
    </w:p>
    <w:p>
      <w:pPr>
        <w:pStyle w:val="38"/>
        <w:ind w:firstLine="210"/>
      </w:pPr>
    </w:p>
    <w:p>
      <w:pPr>
        <w:pStyle w:val="38"/>
        <w:ind w:firstLine="210"/>
      </w:pPr>
    </w:p>
    <w:p>
      <w:pPr>
        <w:rPr>
          <w:b/>
          <w:color w:val="auto"/>
          <w:sz w:val="28"/>
          <w:szCs w:val="28"/>
        </w:rPr>
      </w:pPr>
      <w:r>
        <w:rPr>
          <w:b/>
          <w:color w:val="auto"/>
          <w:sz w:val="28"/>
          <w:szCs w:val="28"/>
        </w:rPr>
        <w:br w:type="page"/>
      </w:r>
    </w:p>
    <w:p>
      <w:pPr>
        <w:widowControl w:val="0"/>
        <w:snapToGrid w:val="0"/>
        <w:spacing w:before="119" w:line="345" w:lineRule="auto"/>
        <w:ind w:left="1138" w:leftChars="1" w:hanging="1136" w:hangingChars="404"/>
        <w:jc w:val="center"/>
        <w:rPr>
          <w:b/>
          <w:color w:val="auto"/>
          <w:sz w:val="36"/>
        </w:rPr>
      </w:pPr>
      <w:r>
        <w:rPr>
          <w:b/>
          <w:color w:val="auto"/>
          <w:sz w:val="28"/>
          <w:szCs w:val="28"/>
        </w:rPr>
        <w:t>合同一般条款</w:t>
      </w:r>
    </w:p>
    <w:p>
      <w:pPr>
        <w:pStyle w:val="5"/>
        <w:widowControl w:val="0"/>
        <w:tabs>
          <w:tab w:val="left" w:pos="901"/>
        </w:tabs>
        <w:snapToGrid w:val="0"/>
        <w:spacing w:line="331" w:lineRule="auto"/>
        <w:ind w:left="854" w:leftChars="1" w:hanging="852" w:hangingChars="404"/>
        <w:rPr>
          <w:rFonts w:ascii="Times New Roman"/>
          <w:color w:val="auto"/>
          <w:sz w:val="21"/>
          <w:szCs w:val="21"/>
        </w:rPr>
      </w:pPr>
      <w:r>
        <w:rPr>
          <w:rFonts w:ascii="Times New Roman"/>
          <w:color w:val="auto"/>
          <w:sz w:val="21"/>
          <w:szCs w:val="21"/>
          <w:u w:val="none"/>
        </w:rPr>
        <w:t xml:space="preserve">1       </w:t>
      </w:r>
      <w:r>
        <w:rPr>
          <w:rFonts w:ascii="Times New Roman" w:hAnsi="宋体"/>
          <w:color w:val="auto"/>
          <w:sz w:val="21"/>
          <w:szCs w:val="21"/>
          <w:u w:val="none"/>
        </w:rPr>
        <w:t>定义</w:t>
      </w:r>
    </w:p>
    <w:p>
      <w:pPr>
        <w:widowControl w:val="0"/>
        <w:tabs>
          <w:tab w:val="left" w:pos="901"/>
        </w:tabs>
        <w:snapToGrid w:val="0"/>
        <w:spacing w:line="331" w:lineRule="auto"/>
        <w:ind w:left="2" w:leftChars="1" w:firstLine="735" w:firstLineChars="350"/>
        <w:rPr>
          <w:color w:val="auto"/>
          <w:szCs w:val="21"/>
        </w:rPr>
      </w:pPr>
      <w:r>
        <w:rPr>
          <w:rFonts w:hAnsi="宋体"/>
          <w:color w:val="auto"/>
          <w:szCs w:val="21"/>
        </w:rPr>
        <w:t>本合同中的下列术语应解释为：</w:t>
      </w:r>
    </w:p>
    <w:p>
      <w:pPr>
        <w:pStyle w:val="301"/>
        <w:widowControl w:val="0"/>
        <w:snapToGrid w:val="0"/>
        <w:spacing w:line="331" w:lineRule="auto"/>
        <w:ind w:left="850" w:leftChars="1" w:hanging="848" w:hangingChars="404"/>
        <w:rPr>
          <w:rFonts w:ascii="Times New Roman" w:eastAsia="宋体"/>
          <w:color w:val="auto"/>
          <w:sz w:val="21"/>
          <w:szCs w:val="21"/>
        </w:rPr>
      </w:pPr>
      <w:r>
        <w:rPr>
          <w:rFonts w:ascii="Times New Roman" w:eastAsia="宋体"/>
          <w:color w:val="auto"/>
          <w:sz w:val="21"/>
          <w:szCs w:val="21"/>
        </w:rPr>
        <w:t>1.1    “</w:t>
      </w:r>
      <w:r>
        <w:rPr>
          <w:rFonts w:ascii="Times New Roman" w:hAnsi="宋体" w:eastAsia="宋体"/>
          <w:color w:val="auto"/>
          <w:sz w:val="21"/>
          <w:szCs w:val="21"/>
        </w:rPr>
        <w:t>合同</w:t>
      </w:r>
      <w:r>
        <w:rPr>
          <w:rFonts w:ascii="Times New Roman" w:eastAsia="宋体"/>
          <w:color w:val="auto"/>
          <w:sz w:val="21"/>
          <w:szCs w:val="21"/>
        </w:rPr>
        <w:t>”</w:t>
      </w:r>
      <w:r>
        <w:rPr>
          <w:rFonts w:ascii="Times New Roman" w:hAnsi="宋体" w:eastAsia="宋体"/>
          <w:color w:val="auto"/>
          <w:sz w:val="21"/>
          <w:szCs w:val="21"/>
        </w:rPr>
        <w:t>系指买卖双方签署的、合同格式中载明的买卖双方所达成的协议，包括所有的附件、附录和构成合同的其它文件。</w:t>
      </w:r>
    </w:p>
    <w:p>
      <w:pPr>
        <w:widowControl w:val="0"/>
        <w:snapToGrid w:val="0"/>
        <w:spacing w:before="119" w:line="331" w:lineRule="auto"/>
        <w:ind w:left="850" w:leftChars="1" w:hanging="848" w:hangingChars="404"/>
        <w:rPr>
          <w:color w:val="auto"/>
          <w:szCs w:val="21"/>
        </w:rPr>
      </w:pPr>
      <w:r>
        <w:rPr>
          <w:color w:val="auto"/>
          <w:szCs w:val="21"/>
        </w:rPr>
        <w:t>1.2    “</w:t>
      </w:r>
      <w:r>
        <w:rPr>
          <w:rFonts w:hAnsi="宋体"/>
          <w:color w:val="auto"/>
          <w:szCs w:val="21"/>
        </w:rPr>
        <w:t>合同价</w:t>
      </w:r>
      <w:r>
        <w:rPr>
          <w:color w:val="auto"/>
          <w:szCs w:val="21"/>
        </w:rPr>
        <w:t>”</w:t>
      </w:r>
      <w:r>
        <w:rPr>
          <w:rFonts w:hAnsi="宋体"/>
          <w:color w:val="auto"/>
          <w:szCs w:val="21"/>
        </w:rPr>
        <w:t>系指根据合同约定，卖方在完全履行合同义务后买方应付给卖方的价格。</w:t>
      </w:r>
    </w:p>
    <w:p>
      <w:pPr>
        <w:widowControl w:val="0"/>
        <w:snapToGrid w:val="0"/>
        <w:spacing w:before="119" w:line="331" w:lineRule="auto"/>
        <w:ind w:left="850" w:leftChars="1" w:hanging="848" w:hangingChars="404"/>
        <w:rPr>
          <w:color w:val="auto"/>
          <w:szCs w:val="21"/>
        </w:rPr>
      </w:pPr>
      <w:r>
        <w:rPr>
          <w:color w:val="auto"/>
          <w:szCs w:val="21"/>
        </w:rPr>
        <w:t>1.3    “</w:t>
      </w:r>
      <w:r>
        <w:rPr>
          <w:rFonts w:hAnsi="宋体"/>
          <w:color w:val="auto"/>
          <w:szCs w:val="21"/>
        </w:rPr>
        <w:t>货物</w:t>
      </w:r>
      <w:r>
        <w:rPr>
          <w:color w:val="auto"/>
          <w:szCs w:val="21"/>
        </w:rPr>
        <w:t>”</w:t>
      </w:r>
      <w:r>
        <w:rPr>
          <w:rFonts w:hAnsi="宋体"/>
          <w:color w:val="auto"/>
          <w:szCs w:val="21"/>
        </w:rPr>
        <w:t>系指卖方根据合同约定须向买方提供的一切设备、机械、仪表、备件，包括工具、手册等其它相关资料。</w:t>
      </w:r>
      <w:r>
        <w:rPr>
          <w:color w:val="auto"/>
          <w:szCs w:val="21"/>
        </w:rPr>
        <w:t>“</w:t>
      </w:r>
      <w:r>
        <w:rPr>
          <w:rFonts w:hAnsi="宋体"/>
          <w:color w:val="auto"/>
          <w:szCs w:val="21"/>
        </w:rPr>
        <w:t>服务</w:t>
      </w:r>
      <w:r>
        <w:rPr>
          <w:color w:val="auto"/>
          <w:szCs w:val="21"/>
        </w:rPr>
        <w:t>”</w:t>
      </w:r>
      <w:r>
        <w:rPr>
          <w:rFonts w:hAnsi="宋体"/>
          <w:color w:val="auto"/>
          <w:szCs w:val="21"/>
        </w:rPr>
        <w:t>系指根据合同约定卖方承担与供货有关的辅助服务，如运输、保险及安装、调试、提供技术援助、培训和其他类似的服务。</w:t>
      </w:r>
    </w:p>
    <w:p>
      <w:pPr>
        <w:widowControl w:val="0"/>
        <w:snapToGrid w:val="0"/>
        <w:spacing w:before="119" w:line="331" w:lineRule="auto"/>
        <w:ind w:left="850" w:leftChars="1" w:hanging="848" w:hangingChars="404"/>
        <w:rPr>
          <w:color w:val="auto"/>
          <w:szCs w:val="21"/>
        </w:rPr>
      </w:pPr>
      <w:r>
        <w:rPr>
          <w:color w:val="auto"/>
          <w:szCs w:val="21"/>
        </w:rPr>
        <w:t>1.4    “</w:t>
      </w:r>
      <w:r>
        <w:rPr>
          <w:rFonts w:hAnsi="宋体"/>
          <w:color w:val="auto"/>
          <w:szCs w:val="21"/>
        </w:rPr>
        <w:t>买方</w:t>
      </w:r>
      <w:r>
        <w:rPr>
          <w:color w:val="auto"/>
          <w:szCs w:val="21"/>
        </w:rPr>
        <w:t>”</w:t>
      </w:r>
      <w:r>
        <w:rPr>
          <w:rFonts w:hAnsi="宋体"/>
          <w:color w:val="auto"/>
          <w:szCs w:val="21"/>
        </w:rPr>
        <w:t>系指与中标人签属供货合同的单位（含最终用户）。</w:t>
      </w:r>
    </w:p>
    <w:p>
      <w:pPr>
        <w:widowControl w:val="0"/>
        <w:snapToGrid w:val="0"/>
        <w:spacing w:before="119" w:line="331" w:lineRule="auto"/>
        <w:ind w:left="850" w:leftChars="1" w:hanging="848" w:hangingChars="404"/>
        <w:rPr>
          <w:color w:val="auto"/>
          <w:szCs w:val="21"/>
        </w:rPr>
      </w:pPr>
      <w:r>
        <w:rPr>
          <w:color w:val="auto"/>
          <w:szCs w:val="21"/>
        </w:rPr>
        <w:t>1.5    “</w:t>
      </w:r>
      <w:r>
        <w:rPr>
          <w:rFonts w:hAnsi="宋体"/>
          <w:color w:val="auto"/>
          <w:szCs w:val="21"/>
        </w:rPr>
        <w:t>卖方</w:t>
      </w:r>
      <w:r>
        <w:rPr>
          <w:color w:val="auto"/>
          <w:szCs w:val="21"/>
        </w:rPr>
        <w:t>”</w:t>
      </w:r>
      <w:r>
        <w:rPr>
          <w:rFonts w:hAnsi="宋体"/>
          <w:color w:val="auto"/>
          <w:szCs w:val="21"/>
        </w:rPr>
        <w:t>系指根据合同约定提供货物及相关服务的中标人。</w:t>
      </w:r>
    </w:p>
    <w:p>
      <w:pPr>
        <w:widowControl w:val="0"/>
        <w:tabs>
          <w:tab w:val="left" w:pos="901"/>
        </w:tabs>
        <w:snapToGrid w:val="0"/>
        <w:spacing w:before="119" w:line="331" w:lineRule="auto"/>
        <w:ind w:left="850" w:leftChars="1" w:hanging="848" w:hangingChars="404"/>
        <w:rPr>
          <w:color w:val="auto"/>
          <w:szCs w:val="21"/>
        </w:rPr>
      </w:pPr>
      <w:r>
        <w:rPr>
          <w:color w:val="auto"/>
          <w:szCs w:val="21"/>
        </w:rPr>
        <w:t>1.6    “</w:t>
      </w:r>
      <w:r>
        <w:rPr>
          <w:rFonts w:hAnsi="宋体"/>
          <w:color w:val="auto"/>
          <w:szCs w:val="21"/>
        </w:rPr>
        <w:t>现场</w:t>
      </w:r>
      <w:r>
        <w:rPr>
          <w:color w:val="auto"/>
          <w:szCs w:val="21"/>
        </w:rPr>
        <w:t>”</w:t>
      </w:r>
      <w:r>
        <w:rPr>
          <w:rFonts w:hAnsi="宋体"/>
          <w:color w:val="auto"/>
          <w:szCs w:val="21"/>
        </w:rPr>
        <w:t>系指合同约定货物将要运至和安装的地点。</w:t>
      </w:r>
    </w:p>
    <w:p>
      <w:pPr>
        <w:widowControl w:val="0"/>
        <w:snapToGrid w:val="0"/>
        <w:spacing w:before="119" w:line="331" w:lineRule="auto"/>
        <w:ind w:left="850" w:leftChars="1" w:hanging="848" w:hangingChars="404"/>
        <w:rPr>
          <w:color w:val="auto"/>
          <w:szCs w:val="21"/>
        </w:rPr>
      </w:pPr>
      <w:r>
        <w:rPr>
          <w:color w:val="auto"/>
          <w:szCs w:val="21"/>
        </w:rPr>
        <w:t>1.7    “</w:t>
      </w:r>
      <w:r>
        <w:rPr>
          <w:rFonts w:hAnsi="宋体"/>
          <w:color w:val="auto"/>
          <w:szCs w:val="21"/>
        </w:rPr>
        <w:t>验收</w:t>
      </w:r>
      <w:r>
        <w:rPr>
          <w:color w:val="auto"/>
          <w:szCs w:val="21"/>
        </w:rPr>
        <w:t>”</w:t>
      </w:r>
      <w:r>
        <w:rPr>
          <w:rFonts w:hAnsi="宋体"/>
          <w:color w:val="auto"/>
          <w:szCs w:val="21"/>
        </w:rPr>
        <w:t>系指合同双方依据强制性的国家技术质量规范和合同约定，确认合同项下的货物符合合同规定的活动。</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       </w:t>
      </w:r>
      <w:r>
        <w:rPr>
          <w:rFonts w:ascii="Times New Roman" w:hAnsi="宋体"/>
          <w:color w:val="auto"/>
          <w:sz w:val="21"/>
          <w:szCs w:val="21"/>
          <w:u w:val="none"/>
        </w:rPr>
        <w:t>技术规范</w:t>
      </w:r>
    </w:p>
    <w:p>
      <w:pPr>
        <w:widowControl w:val="0"/>
        <w:tabs>
          <w:tab w:val="left" w:pos="0"/>
        </w:tabs>
        <w:snapToGrid w:val="0"/>
        <w:spacing w:before="119" w:line="331" w:lineRule="auto"/>
        <w:ind w:left="708" w:hanging="707" w:hangingChars="337"/>
        <w:rPr>
          <w:color w:val="auto"/>
          <w:szCs w:val="21"/>
        </w:rPr>
      </w:pPr>
      <w:r>
        <w:rPr>
          <w:color w:val="auto"/>
          <w:szCs w:val="21"/>
        </w:rPr>
        <w:t xml:space="preserve">2.1    </w:t>
      </w:r>
      <w:r>
        <w:rPr>
          <w:rFonts w:hAnsi="宋体"/>
          <w:color w:val="auto"/>
          <w:szCs w:val="21"/>
        </w:rPr>
        <w:t>提交货物的技术规范应与招标文件规定的技术规范和技术规范附件</w:t>
      </w:r>
      <w:r>
        <w:rPr>
          <w:color w:val="auto"/>
          <w:szCs w:val="21"/>
        </w:rPr>
        <w:t>(</w:t>
      </w:r>
      <w:r>
        <w:rPr>
          <w:rFonts w:hAnsi="宋体"/>
          <w:color w:val="auto"/>
          <w:szCs w:val="21"/>
        </w:rPr>
        <w:t>如果有的话</w:t>
      </w:r>
      <w:r>
        <w:rPr>
          <w:color w:val="auto"/>
          <w:szCs w:val="21"/>
        </w:rPr>
        <w:t>)</w:t>
      </w:r>
      <w:r>
        <w:rPr>
          <w:rFonts w:hAnsi="宋体"/>
          <w:color w:val="auto"/>
          <w:szCs w:val="21"/>
        </w:rPr>
        <w:t>及其投标文件的技术规范偏差表</w:t>
      </w:r>
      <w:r>
        <w:rPr>
          <w:color w:val="auto"/>
          <w:szCs w:val="21"/>
        </w:rPr>
        <w:t>(</w:t>
      </w:r>
      <w:r>
        <w:rPr>
          <w:rFonts w:hAnsi="宋体"/>
          <w:color w:val="auto"/>
          <w:szCs w:val="21"/>
        </w:rPr>
        <w:t>如果被买方接受的话</w:t>
      </w:r>
      <w:r>
        <w:rPr>
          <w:color w:val="auto"/>
          <w:szCs w:val="21"/>
        </w:rPr>
        <w:t>)</w:t>
      </w:r>
      <w:r>
        <w:rPr>
          <w:rFonts w:hAnsi="宋体"/>
          <w:color w:val="auto"/>
          <w:szCs w:val="21"/>
        </w:rPr>
        <w:t>相一致。若技术规范中无相应说明，则以国家有关部门最新颁布的相应标准及规范为准。</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3       </w:t>
      </w:r>
      <w:r>
        <w:rPr>
          <w:rFonts w:ascii="Times New Roman" w:hAnsi="宋体"/>
          <w:color w:val="auto"/>
          <w:sz w:val="21"/>
          <w:szCs w:val="21"/>
          <w:u w:val="none"/>
        </w:rPr>
        <w:t>知识产权</w:t>
      </w:r>
    </w:p>
    <w:p>
      <w:pPr>
        <w:widowControl w:val="0"/>
        <w:snapToGrid w:val="0"/>
        <w:spacing w:before="119" w:line="331" w:lineRule="auto"/>
        <w:ind w:left="708" w:hanging="707" w:hangingChars="337"/>
        <w:rPr>
          <w:color w:val="auto"/>
          <w:szCs w:val="21"/>
        </w:rPr>
      </w:pPr>
      <w:r>
        <w:rPr>
          <w:color w:val="auto"/>
          <w:szCs w:val="21"/>
        </w:rPr>
        <w:t xml:space="preserve">3.1    </w:t>
      </w:r>
      <w:r>
        <w:rPr>
          <w:rFonts w:hAnsi="宋体"/>
          <w:color w:val="auto"/>
          <w:szCs w:val="21"/>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4       </w:t>
      </w:r>
      <w:r>
        <w:rPr>
          <w:rFonts w:ascii="Times New Roman" w:hAnsi="宋体"/>
          <w:color w:val="auto"/>
          <w:sz w:val="21"/>
          <w:szCs w:val="21"/>
          <w:u w:val="none"/>
        </w:rPr>
        <w:t>包装要求</w:t>
      </w:r>
    </w:p>
    <w:p>
      <w:pPr>
        <w:widowControl w:val="0"/>
        <w:snapToGrid w:val="0"/>
        <w:spacing w:before="119" w:line="331" w:lineRule="auto"/>
        <w:ind w:left="850" w:leftChars="1" w:hanging="848" w:hangingChars="404"/>
        <w:rPr>
          <w:color w:val="auto"/>
          <w:szCs w:val="21"/>
        </w:rPr>
      </w:pPr>
      <w:r>
        <w:rPr>
          <w:color w:val="auto"/>
          <w:szCs w:val="21"/>
        </w:rPr>
        <w:t xml:space="preserve">4.1     </w:t>
      </w:r>
      <w:r>
        <w:rPr>
          <w:rFonts w:hAnsi="宋体"/>
          <w:color w:val="auto"/>
          <w:szCs w:val="21"/>
        </w:rPr>
        <w:t>除合同另有约定外</w:t>
      </w:r>
      <w:r>
        <w:rPr>
          <w:color w:val="auto"/>
          <w:szCs w:val="21"/>
        </w:rPr>
        <w:t>,</w:t>
      </w:r>
      <w:r>
        <w:rPr>
          <w:rFonts w:hAnsi="宋体"/>
          <w:color w:val="auto"/>
          <w:szCs w:val="21"/>
        </w:rPr>
        <w:t>卖方提供的全部货物</w:t>
      </w:r>
      <w:r>
        <w:rPr>
          <w:color w:val="auto"/>
          <w:szCs w:val="21"/>
        </w:rPr>
        <w:t>,</w:t>
      </w:r>
      <w:r>
        <w:rPr>
          <w:rFonts w:hAnsi="宋体"/>
          <w:color w:val="auto"/>
          <w:szCs w:val="21"/>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widowControl w:val="0"/>
        <w:snapToGrid w:val="0"/>
        <w:spacing w:before="119" w:line="331" w:lineRule="auto"/>
        <w:ind w:left="850" w:leftChars="1" w:hanging="848" w:hangingChars="404"/>
        <w:rPr>
          <w:color w:val="auto"/>
          <w:szCs w:val="21"/>
        </w:rPr>
      </w:pPr>
      <w:r>
        <w:rPr>
          <w:color w:val="auto"/>
          <w:szCs w:val="21"/>
        </w:rPr>
        <w:t xml:space="preserve">4.2     </w:t>
      </w:r>
      <w:r>
        <w:rPr>
          <w:rFonts w:hAnsi="宋体"/>
          <w:color w:val="auto"/>
          <w:szCs w:val="21"/>
        </w:rPr>
        <w:t>每件包装箱内应附一份详细装箱单和质量合格证。</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5       </w:t>
      </w:r>
      <w:r>
        <w:rPr>
          <w:rFonts w:ascii="Times New Roman" w:hAnsi="宋体"/>
          <w:color w:val="auto"/>
          <w:sz w:val="21"/>
          <w:szCs w:val="21"/>
          <w:u w:val="none"/>
        </w:rPr>
        <w:t>装运标志</w:t>
      </w:r>
    </w:p>
    <w:p>
      <w:pPr>
        <w:widowControl w:val="0"/>
        <w:snapToGrid w:val="0"/>
        <w:spacing w:before="119" w:line="331" w:lineRule="auto"/>
        <w:ind w:left="850" w:leftChars="1" w:hanging="848" w:hangingChars="404"/>
        <w:rPr>
          <w:color w:val="auto"/>
          <w:szCs w:val="21"/>
        </w:rPr>
      </w:pPr>
      <w:r>
        <w:rPr>
          <w:color w:val="auto"/>
          <w:szCs w:val="21"/>
        </w:rPr>
        <w:t xml:space="preserve">5.1.    </w:t>
      </w:r>
      <w:r>
        <w:rPr>
          <w:rFonts w:hAnsi="宋体"/>
          <w:color w:val="auto"/>
          <w:szCs w:val="21"/>
        </w:rPr>
        <w:t>卖方应在每一包装箱的四侧用不褪色的油漆以醒目的中文字样做出下列标记：</w:t>
      </w:r>
    </w:p>
    <w:p>
      <w:pPr>
        <w:widowControl w:val="0"/>
        <w:snapToGrid w:val="0"/>
        <w:spacing w:line="331" w:lineRule="auto"/>
        <w:ind w:left="1132" w:leftChars="337" w:hanging="424" w:hangingChars="202"/>
        <w:rPr>
          <w:color w:val="auto"/>
          <w:szCs w:val="21"/>
        </w:rPr>
      </w:pPr>
      <w:r>
        <w:rPr>
          <w:rFonts w:hAnsi="宋体"/>
          <w:color w:val="auto"/>
          <w:szCs w:val="21"/>
        </w:rPr>
        <w:t>收货人：</w:t>
      </w:r>
    </w:p>
    <w:p>
      <w:pPr>
        <w:widowControl w:val="0"/>
        <w:snapToGrid w:val="0"/>
        <w:spacing w:line="331" w:lineRule="auto"/>
        <w:ind w:left="1132" w:leftChars="337" w:hanging="424" w:hangingChars="202"/>
        <w:rPr>
          <w:color w:val="auto"/>
          <w:szCs w:val="21"/>
        </w:rPr>
      </w:pPr>
      <w:r>
        <w:rPr>
          <w:rFonts w:hAnsi="宋体"/>
          <w:color w:val="auto"/>
          <w:szCs w:val="21"/>
        </w:rPr>
        <w:t>合同号：</w:t>
      </w:r>
    </w:p>
    <w:p>
      <w:pPr>
        <w:widowControl w:val="0"/>
        <w:snapToGrid w:val="0"/>
        <w:spacing w:line="331" w:lineRule="auto"/>
        <w:ind w:left="1132" w:leftChars="337" w:hanging="424" w:hangingChars="202"/>
        <w:rPr>
          <w:color w:val="auto"/>
          <w:szCs w:val="21"/>
        </w:rPr>
      </w:pPr>
      <w:r>
        <w:rPr>
          <w:rFonts w:hAnsi="宋体"/>
          <w:color w:val="auto"/>
          <w:szCs w:val="21"/>
        </w:rPr>
        <w:t>装运标志：</w:t>
      </w:r>
    </w:p>
    <w:p>
      <w:pPr>
        <w:widowControl w:val="0"/>
        <w:snapToGrid w:val="0"/>
        <w:spacing w:line="331" w:lineRule="auto"/>
        <w:ind w:left="1132" w:leftChars="337" w:hanging="424" w:hangingChars="202"/>
        <w:rPr>
          <w:color w:val="auto"/>
          <w:szCs w:val="21"/>
        </w:rPr>
      </w:pPr>
      <w:r>
        <w:rPr>
          <w:rFonts w:hAnsi="宋体"/>
          <w:color w:val="auto"/>
          <w:szCs w:val="21"/>
        </w:rPr>
        <w:t>收货人代号：</w:t>
      </w:r>
    </w:p>
    <w:p>
      <w:pPr>
        <w:widowControl w:val="0"/>
        <w:snapToGrid w:val="0"/>
        <w:spacing w:line="331" w:lineRule="auto"/>
        <w:ind w:left="1132" w:leftChars="337" w:hanging="424" w:hangingChars="202"/>
        <w:rPr>
          <w:color w:val="auto"/>
          <w:szCs w:val="21"/>
        </w:rPr>
      </w:pPr>
      <w:r>
        <w:rPr>
          <w:rFonts w:hAnsi="宋体"/>
          <w:color w:val="auto"/>
          <w:szCs w:val="21"/>
        </w:rPr>
        <w:t>目的地：</w:t>
      </w:r>
    </w:p>
    <w:p>
      <w:pPr>
        <w:widowControl w:val="0"/>
        <w:snapToGrid w:val="0"/>
        <w:spacing w:line="331" w:lineRule="auto"/>
        <w:ind w:left="1132" w:leftChars="337" w:hanging="424" w:hangingChars="202"/>
        <w:rPr>
          <w:color w:val="auto"/>
          <w:szCs w:val="21"/>
        </w:rPr>
      </w:pPr>
      <w:r>
        <w:rPr>
          <w:rFonts w:hAnsi="宋体"/>
          <w:color w:val="auto"/>
          <w:szCs w:val="21"/>
        </w:rPr>
        <w:t>货物名称、品目号和箱号：</w:t>
      </w:r>
    </w:p>
    <w:p>
      <w:pPr>
        <w:widowControl w:val="0"/>
        <w:snapToGrid w:val="0"/>
        <w:spacing w:line="331" w:lineRule="auto"/>
        <w:ind w:left="1132" w:leftChars="337" w:hanging="424" w:hangingChars="202"/>
        <w:rPr>
          <w:color w:val="auto"/>
          <w:szCs w:val="21"/>
        </w:rPr>
      </w:pPr>
      <w:r>
        <w:rPr>
          <w:rFonts w:hAnsi="宋体"/>
          <w:color w:val="auto"/>
          <w:szCs w:val="21"/>
        </w:rPr>
        <w:t>毛重／净重：</w:t>
      </w:r>
    </w:p>
    <w:p>
      <w:pPr>
        <w:widowControl w:val="0"/>
        <w:snapToGrid w:val="0"/>
        <w:spacing w:line="331" w:lineRule="auto"/>
        <w:ind w:left="1132" w:leftChars="337" w:hanging="424" w:hangingChars="202"/>
        <w:rPr>
          <w:color w:val="auto"/>
          <w:szCs w:val="21"/>
        </w:rPr>
      </w:pPr>
      <w:r>
        <w:rPr>
          <w:rFonts w:hAnsi="宋体"/>
          <w:color w:val="auto"/>
          <w:szCs w:val="21"/>
        </w:rPr>
        <w:t>尺寸</w:t>
      </w:r>
      <w:r>
        <w:rPr>
          <w:color w:val="auto"/>
          <w:szCs w:val="21"/>
        </w:rPr>
        <w:t>(</w:t>
      </w:r>
      <w:r>
        <w:rPr>
          <w:rFonts w:hAnsi="宋体"/>
          <w:color w:val="auto"/>
          <w:szCs w:val="21"/>
        </w:rPr>
        <w:t>长</w:t>
      </w:r>
      <w:r>
        <w:rPr>
          <w:color w:val="auto"/>
          <w:szCs w:val="21"/>
        </w:rPr>
        <w:t>×</w:t>
      </w:r>
      <w:r>
        <w:rPr>
          <w:rFonts w:hAnsi="宋体"/>
          <w:color w:val="auto"/>
          <w:szCs w:val="21"/>
        </w:rPr>
        <w:t>宽</w:t>
      </w:r>
      <w:r>
        <w:rPr>
          <w:color w:val="auto"/>
          <w:szCs w:val="21"/>
        </w:rPr>
        <w:t>×</w:t>
      </w:r>
      <w:r>
        <w:rPr>
          <w:rFonts w:hAnsi="宋体"/>
          <w:color w:val="auto"/>
          <w:szCs w:val="21"/>
        </w:rPr>
        <w:t>高以厘米计</w:t>
      </w:r>
      <w:r>
        <w:rPr>
          <w:color w:val="auto"/>
          <w:szCs w:val="21"/>
        </w:rPr>
        <w:t>)</w:t>
      </w:r>
      <w:r>
        <w:rPr>
          <w:rFonts w:hAnsi="宋体"/>
          <w:color w:val="auto"/>
          <w:szCs w:val="21"/>
        </w:rPr>
        <w:t>：</w:t>
      </w:r>
    </w:p>
    <w:p>
      <w:pPr>
        <w:widowControl w:val="0"/>
        <w:snapToGrid w:val="0"/>
        <w:spacing w:before="119" w:line="331" w:lineRule="auto"/>
        <w:ind w:left="708" w:hanging="707" w:hangingChars="337"/>
        <w:rPr>
          <w:color w:val="auto"/>
          <w:szCs w:val="21"/>
        </w:rPr>
      </w:pPr>
      <w:r>
        <w:rPr>
          <w:color w:val="auto"/>
          <w:szCs w:val="21"/>
        </w:rPr>
        <w:t xml:space="preserve">5.2    </w:t>
      </w:r>
      <w:r>
        <w:rPr>
          <w:rFonts w:hAnsi="宋体"/>
          <w:color w:val="auto"/>
          <w:szCs w:val="21"/>
        </w:rPr>
        <w:t>如果货物单件重量在</w:t>
      </w:r>
      <w:r>
        <w:rPr>
          <w:color w:val="auto"/>
          <w:szCs w:val="21"/>
        </w:rPr>
        <w:t>2</w:t>
      </w:r>
      <w:r>
        <w:rPr>
          <w:rFonts w:hAnsi="宋体"/>
          <w:color w:val="auto"/>
          <w:szCs w:val="21"/>
        </w:rPr>
        <w:t>吨或</w:t>
      </w:r>
      <w:r>
        <w:rPr>
          <w:color w:val="auto"/>
          <w:szCs w:val="21"/>
        </w:rPr>
        <w:t>2</w:t>
      </w:r>
      <w:r>
        <w:rPr>
          <w:rFonts w:hAnsi="宋体"/>
          <w:color w:val="auto"/>
          <w:szCs w:val="21"/>
        </w:rPr>
        <w:t>吨以上，卖方应在每件包装箱的两侧用中文和适当的运输标记，标明</w:t>
      </w:r>
      <w:r>
        <w:rPr>
          <w:color w:val="auto"/>
          <w:szCs w:val="21"/>
        </w:rPr>
        <w:t>“</w:t>
      </w:r>
      <w:r>
        <w:rPr>
          <w:rFonts w:hAnsi="宋体"/>
          <w:color w:val="auto"/>
          <w:szCs w:val="21"/>
        </w:rPr>
        <w:t>重心</w:t>
      </w:r>
      <w:r>
        <w:rPr>
          <w:color w:val="auto"/>
          <w:szCs w:val="21"/>
        </w:rPr>
        <w:t>”</w:t>
      </w:r>
      <w:r>
        <w:rPr>
          <w:rFonts w:hAnsi="宋体"/>
          <w:color w:val="auto"/>
          <w:szCs w:val="21"/>
        </w:rPr>
        <w:t>和</w:t>
      </w:r>
      <w:r>
        <w:rPr>
          <w:color w:val="auto"/>
          <w:szCs w:val="21"/>
        </w:rPr>
        <w:t>“</w:t>
      </w:r>
      <w:r>
        <w:rPr>
          <w:rFonts w:hAnsi="宋体"/>
          <w:color w:val="auto"/>
          <w:szCs w:val="21"/>
        </w:rPr>
        <w:t>吊装点</w:t>
      </w:r>
      <w:r>
        <w:rPr>
          <w:color w:val="auto"/>
          <w:szCs w:val="21"/>
        </w:rPr>
        <w:t>”</w:t>
      </w:r>
      <w:r>
        <w:rPr>
          <w:rFonts w:hAnsi="宋体"/>
          <w:color w:val="auto"/>
          <w:szCs w:val="21"/>
        </w:rPr>
        <w:t>，以便装卸和搬运。根据货物的特点和运输的不同要求，卖方应在包装箱上清楚地标有</w:t>
      </w:r>
      <w:r>
        <w:rPr>
          <w:color w:val="auto"/>
          <w:szCs w:val="21"/>
        </w:rPr>
        <w:t>“</w:t>
      </w:r>
      <w:r>
        <w:rPr>
          <w:rFonts w:hAnsi="宋体"/>
          <w:color w:val="auto"/>
          <w:szCs w:val="21"/>
        </w:rPr>
        <w:t>小心轻放</w:t>
      </w:r>
      <w:r>
        <w:rPr>
          <w:color w:val="auto"/>
          <w:szCs w:val="21"/>
        </w:rPr>
        <w:t>”</w:t>
      </w:r>
      <w:r>
        <w:rPr>
          <w:rFonts w:hAnsi="宋体"/>
          <w:color w:val="auto"/>
          <w:szCs w:val="21"/>
        </w:rPr>
        <w:t>、</w:t>
      </w:r>
      <w:r>
        <w:rPr>
          <w:color w:val="auto"/>
          <w:szCs w:val="21"/>
        </w:rPr>
        <w:t>“</w:t>
      </w:r>
      <w:r>
        <w:rPr>
          <w:rFonts w:hAnsi="宋体"/>
          <w:color w:val="auto"/>
          <w:szCs w:val="21"/>
        </w:rPr>
        <w:t>防潮</w:t>
      </w:r>
      <w:r>
        <w:rPr>
          <w:color w:val="auto"/>
          <w:szCs w:val="21"/>
        </w:rPr>
        <w:t>”“</w:t>
      </w:r>
      <w:r>
        <w:rPr>
          <w:rFonts w:hAnsi="宋体"/>
          <w:color w:val="auto"/>
          <w:szCs w:val="21"/>
        </w:rPr>
        <w:t>勿倒置</w:t>
      </w:r>
      <w:r>
        <w:rPr>
          <w:color w:val="auto"/>
          <w:szCs w:val="21"/>
        </w:rPr>
        <w:t>”</w:t>
      </w:r>
      <w:r>
        <w:rPr>
          <w:rFonts w:hAnsi="宋体"/>
          <w:color w:val="auto"/>
          <w:szCs w:val="21"/>
        </w:rPr>
        <w:t>等字样和其他适当的标志。</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6       </w:t>
      </w:r>
      <w:r>
        <w:rPr>
          <w:rFonts w:ascii="Times New Roman" w:hAnsi="宋体"/>
          <w:color w:val="auto"/>
          <w:sz w:val="21"/>
          <w:szCs w:val="21"/>
          <w:u w:val="none"/>
        </w:rPr>
        <w:t>交货方式</w:t>
      </w:r>
    </w:p>
    <w:p>
      <w:pPr>
        <w:widowControl w:val="0"/>
        <w:snapToGrid w:val="0"/>
        <w:spacing w:before="119" w:line="331" w:lineRule="auto"/>
        <w:ind w:left="850" w:leftChars="1" w:hanging="848" w:hangingChars="404"/>
        <w:rPr>
          <w:color w:val="auto"/>
          <w:szCs w:val="21"/>
        </w:rPr>
      </w:pPr>
      <w:r>
        <w:rPr>
          <w:color w:val="auto"/>
          <w:szCs w:val="21"/>
        </w:rPr>
        <w:t xml:space="preserve">6.1     </w:t>
      </w:r>
      <w:r>
        <w:rPr>
          <w:rFonts w:hAnsi="宋体"/>
          <w:color w:val="auto"/>
          <w:szCs w:val="21"/>
        </w:rPr>
        <w:t>交货方式一般为下列其中一种，具体在合同特殊条款中规定。</w:t>
      </w:r>
    </w:p>
    <w:p>
      <w:pPr>
        <w:widowControl w:val="0"/>
        <w:snapToGrid w:val="0"/>
        <w:spacing w:before="119" w:line="331" w:lineRule="auto"/>
        <w:ind w:left="850" w:leftChars="1" w:hanging="848" w:hangingChars="404"/>
        <w:rPr>
          <w:color w:val="auto"/>
          <w:szCs w:val="21"/>
        </w:rPr>
      </w:pPr>
      <w:r>
        <w:rPr>
          <w:color w:val="auto"/>
          <w:szCs w:val="21"/>
        </w:rPr>
        <w:t xml:space="preserve">6.1.1   </w:t>
      </w:r>
      <w:r>
        <w:rPr>
          <w:rFonts w:hAnsi="宋体"/>
          <w:color w:val="auto"/>
          <w:szCs w:val="21"/>
        </w:rPr>
        <w:t>现场交货：卖方负责办理运输和保险，将货物运抵现场。有关运输和保险的一切费用由卖方承担。所有货物运抵现场的日期为交货日期。</w:t>
      </w:r>
    </w:p>
    <w:p>
      <w:pPr>
        <w:widowControl w:val="0"/>
        <w:snapToGrid w:val="0"/>
        <w:spacing w:before="119" w:line="331" w:lineRule="auto"/>
        <w:ind w:left="850" w:leftChars="1" w:hanging="848" w:hangingChars="404"/>
        <w:rPr>
          <w:color w:val="auto"/>
          <w:szCs w:val="21"/>
        </w:rPr>
      </w:pPr>
      <w:r>
        <w:rPr>
          <w:color w:val="auto"/>
          <w:szCs w:val="21"/>
        </w:rPr>
        <w:t xml:space="preserve">6.1.2   </w:t>
      </w:r>
      <w:r>
        <w:rPr>
          <w:rFonts w:hAnsi="宋体"/>
          <w:color w:val="auto"/>
          <w:szCs w:val="21"/>
        </w:rPr>
        <w:t>工厂交货：由卖方负责代办运输和保险事宜。运输费和保险费由买方承担。运输部门出具收据的日期为交货日期。</w:t>
      </w:r>
    </w:p>
    <w:p>
      <w:pPr>
        <w:widowControl w:val="0"/>
        <w:snapToGrid w:val="0"/>
        <w:spacing w:before="119" w:line="331" w:lineRule="auto"/>
        <w:ind w:left="850" w:leftChars="1" w:hanging="848" w:hangingChars="404"/>
        <w:rPr>
          <w:color w:val="auto"/>
          <w:szCs w:val="21"/>
        </w:rPr>
      </w:pPr>
      <w:r>
        <w:rPr>
          <w:color w:val="auto"/>
          <w:szCs w:val="21"/>
        </w:rPr>
        <w:t xml:space="preserve">6.1.3   </w:t>
      </w:r>
      <w:r>
        <w:rPr>
          <w:rFonts w:hAnsi="宋体"/>
          <w:color w:val="auto"/>
          <w:szCs w:val="21"/>
        </w:rPr>
        <w:t>买方自提货物：由买方在合同规定地点自行办理提货。提单日期为交货日期。</w:t>
      </w:r>
    </w:p>
    <w:p>
      <w:pPr>
        <w:widowControl w:val="0"/>
        <w:snapToGrid w:val="0"/>
        <w:spacing w:before="119" w:line="331" w:lineRule="auto"/>
        <w:ind w:left="813" w:hanging="812" w:hangingChars="387"/>
        <w:rPr>
          <w:color w:val="auto"/>
          <w:szCs w:val="21"/>
        </w:rPr>
      </w:pPr>
      <w:r>
        <w:rPr>
          <w:color w:val="auto"/>
          <w:szCs w:val="21"/>
        </w:rPr>
        <w:t xml:space="preserve">6.2     </w:t>
      </w:r>
      <w:r>
        <w:rPr>
          <w:rFonts w:hAnsi="宋体"/>
          <w:color w:val="auto"/>
          <w:szCs w:val="21"/>
        </w:rPr>
        <w:t>卖方应在合同规定的交货期</w:t>
      </w:r>
      <w:r>
        <w:rPr>
          <w:color w:val="auto"/>
          <w:szCs w:val="21"/>
          <w:u w:val="single"/>
        </w:rPr>
        <w:t>7</w:t>
      </w:r>
      <w:r>
        <w:rPr>
          <w:rFonts w:hAnsi="宋体"/>
          <w:color w:val="auto"/>
          <w:szCs w:val="21"/>
        </w:rPr>
        <w:t>天以前以电报或传真形式将合同号、货物名称、数量、包装箱件数、总毛重、总体积</w:t>
      </w:r>
      <w:r>
        <w:rPr>
          <w:color w:val="auto"/>
          <w:szCs w:val="21"/>
        </w:rPr>
        <w:t>(</w:t>
      </w:r>
      <w:r>
        <w:rPr>
          <w:rFonts w:hAnsi="宋体"/>
          <w:color w:val="auto"/>
          <w:szCs w:val="21"/>
        </w:rPr>
        <w:t>立方米</w:t>
      </w:r>
      <w:r>
        <w:rPr>
          <w:color w:val="auto"/>
          <w:szCs w:val="21"/>
        </w:rPr>
        <w:t>)</w:t>
      </w:r>
      <w:r>
        <w:rPr>
          <w:rFonts w:hAnsi="宋体"/>
          <w:color w:val="auto"/>
          <w:szCs w:val="21"/>
        </w:rPr>
        <w:t>和备妥交货日期通知买方。同时卖方应用挂号信将详细交货清单一式</w:t>
      </w:r>
      <w:r>
        <w:rPr>
          <w:color w:val="auto"/>
          <w:szCs w:val="21"/>
        </w:rPr>
        <w:t>6</w:t>
      </w:r>
      <w:r>
        <w:rPr>
          <w:rFonts w:hAnsi="宋体"/>
          <w:color w:val="auto"/>
          <w:szCs w:val="21"/>
        </w:rPr>
        <w:t>份包括合同号、货物名称、规格、数量、总毛重、总体积</w:t>
      </w:r>
      <w:r>
        <w:rPr>
          <w:color w:val="auto"/>
          <w:szCs w:val="21"/>
        </w:rPr>
        <w:t>(</w:t>
      </w:r>
      <w:r>
        <w:rPr>
          <w:rFonts w:hAnsi="宋体"/>
          <w:color w:val="auto"/>
          <w:szCs w:val="21"/>
        </w:rPr>
        <w:t>立方米</w:t>
      </w:r>
      <w:r>
        <w:rPr>
          <w:color w:val="auto"/>
          <w:szCs w:val="21"/>
        </w:rPr>
        <w:t>)</w:t>
      </w:r>
      <w:r>
        <w:rPr>
          <w:rFonts w:hAnsi="宋体"/>
          <w:color w:val="auto"/>
          <w:szCs w:val="21"/>
        </w:rPr>
        <w:t>、包装箱件数和每个包装箱的尺寸</w:t>
      </w:r>
      <w:r>
        <w:rPr>
          <w:color w:val="auto"/>
          <w:szCs w:val="21"/>
        </w:rPr>
        <w:t>(</w:t>
      </w:r>
      <w:r>
        <w:rPr>
          <w:rFonts w:hAnsi="宋体"/>
          <w:color w:val="auto"/>
          <w:szCs w:val="21"/>
        </w:rPr>
        <w:t>长</w:t>
      </w:r>
      <w:r>
        <w:rPr>
          <w:color w:val="auto"/>
          <w:szCs w:val="21"/>
        </w:rPr>
        <w:t>×</w:t>
      </w:r>
      <w:r>
        <w:rPr>
          <w:rFonts w:hAnsi="宋体"/>
          <w:color w:val="auto"/>
          <w:szCs w:val="21"/>
        </w:rPr>
        <w:t>宽</w:t>
      </w:r>
      <w:r>
        <w:rPr>
          <w:color w:val="auto"/>
          <w:szCs w:val="21"/>
        </w:rPr>
        <w:t>×</w:t>
      </w:r>
      <w:r>
        <w:rPr>
          <w:rFonts w:hAnsi="宋体"/>
          <w:color w:val="auto"/>
          <w:szCs w:val="21"/>
        </w:rPr>
        <w:t>高</w:t>
      </w:r>
      <w:r>
        <w:rPr>
          <w:color w:val="auto"/>
          <w:szCs w:val="21"/>
        </w:rPr>
        <w:t>)</w:t>
      </w:r>
      <w:r>
        <w:rPr>
          <w:rFonts w:hAnsi="宋体"/>
          <w:color w:val="auto"/>
          <w:szCs w:val="21"/>
        </w:rPr>
        <w:t>、货物总价和备妥待交日期以及对货物在运输和仓储的特殊要求和注意事项通知买方。</w:t>
      </w:r>
    </w:p>
    <w:p>
      <w:pPr>
        <w:widowControl w:val="0"/>
        <w:tabs>
          <w:tab w:val="left" w:pos="719"/>
        </w:tabs>
        <w:snapToGrid w:val="0"/>
        <w:spacing w:before="119" w:line="331" w:lineRule="auto"/>
        <w:ind w:left="850" w:leftChars="1" w:hanging="848" w:hangingChars="404"/>
        <w:rPr>
          <w:color w:val="auto"/>
          <w:szCs w:val="21"/>
        </w:rPr>
      </w:pPr>
      <w:r>
        <w:rPr>
          <w:color w:val="auto"/>
          <w:szCs w:val="21"/>
        </w:rPr>
        <w:t xml:space="preserve">6.3     </w:t>
      </w:r>
      <w:r>
        <w:rPr>
          <w:rFonts w:hAnsi="宋体"/>
          <w:color w:val="auto"/>
          <w:szCs w:val="21"/>
        </w:rPr>
        <w:t>在现场交货和工厂交货条件下，卖方装运的货物不应超过合同规定的数量或重量。否则，卖方应对超运部分引起的一切后果负责。</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7       </w:t>
      </w:r>
      <w:r>
        <w:rPr>
          <w:rFonts w:ascii="Times New Roman" w:hAnsi="宋体"/>
          <w:color w:val="auto"/>
          <w:sz w:val="21"/>
          <w:szCs w:val="21"/>
          <w:u w:val="none"/>
        </w:rPr>
        <w:t>装运通知</w:t>
      </w:r>
    </w:p>
    <w:p>
      <w:pPr>
        <w:widowControl w:val="0"/>
        <w:snapToGrid w:val="0"/>
        <w:spacing w:before="119" w:line="331" w:lineRule="auto"/>
        <w:ind w:left="850" w:leftChars="1" w:hanging="848" w:hangingChars="404"/>
        <w:rPr>
          <w:color w:val="auto"/>
          <w:szCs w:val="21"/>
        </w:rPr>
      </w:pPr>
      <w:r>
        <w:rPr>
          <w:color w:val="auto"/>
          <w:szCs w:val="21"/>
        </w:rPr>
        <w:t xml:space="preserve">7.1     </w:t>
      </w:r>
      <w:r>
        <w:rPr>
          <w:rFonts w:hAnsi="宋体"/>
          <w:color w:val="auto"/>
          <w:szCs w:val="21"/>
        </w:rPr>
        <w:t>在现场交货和工厂交货条件下的货物，卖方通知买方货物已备妥待运输后</w:t>
      </w:r>
      <w:r>
        <w:rPr>
          <w:color w:val="auto"/>
          <w:szCs w:val="21"/>
        </w:rPr>
        <w:t>24</w:t>
      </w:r>
      <w:r>
        <w:rPr>
          <w:rFonts w:hAnsi="宋体"/>
          <w:color w:val="auto"/>
          <w:szCs w:val="21"/>
        </w:rPr>
        <w:t>小时之内，应将合同号、货名、数量、毛重、总体积</w:t>
      </w:r>
      <w:r>
        <w:rPr>
          <w:color w:val="auto"/>
          <w:szCs w:val="21"/>
        </w:rPr>
        <w:t>(</w:t>
      </w:r>
      <w:r>
        <w:rPr>
          <w:rFonts w:hAnsi="宋体"/>
          <w:color w:val="auto"/>
          <w:szCs w:val="21"/>
        </w:rPr>
        <w:t>立方米</w:t>
      </w:r>
      <w:r>
        <w:rPr>
          <w:color w:val="auto"/>
          <w:szCs w:val="21"/>
        </w:rPr>
        <w:t>)</w:t>
      </w:r>
      <w:r>
        <w:rPr>
          <w:rFonts w:hAnsi="宋体"/>
          <w:color w:val="auto"/>
          <w:szCs w:val="21"/>
        </w:rPr>
        <w:t>、发票金额、运输工具名称及装运日期，以电报或传真通知买方。</w:t>
      </w:r>
    </w:p>
    <w:p>
      <w:pPr>
        <w:pStyle w:val="302"/>
        <w:widowControl w:val="0"/>
        <w:snapToGrid w:val="0"/>
        <w:spacing w:line="331" w:lineRule="auto"/>
        <w:ind w:left="850" w:leftChars="1" w:hanging="848" w:hangingChars="404"/>
        <w:jc w:val="both"/>
        <w:rPr>
          <w:rFonts w:ascii="Times New Roman"/>
          <w:color w:val="auto"/>
          <w:sz w:val="21"/>
          <w:szCs w:val="21"/>
        </w:rPr>
      </w:pPr>
      <w:r>
        <w:rPr>
          <w:rFonts w:ascii="Times New Roman"/>
          <w:color w:val="auto"/>
          <w:sz w:val="21"/>
          <w:szCs w:val="21"/>
        </w:rPr>
        <w:t xml:space="preserve">7.2     </w:t>
      </w:r>
      <w:r>
        <w:rPr>
          <w:rFonts w:ascii="Times New Roman" w:hAnsi="宋体"/>
          <w:color w:val="auto"/>
          <w:sz w:val="21"/>
          <w:szCs w:val="21"/>
        </w:rPr>
        <w:t>如因卖方延误将上述内容用电报或传真通知买方，由此引起的一切后果损失应由卖方负责。</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8       </w:t>
      </w:r>
      <w:r>
        <w:rPr>
          <w:rFonts w:ascii="Times New Roman" w:hAnsi="宋体"/>
          <w:color w:val="auto"/>
          <w:sz w:val="21"/>
          <w:szCs w:val="21"/>
          <w:u w:val="none"/>
        </w:rPr>
        <w:t>保险</w:t>
      </w:r>
    </w:p>
    <w:p>
      <w:pPr>
        <w:widowControl w:val="0"/>
        <w:snapToGrid w:val="0"/>
        <w:spacing w:before="119" w:line="331" w:lineRule="auto"/>
        <w:ind w:left="850" w:leftChars="1" w:hanging="848" w:hangingChars="404"/>
        <w:rPr>
          <w:color w:val="auto"/>
          <w:szCs w:val="21"/>
        </w:rPr>
      </w:pPr>
      <w:r>
        <w:rPr>
          <w:color w:val="auto"/>
          <w:szCs w:val="21"/>
        </w:rPr>
        <w:t xml:space="preserve">8.1     </w:t>
      </w:r>
      <w:r>
        <w:rPr>
          <w:rFonts w:hAnsi="宋体"/>
          <w:color w:val="auto"/>
          <w:szCs w:val="21"/>
        </w:rPr>
        <w:t>如果货物是按现场交货方式或工厂交货方式报价的，由卖方按照发票金额的</w:t>
      </w:r>
      <w:r>
        <w:rPr>
          <w:color w:val="auto"/>
          <w:szCs w:val="21"/>
        </w:rPr>
        <w:t>110</w:t>
      </w:r>
      <w:r>
        <w:rPr>
          <w:rFonts w:hAnsi="宋体"/>
          <w:color w:val="auto"/>
          <w:szCs w:val="21"/>
        </w:rPr>
        <w:t>％办理</w:t>
      </w:r>
      <w:r>
        <w:rPr>
          <w:color w:val="auto"/>
          <w:szCs w:val="21"/>
        </w:rPr>
        <w:t>“</w:t>
      </w:r>
      <w:r>
        <w:rPr>
          <w:rFonts w:hAnsi="宋体"/>
          <w:color w:val="auto"/>
          <w:szCs w:val="21"/>
        </w:rPr>
        <w:t>一切险</w:t>
      </w:r>
      <w:r>
        <w:rPr>
          <w:color w:val="auto"/>
          <w:szCs w:val="21"/>
        </w:rPr>
        <w:t>”</w:t>
      </w:r>
      <w:r>
        <w:rPr>
          <w:rFonts w:hAnsi="宋体"/>
          <w:color w:val="auto"/>
          <w:szCs w:val="21"/>
        </w:rPr>
        <w:t>；如果货物是按买方自提货物方式报价的，其保险由买方办理。</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9       </w:t>
      </w:r>
      <w:r>
        <w:rPr>
          <w:rFonts w:ascii="Times New Roman" w:hAnsi="宋体"/>
          <w:color w:val="auto"/>
          <w:sz w:val="21"/>
          <w:szCs w:val="21"/>
          <w:u w:val="none"/>
        </w:rPr>
        <w:t>付款</w:t>
      </w:r>
      <w:r>
        <w:rPr>
          <w:rFonts w:hint="eastAsia" w:ascii="Times New Roman" w:hAnsi="宋体"/>
          <w:color w:val="auto"/>
          <w:sz w:val="21"/>
          <w:szCs w:val="21"/>
          <w:u w:val="none"/>
        </w:rPr>
        <w:t>方式</w:t>
      </w:r>
    </w:p>
    <w:p>
      <w:pPr>
        <w:widowControl w:val="0"/>
        <w:snapToGrid w:val="0"/>
        <w:spacing w:before="119" w:line="331" w:lineRule="auto"/>
        <w:ind w:left="850" w:leftChars="1" w:hanging="848" w:hangingChars="404"/>
        <w:rPr>
          <w:color w:val="auto"/>
          <w:szCs w:val="21"/>
        </w:rPr>
      </w:pPr>
      <w:r>
        <w:rPr>
          <w:color w:val="auto"/>
          <w:szCs w:val="21"/>
        </w:rPr>
        <w:t xml:space="preserve">9.1     </w:t>
      </w:r>
      <w:r>
        <w:rPr>
          <w:rFonts w:hAnsi="宋体"/>
          <w:color w:val="auto"/>
          <w:szCs w:val="21"/>
        </w:rPr>
        <w:t>付款</w:t>
      </w:r>
      <w:r>
        <w:rPr>
          <w:rFonts w:hint="eastAsia" w:hAnsi="宋体"/>
          <w:color w:val="auto"/>
          <w:szCs w:val="21"/>
        </w:rPr>
        <w:t>方式</w:t>
      </w:r>
      <w:r>
        <w:rPr>
          <w:rFonts w:hAnsi="宋体"/>
          <w:color w:val="auto"/>
          <w:szCs w:val="21"/>
        </w:rPr>
        <w:t>见</w:t>
      </w:r>
      <w:r>
        <w:rPr>
          <w:rFonts w:hint="eastAsia" w:hAnsi="宋体"/>
          <w:color w:val="auto"/>
          <w:szCs w:val="21"/>
        </w:rPr>
        <w:t>第二册</w:t>
      </w:r>
      <w:r>
        <w:rPr>
          <w:color w:val="auto"/>
          <w:szCs w:val="21"/>
        </w:rPr>
        <w:t xml:space="preserve"> “</w:t>
      </w:r>
      <w:r>
        <w:rPr>
          <w:rFonts w:hAnsi="宋体"/>
          <w:color w:val="auto"/>
          <w:szCs w:val="21"/>
        </w:rPr>
        <w:t>合同特殊条款</w:t>
      </w:r>
      <w:r>
        <w:rPr>
          <w:color w:val="auto"/>
          <w:szCs w:val="21"/>
        </w:rPr>
        <w:t>”</w:t>
      </w:r>
      <w:r>
        <w:rPr>
          <w:rFonts w:hAnsi="宋体"/>
          <w:color w:val="auto"/>
          <w:szCs w:val="21"/>
        </w:rPr>
        <w:t>。</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10      </w:t>
      </w:r>
      <w:r>
        <w:rPr>
          <w:rFonts w:ascii="Times New Roman" w:hAnsi="宋体"/>
          <w:color w:val="auto"/>
          <w:sz w:val="21"/>
          <w:szCs w:val="21"/>
          <w:u w:val="none"/>
        </w:rPr>
        <w:t>技术资料</w:t>
      </w:r>
    </w:p>
    <w:p>
      <w:pPr>
        <w:widowControl w:val="0"/>
        <w:snapToGrid w:val="0"/>
        <w:spacing w:before="119" w:line="331" w:lineRule="auto"/>
        <w:ind w:left="850" w:leftChars="1" w:hanging="848" w:hangingChars="404"/>
        <w:rPr>
          <w:color w:val="auto"/>
          <w:szCs w:val="21"/>
        </w:rPr>
      </w:pPr>
      <w:r>
        <w:rPr>
          <w:color w:val="auto"/>
          <w:szCs w:val="21"/>
        </w:rPr>
        <w:t xml:space="preserve">10.1    </w:t>
      </w:r>
      <w:r>
        <w:rPr>
          <w:rFonts w:hAnsi="宋体"/>
          <w:color w:val="auto"/>
          <w:szCs w:val="21"/>
        </w:rPr>
        <w:t>合同项下技术资料</w:t>
      </w:r>
      <w:r>
        <w:rPr>
          <w:color w:val="auto"/>
          <w:szCs w:val="21"/>
        </w:rPr>
        <w:t>(</w:t>
      </w:r>
      <w:r>
        <w:rPr>
          <w:rFonts w:hAnsi="宋体"/>
          <w:color w:val="auto"/>
          <w:szCs w:val="21"/>
        </w:rPr>
        <w:t>除合同特殊条款规定外</w:t>
      </w:r>
      <w:r>
        <w:rPr>
          <w:color w:val="auto"/>
          <w:szCs w:val="21"/>
        </w:rPr>
        <w:t>)</w:t>
      </w:r>
      <w:r>
        <w:rPr>
          <w:rFonts w:hAnsi="宋体"/>
          <w:color w:val="auto"/>
          <w:szCs w:val="21"/>
        </w:rPr>
        <w:t>将以下列方式交付：</w:t>
      </w:r>
    </w:p>
    <w:p>
      <w:pPr>
        <w:widowControl w:val="0"/>
        <w:snapToGrid w:val="0"/>
        <w:spacing w:before="119" w:line="331" w:lineRule="auto"/>
        <w:ind w:left="842" w:leftChars="351" w:hanging="105" w:hangingChars="50"/>
        <w:rPr>
          <w:color w:val="auto"/>
          <w:szCs w:val="21"/>
        </w:rPr>
      </w:pPr>
      <w:r>
        <w:rPr>
          <w:rFonts w:hAnsi="宋体"/>
          <w:color w:val="auto"/>
          <w:szCs w:val="21"/>
        </w:rPr>
        <w:t>合同生效后</w:t>
      </w:r>
      <w:r>
        <w:rPr>
          <w:color w:val="auto"/>
          <w:szCs w:val="21"/>
          <w:u w:val="single" w:color="FF0000"/>
        </w:rPr>
        <w:t>30</w:t>
      </w:r>
      <w:r>
        <w:rPr>
          <w:rFonts w:hAnsi="宋体"/>
          <w:color w:val="auto"/>
          <w:szCs w:val="21"/>
        </w:rPr>
        <w:t>天之内，卖方应将每台设备和仪器的中文技术资料一套，如目录索引、图纸、操作手册、使用指南、维修指南和／或服务手册和示意图寄给买方。</w:t>
      </w:r>
    </w:p>
    <w:p>
      <w:pPr>
        <w:widowControl w:val="0"/>
        <w:snapToGrid w:val="0"/>
        <w:spacing w:before="119" w:line="331" w:lineRule="auto"/>
        <w:ind w:left="850" w:leftChars="1" w:hanging="848" w:hangingChars="404"/>
        <w:rPr>
          <w:color w:val="auto"/>
          <w:szCs w:val="21"/>
        </w:rPr>
      </w:pPr>
      <w:r>
        <w:rPr>
          <w:color w:val="auto"/>
          <w:szCs w:val="21"/>
        </w:rPr>
        <w:t xml:space="preserve">10.2    </w:t>
      </w:r>
      <w:r>
        <w:rPr>
          <w:rFonts w:hAnsi="宋体"/>
          <w:color w:val="auto"/>
          <w:szCs w:val="21"/>
        </w:rPr>
        <w:t>另外一套完整的上述资料应包装好随同每批货物一起发运。</w:t>
      </w:r>
    </w:p>
    <w:p>
      <w:pPr>
        <w:widowControl w:val="0"/>
        <w:snapToGrid w:val="0"/>
        <w:spacing w:before="119" w:line="331" w:lineRule="auto"/>
        <w:ind w:left="850" w:leftChars="1" w:hanging="848" w:hangingChars="404"/>
        <w:rPr>
          <w:color w:val="auto"/>
          <w:szCs w:val="21"/>
        </w:rPr>
      </w:pPr>
      <w:r>
        <w:rPr>
          <w:color w:val="auto"/>
          <w:szCs w:val="21"/>
        </w:rPr>
        <w:t xml:space="preserve">10.3    </w:t>
      </w:r>
      <w:r>
        <w:rPr>
          <w:rFonts w:hAnsi="宋体"/>
          <w:color w:val="auto"/>
          <w:szCs w:val="21"/>
        </w:rPr>
        <w:t>如果买方确认卖方提供的技术资料不完整或在运输过程中丢失，卖方将在收到买方通知后</w:t>
      </w:r>
      <w:r>
        <w:rPr>
          <w:color w:val="auto"/>
          <w:szCs w:val="21"/>
          <w:u w:val="single" w:color="FF0000"/>
        </w:rPr>
        <w:t>7</w:t>
      </w:r>
      <w:r>
        <w:rPr>
          <w:rFonts w:hAnsi="宋体"/>
          <w:color w:val="auto"/>
          <w:szCs w:val="21"/>
        </w:rPr>
        <w:t>天内将这些资料免费寄给买方。</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11      </w:t>
      </w:r>
      <w:r>
        <w:rPr>
          <w:rFonts w:ascii="Times New Roman" w:hAnsi="宋体"/>
          <w:color w:val="auto"/>
          <w:sz w:val="21"/>
          <w:szCs w:val="21"/>
          <w:u w:val="none"/>
        </w:rPr>
        <w:t>质量保证</w:t>
      </w:r>
    </w:p>
    <w:p>
      <w:pPr>
        <w:widowControl w:val="0"/>
        <w:snapToGrid w:val="0"/>
        <w:spacing w:line="331" w:lineRule="auto"/>
        <w:ind w:left="850" w:leftChars="1" w:hanging="848" w:hangingChars="404"/>
        <w:rPr>
          <w:color w:val="auto"/>
          <w:szCs w:val="21"/>
        </w:rPr>
      </w:pPr>
      <w:r>
        <w:rPr>
          <w:color w:val="auto"/>
          <w:szCs w:val="21"/>
        </w:rPr>
        <w:t xml:space="preserve">11.1    </w:t>
      </w:r>
      <w:r>
        <w:rPr>
          <w:rFonts w:hAnsi="宋体"/>
          <w:color w:val="auto"/>
          <w:szCs w:val="21"/>
        </w:rPr>
        <w:t>卖方须保证货物是全新、未使用过的，并完全符合强制性的国家技术质量规范和合同规定的质量、规格、性能和技术规范等的要求。</w:t>
      </w:r>
    </w:p>
    <w:p>
      <w:pPr>
        <w:widowControl w:val="0"/>
        <w:snapToGrid w:val="0"/>
        <w:spacing w:line="331" w:lineRule="auto"/>
        <w:ind w:left="850" w:leftChars="1" w:hanging="848" w:hangingChars="404"/>
        <w:rPr>
          <w:color w:val="auto"/>
          <w:szCs w:val="21"/>
        </w:rPr>
      </w:pPr>
      <w:r>
        <w:rPr>
          <w:color w:val="auto"/>
          <w:szCs w:val="21"/>
        </w:rPr>
        <w:t xml:space="preserve">11.2    </w:t>
      </w:r>
      <w:r>
        <w:rPr>
          <w:rFonts w:hAnsi="宋体"/>
          <w:color w:val="auto"/>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widowControl w:val="0"/>
        <w:snapToGrid w:val="0"/>
        <w:spacing w:before="119" w:line="331" w:lineRule="auto"/>
        <w:ind w:left="850" w:leftChars="1" w:hanging="848" w:hangingChars="404"/>
        <w:rPr>
          <w:color w:val="auto"/>
          <w:szCs w:val="21"/>
        </w:rPr>
      </w:pPr>
      <w:r>
        <w:rPr>
          <w:color w:val="auto"/>
          <w:szCs w:val="21"/>
        </w:rPr>
        <w:t xml:space="preserve">11.3    </w:t>
      </w:r>
      <w:r>
        <w:rPr>
          <w:rFonts w:hAnsi="宋体"/>
          <w:color w:val="auto"/>
          <w:szCs w:val="21"/>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color w:val="auto"/>
          <w:szCs w:val="21"/>
          <w:u w:val="single"/>
        </w:rPr>
        <w:t>7</w:t>
      </w:r>
      <w:r>
        <w:rPr>
          <w:rFonts w:hAnsi="宋体"/>
          <w:color w:val="auto"/>
          <w:szCs w:val="21"/>
        </w:rPr>
        <w:t>天内应免费维修或更换有缺陷的货物或部件。</w:t>
      </w:r>
    </w:p>
    <w:p>
      <w:pPr>
        <w:widowControl w:val="0"/>
        <w:snapToGrid w:val="0"/>
        <w:spacing w:before="119" w:line="331" w:lineRule="auto"/>
        <w:ind w:left="850" w:leftChars="1" w:hanging="848" w:hangingChars="404"/>
        <w:rPr>
          <w:color w:val="auto"/>
          <w:szCs w:val="21"/>
        </w:rPr>
      </w:pPr>
      <w:r>
        <w:rPr>
          <w:color w:val="auto"/>
          <w:szCs w:val="21"/>
        </w:rPr>
        <w:t xml:space="preserve">11.4    </w:t>
      </w:r>
      <w:r>
        <w:rPr>
          <w:rFonts w:hAnsi="宋体"/>
          <w:color w:val="auto"/>
          <w:szCs w:val="21"/>
        </w:rPr>
        <w:t>如果卖方在收到通知后</w:t>
      </w:r>
      <w:r>
        <w:rPr>
          <w:color w:val="auto"/>
          <w:szCs w:val="21"/>
          <w:u w:val="single"/>
        </w:rPr>
        <w:t>7</w:t>
      </w:r>
      <w:r>
        <w:rPr>
          <w:rFonts w:hAnsi="宋体"/>
          <w:color w:val="auto"/>
          <w:szCs w:val="21"/>
        </w:rPr>
        <w:t>天内没有弥补缺陷，买方可采取必要的补救措施，但由此引发的风险和费用将由卖方承担。</w:t>
      </w:r>
    </w:p>
    <w:p>
      <w:pPr>
        <w:widowControl w:val="0"/>
        <w:snapToGrid w:val="0"/>
        <w:spacing w:line="360" w:lineRule="auto"/>
        <w:ind w:left="958" w:hanging="952"/>
        <w:rPr>
          <w:rFonts w:hAnsi="宋体"/>
          <w:color w:val="auto"/>
          <w:szCs w:val="21"/>
        </w:rPr>
      </w:pPr>
      <w:r>
        <w:rPr>
          <w:color w:val="auto"/>
          <w:szCs w:val="21"/>
        </w:rPr>
        <w:t xml:space="preserve">11.5    </w:t>
      </w:r>
      <w:r>
        <w:rPr>
          <w:rFonts w:hAnsi="宋体"/>
          <w:color w:val="auto"/>
          <w:szCs w:val="21"/>
        </w:rPr>
        <w:t>除</w:t>
      </w:r>
      <w:r>
        <w:rPr>
          <w:color w:val="auto"/>
          <w:szCs w:val="21"/>
        </w:rPr>
        <w:t>“</w:t>
      </w:r>
      <w:r>
        <w:rPr>
          <w:rFonts w:hAnsi="宋体"/>
          <w:color w:val="auto"/>
          <w:szCs w:val="21"/>
        </w:rPr>
        <w:t>合同特殊条款</w:t>
      </w:r>
      <w:r>
        <w:rPr>
          <w:color w:val="auto"/>
          <w:szCs w:val="21"/>
        </w:rPr>
        <w:t>”</w:t>
      </w:r>
      <w:r>
        <w:rPr>
          <w:rFonts w:hAnsi="宋体"/>
          <w:color w:val="auto"/>
          <w:szCs w:val="21"/>
        </w:rPr>
        <w:t>规定外，合同项下货物的质量保证期为自货物通过最终验收起</w:t>
      </w:r>
      <w:r>
        <w:rPr>
          <w:color w:val="auto"/>
          <w:szCs w:val="21"/>
        </w:rPr>
        <w:t>12</w:t>
      </w:r>
      <w:r>
        <w:rPr>
          <w:rFonts w:hAnsi="宋体"/>
          <w:color w:val="auto"/>
          <w:szCs w:val="21"/>
        </w:rPr>
        <w:t>个月。</w:t>
      </w:r>
    </w:p>
    <w:p>
      <w:pPr>
        <w:widowControl w:val="0"/>
        <w:snapToGrid w:val="0"/>
        <w:spacing w:before="119" w:line="331" w:lineRule="auto"/>
        <w:ind w:left="850" w:leftChars="1" w:hanging="848" w:hangingChars="404"/>
        <w:rPr>
          <w:color w:val="auto"/>
          <w:szCs w:val="21"/>
        </w:rPr>
      </w:pP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12      </w:t>
      </w:r>
      <w:r>
        <w:rPr>
          <w:rFonts w:ascii="Times New Roman" w:hAnsi="宋体"/>
          <w:color w:val="auto"/>
          <w:sz w:val="21"/>
          <w:szCs w:val="21"/>
          <w:u w:val="none"/>
        </w:rPr>
        <w:t>检验和验收</w:t>
      </w:r>
    </w:p>
    <w:p>
      <w:pPr>
        <w:widowControl w:val="0"/>
        <w:snapToGrid w:val="0"/>
        <w:spacing w:before="119" w:line="331" w:lineRule="auto"/>
        <w:ind w:left="850" w:leftChars="1" w:hanging="848" w:hangingChars="404"/>
        <w:rPr>
          <w:color w:val="auto"/>
          <w:szCs w:val="21"/>
        </w:rPr>
      </w:pPr>
      <w:r>
        <w:rPr>
          <w:color w:val="auto"/>
          <w:szCs w:val="21"/>
        </w:rPr>
        <w:t xml:space="preserve">12.1    </w:t>
      </w:r>
      <w:r>
        <w:rPr>
          <w:rFonts w:hAnsi="宋体"/>
          <w:color w:val="auto"/>
          <w:szCs w:val="21"/>
        </w:rPr>
        <w:t>在交货前，中标人应对货物的质量、规格、性能、数量和重量等进行详细而全面检验，并出具证明货物符合合同规定的文件。该文件将作为申请付款单据的一部分，但有关质量、规格、性能、数量或重量的检验不应视为最终检验。</w:t>
      </w:r>
    </w:p>
    <w:p>
      <w:pPr>
        <w:widowControl w:val="0"/>
        <w:snapToGrid w:val="0"/>
        <w:spacing w:before="119" w:line="331" w:lineRule="auto"/>
        <w:ind w:left="850" w:leftChars="1" w:hanging="848" w:hangingChars="404"/>
        <w:rPr>
          <w:color w:val="auto"/>
          <w:szCs w:val="21"/>
        </w:rPr>
      </w:pPr>
      <w:r>
        <w:rPr>
          <w:color w:val="auto"/>
          <w:szCs w:val="21"/>
        </w:rPr>
        <w:t xml:space="preserve">12.2    </w:t>
      </w:r>
      <w:r>
        <w:rPr>
          <w:rFonts w:hAnsi="宋体"/>
          <w:color w:val="auto"/>
          <w:szCs w:val="21"/>
        </w:rPr>
        <w:t>货物运抵现场后，买方应在</w:t>
      </w:r>
      <w:r>
        <w:rPr>
          <w:color w:val="auto"/>
          <w:szCs w:val="21"/>
          <w:u w:val="single" w:color="FF0000"/>
        </w:rPr>
        <w:t>7</w:t>
      </w:r>
      <w:r>
        <w:rPr>
          <w:rFonts w:hAnsi="宋体"/>
          <w:color w:val="auto"/>
          <w:szCs w:val="21"/>
        </w:rPr>
        <w:t>日内组织验收，并制作验收备忘录，签署验收意见并报同级政府采购监督管理部门备案。</w:t>
      </w:r>
    </w:p>
    <w:p>
      <w:pPr>
        <w:widowControl w:val="0"/>
        <w:snapToGrid w:val="0"/>
        <w:spacing w:before="119" w:line="331" w:lineRule="auto"/>
        <w:ind w:left="850" w:leftChars="1" w:hanging="848" w:hangingChars="404"/>
        <w:rPr>
          <w:color w:val="auto"/>
          <w:szCs w:val="21"/>
        </w:rPr>
      </w:pPr>
      <w:r>
        <w:rPr>
          <w:color w:val="auto"/>
          <w:szCs w:val="21"/>
        </w:rPr>
        <w:t xml:space="preserve">12.3    </w:t>
      </w:r>
      <w:r>
        <w:rPr>
          <w:rFonts w:hAnsi="宋体"/>
          <w:color w:val="auto"/>
          <w:szCs w:val="21"/>
        </w:rPr>
        <w:t>买方有在货物制造过程中派员监造的权利</w:t>
      </w:r>
      <w:r>
        <w:rPr>
          <w:color w:val="auto"/>
          <w:szCs w:val="21"/>
        </w:rPr>
        <w:t xml:space="preserve">, </w:t>
      </w:r>
      <w:r>
        <w:rPr>
          <w:rFonts w:hAnsi="宋体"/>
          <w:color w:val="auto"/>
          <w:szCs w:val="21"/>
        </w:rPr>
        <w:t>卖方有义务为买方监造人员行使该权利提供方便。</w:t>
      </w:r>
    </w:p>
    <w:p>
      <w:pPr>
        <w:widowControl w:val="0"/>
        <w:snapToGrid w:val="0"/>
        <w:spacing w:before="119" w:line="331" w:lineRule="auto"/>
        <w:ind w:left="850" w:leftChars="1" w:hanging="848" w:hangingChars="404"/>
        <w:rPr>
          <w:color w:val="auto"/>
          <w:szCs w:val="21"/>
        </w:rPr>
      </w:pPr>
      <w:r>
        <w:rPr>
          <w:color w:val="auto"/>
          <w:szCs w:val="21"/>
        </w:rPr>
        <w:t xml:space="preserve">12.4    </w:t>
      </w:r>
      <w:r>
        <w:rPr>
          <w:rFonts w:hAnsi="宋体"/>
          <w:color w:val="auto"/>
          <w:szCs w:val="21"/>
        </w:rPr>
        <w:t>制造厂对所供货物进行机械运转试验和性能试验时，中标人必须提前通知买方。</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13      </w:t>
      </w:r>
      <w:r>
        <w:rPr>
          <w:rFonts w:ascii="Times New Roman" w:hAnsi="宋体"/>
          <w:color w:val="auto"/>
          <w:sz w:val="21"/>
          <w:szCs w:val="21"/>
          <w:u w:val="none"/>
        </w:rPr>
        <w:t>索赔</w:t>
      </w:r>
    </w:p>
    <w:p>
      <w:pPr>
        <w:widowControl w:val="0"/>
        <w:snapToGrid w:val="0"/>
        <w:spacing w:before="119" w:line="331" w:lineRule="auto"/>
        <w:ind w:left="850" w:leftChars="1" w:hanging="848" w:hangingChars="404"/>
        <w:rPr>
          <w:color w:val="auto"/>
          <w:szCs w:val="21"/>
        </w:rPr>
      </w:pPr>
      <w:r>
        <w:rPr>
          <w:color w:val="auto"/>
          <w:szCs w:val="21"/>
        </w:rPr>
        <w:t xml:space="preserve">13.1    </w:t>
      </w:r>
      <w:r>
        <w:rPr>
          <w:rFonts w:hAnsi="宋体"/>
          <w:color w:val="auto"/>
          <w:szCs w:val="21"/>
        </w:rPr>
        <w:t>如果货物的质量、规格、数量、重量等与合同不符，或在第</w:t>
      </w:r>
      <w:r>
        <w:rPr>
          <w:color w:val="auto"/>
          <w:szCs w:val="21"/>
        </w:rPr>
        <w:t>11.5</w:t>
      </w:r>
      <w:r>
        <w:rPr>
          <w:rFonts w:hAnsi="宋体"/>
          <w:color w:val="auto"/>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pPr>
        <w:widowControl w:val="0"/>
        <w:snapToGrid w:val="0"/>
        <w:spacing w:before="119" w:line="331" w:lineRule="auto"/>
        <w:ind w:left="850" w:leftChars="1" w:hanging="848" w:hangingChars="404"/>
        <w:rPr>
          <w:color w:val="auto"/>
          <w:szCs w:val="21"/>
        </w:rPr>
      </w:pPr>
      <w:r>
        <w:rPr>
          <w:color w:val="auto"/>
          <w:szCs w:val="21"/>
        </w:rPr>
        <w:t xml:space="preserve">13.2    </w:t>
      </w:r>
      <w:r>
        <w:rPr>
          <w:rFonts w:hAnsi="宋体"/>
          <w:color w:val="auto"/>
          <w:szCs w:val="21"/>
        </w:rPr>
        <w:t>在根据合同第</w:t>
      </w:r>
      <w:r>
        <w:rPr>
          <w:color w:val="auto"/>
          <w:szCs w:val="21"/>
        </w:rPr>
        <w:t>11</w:t>
      </w:r>
      <w:r>
        <w:rPr>
          <w:rFonts w:hAnsi="宋体"/>
          <w:color w:val="auto"/>
          <w:szCs w:val="21"/>
        </w:rPr>
        <w:t>条和第</w:t>
      </w:r>
      <w:r>
        <w:rPr>
          <w:color w:val="auto"/>
          <w:szCs w:val="21"/>
        </w:rPr>
        <w:t>12</w:t>
      </w:r>
      <w:r>
        <w:rPr>
          <w:rFonts w:hAnsi="宋体"/>
          <w:color w:val="auto"/>
          <w:szCs w:val="21"/>
        </w:rPr>
        <w:t>条规定的检验期和质量保证期内，如果卖方对买方提出的索赔负有责任，卖方应按照买方同意的下列一种或多种方式解决索赔事宜：</w:t>
      </w:r>
    </w:p>
    <w:p>
      <w:pPr>
        <w:widowControl w:val="0"/>
        <w:snapToGrid w:val="0"/>
        <w:spacing w:before="119" w:line="331" w:lineRule="auto"/>
        <w:ind w:left="708" w:hanging="707" w:hangingChars="337"/>
        <w:rPr>
          <w:color w:val="auto"/>
          <w:szCs w:val="21"/>
        </w:rPr>
      </w:pPr>
      <w:r>
        <w:rPr>
          <w:color w:val="auto"/>
          <w:szCs w:val="21"/>
        </w:rPr>
        <w:t xml:space="preserve">13.2.1  </w:t>
      </w:r>
      <w:r>
        <w:rPr>
          <w:rFonts w:hAnsi="宋体"/>
          <w:color w:val="auto"/>
          <w:szCs w:val="21"/>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widowControl w:val="0"/>
        <w:snapToGrid w:val="0"/>
        <w:spacing w:before="119" w:line="331" w:lineRule="auto"/>
        <w:ind w:left="708" w:hanging="707" w:hangingChars="337"/>
        <w:rPr>
          <w:color w:val="auto"/>
          <w:szCs w:val="21"/>
        </w:rPr>
      </w:pPr>
      <w:r>
        <w:rPr>
          <w:color w:val="auto"/>
          <w:szCs w:val="21"/>
        </w:rPr>
        <w:t xml:space="preserve">13.2.2  </w:t>
      </w:r>
      <w:r>
        <w:rPr>
          <w:rFonts w:hAnsi="宋体"/>
          <w:color w:val="auto"/>
          <w:szCs w:val="21"/>
        </w:rPr>
        <w:t>根据货物低劣程度、损坏程度以及买方所遭受损失的数额，经买卖双方商定降低货物的价格，或由有权的部门评估，以降低后的价格或评估价格为准。</w:t>
      </w:r>
    </w:p>
    <w:p>
      <w:pPr>
        <w:widowControl w:val="0"/>
        <w:snapToGrid w:val="0"/>
        <w:spacing w:before="119" w:line="331" w:lineRule="auto"/>
        <w:ind w:left="708" w:hanging="707" w:hangingChars="337"/>
        <w:rPr>
          <w:color w:val="auto"/>
          <w:szCs w:val="21"/>
        </w:rPr>
      </w:pPr>
      <w:r>
        <w:rPr>
          <w:color w:val="auto"/>
          <w:szCs w:val="21"/>
        </w:rPr>
        <w:t xml:space="preserve">13.2.3  </w:t>
      </w:r>
      <w:r>
        <w:rPr>
          <w:rFonts w:hAnsi="宋体"/>
          <w:color w:val="auto"/>
          <w:szCs w:val="21"/>
        </w:rPr>
        <w:t>用符合规格、质量和性能要求的新零件、部件或货物来更换有缺陷的部分或／和修补缺陷部分，卖方应承担一切费用和风险并负担买方所发生的一切直接费用。同时，卖方应按合同第</w:t>
      </w:r>
      <w:r>
        <w:rPr>
          <w:color w:val="auto"/>
          <w:szCs w:val="21"/>
        </w:rPr>
        <w:t>11</w:t>
      </w:r>
      <w:r>
        <w:rPr>
          <w:rFonts w:hAnsi="宋体"/>
          <w:color w:val="auto"/>
          <w:szCs w:val="21"/>
        </w:rPr>
        <w:t>条规定，相应延长修补或更换件的质量保证期。</w:t>
      </w:r>
    </w:p>
    <w:p>
      <w:pPr>
        <w:widowControl w:val="0"/>
        <w:snapToGrid w:val="0"/>
        <w:spacing w:before="119" w:line="331" w:lineRule="auto"/>
        <w:ind w:left="708" w:hanging="707" w:hangingChars="337"/>
        <w:rPr>
          <w:color w:val="auto"/>
          <w:szCs w:val="21"/>
        </w:rPr>
      </w:pPr>
      <w:r>
        <w:rPr>
          <w:color w:val="auto"/>
          <w:szCs w:val="21"/>
        </w:rPr>
        <w:t xml:space="preserve">13.3   </w:t>
      </w:r>
      <w:r>
        <w:rPr>
          <w:rFonts w:hAnsi="宋体"/>
          <w:color w:val="auto"/>
          <w:szCs w:val="21"/>
        </w:rPr>
        <w:t>如果在买方发出索赔通知后</w:t>
      </w:r>
      <w:r>
        <w:rPr>
          <w:color w:val="auto"/>
          <w:szCs w:val="21"/>
          <w:u w:val="single"/>
        </w:rPr>
        <w:t>7</w:t>
      </w:r>
      <w:r>
        <w:rPr>
          <w:rFonts w:hAnsi="宋体"/>
          <w:color w:val="auto"/>
          <w:szCs w:val="21"/>
        </w:rPr>
        <w:t>天内，卖方未作答复，上述索赔应视为已被卖方接受。如卖方未能在买方提出索赔通知后</w:t>
      </w:r>
      <w:r>
        <w:rPr>
          <w:color w:val="auto"/>
          <w:szCs w:val="21"/>
          <w:u w:val="single"/>
        </w:rPr>
        <w:t>7</w:t>
      </w:r>
      <w:r>
        <w:rPr>
          <w:rFonts w:hAnsi="宋体"/>
          <w:color w:val="auto"/>
          <w:szCs w:val="21"/>
        </w:rPr>
        <w:t>天内或买方同意的更长时间内，按照本合同第</w:t>
      </w:r>
      <w:r>
        <w:rPr>
          <w:color w:val="auto"/>
          <w:szCs w:val="21"/>
        </w:rPr>
        <w:t>13.2</w:t>
      </w:r>
      <w:r>
        <w:rPr>
          <w:rFonts w:hAnsi="宋体"/>
          <w:color w:val="auto"/>
          <w:szCs w:val="21"/>
        </w:rPr>
        <w:t>条规定的任何一种方法解决索赔事宜，买方将从合同款或从卖方开具的履约保证金保函中扣回索赔金额。如果这些金额不足以补偿索赔金额，买方有权向卖方提出不足部分的补偿。</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14      </w:t>
      </w:r>
      <w:r>
        <w:rPr>
          <w:rFonts w:ascii="Times New Roman" w:hAnsi="宋体"/>
          <w:color w:val="auto"/>
          <w:sz w:val="21"/>
          <w:szCs w:val="21"/>
          <w:u w:val="none"/>
        </w:rPr>
        <w:t>迟延交货</w:t>
      </w:r>
    </w:p>
    <w:p>
      <w:pPr>
        <w:widowControl w:val="0"/>
        <w:snapToGrid w:val="0"/>
        <w:spacing w:before="119" w:line="331" w:lineRule="auto"/>
        <w:ind w:left="850" w:leftChars="1" w:hanging="848" w:hangingChars="404"/>
        <w:rPr>
          <w:color w:val="auto"/>
          <w:szCs w:val="21"/>
        </w:rPr>
      </w:pPr>
      <w:r>
        <w:rPr>
          <w:color w:val="auto"/>
          <w:szCs w:val="21"/>
        </w:rPr>
        <w:t xml:space="preserve">14.1    </w:t>
      </w:r>
      <w:r>
        <w:rPr>
          <w:rFonts w:hAnsi="宋体"/>
          <w:color w:val="auto"/>
          <w:szCs w:val="21"/>
        </w:rPr>
        <w:t>卖方应按照</w:t>
      </w:r>
      <w:r>
        <w:rPr>
          <w:color w:val="auto"/>
          <w:szCs w:val="21"/>
        </w:rPr>
        <w:t>“</w:t>
      </w:r>
      <w:r>
        <w:rPr>
          <w:rFonts w:hAnsi="宋体"/>
          <w:color w:val="auto"/>
          <w:szCs w:val="21"/>
        </w:rPr>
        <w:t>货物需求一览表及技术规格</w:t>
      </w:r>
      <w:r>
        <w:rPr>
          <w:color w:val="auto"/>
          <w:szCs w:val="21"/>
        </w:rPr>
        <w:t>”</w:t>
      </w:r>
      <w:r>
        <w:rPr>
          <w:rFonts w:hAnsi="宋体"/>
          <w:color w:val="auto"/>
          <w:szCs w:val="21"/>
        </w:rPr>
        <w:t>中买方规定的时间表交货和提供服务。</w:t>
      </w:r>
    </w:p>
    <w:p>
      <w:pPr>
        <w:widowControl w:val="0"/>
        <w:snapToGrid w:val="0"/>
        <w:spacing w:before="119" w:line="331" w:lineRule="auto"/>
        <w:ind w:left="850" w:leftChars="1" w:hanging="848" w:hangingChars="404"/>
        <w:rPr>
          <w:color w:val="auto"/>
          <w:szCs w:val="21"/>
        </w:rPr>
      </w:pPr>
      <w:r>
        <w:rPr>
          <w:color w:val="auto"/>
          <w:szCs w:val="21"/>
        </w:rPr>
        <w:t xml:space="preserve">14.2    </w:t>
      </w:r>
      <w:r>
        <w:rPr>
          <w:rFonts w:hAnsi="宋体"/>
          <w:color w:val="auto"/>
          <w:szCs w:val="21"/>
        </w:rPr>
        <w:t>如果卖方无正当理由迟延交货，买方有权提出违约损失赔偿或解除合同。</w:t>
      </w:r>
    </w:p>
    <w:p>
      <w:pPr>
        <w:widowControl w:val="0"/>
        <w:snapToGrid w:val="0"/>
        <w:spacing w:before="119" w:line="331" w:lineRule="auto"/>
        <w:ind w:left="850" w:leftChars="1" w:hanging="848" w:hangingChars="404"/>
        <w:rPr>
          <w:color w:val="auto"/>
          <w:szCs w:val="21"/>
        </w:rPr>
      </w:pPr>
      <w:r>
        <w:rPr>
          <w:color w:val="auto"/>
          <w:szCs w:val="21"/>
        </w:rPr>
        <w:t xml:space="preserve">14.3    </w:t>
      </w:r>
      <w:r>
        <w:rPr>
          <w:rFonts w:hAnsi="宋体"/>
          <w:color w:val="auto"/>
          <w:szCs w:val="21"/>
        </w:rPr>
        <w:t>在履行合同过程中，如果卖方遇到不能按时交货和提供服务的情况，应及时以书面形式将不能按时交货的理由、预期延误时间通知买方。买方收到卖方通知后，认为其理由正当的，可酌情延长交货时间。</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15      </w:t>
      </w:r>
      <w:r>
        <w:rPr>
          <w:rFonts w:ascii="Times New Roman" w:hAnsi="宋体"/>
          <w:color w:val="auto"/>
          <w:sz w:val="21"/>
          <w:szCs w:val="21"/>
          <w:u w:val="none"/>
        </w:rPr>
        <w:t>违约赔偿</w:t>
      </w:r>
    </w:p>
    <w:p>
      <w:pPr>
        <w:widowControl w:val="0"/>
        <w:snapToGrid w:val="0"/>
        <w:spacing w:before="119" w:line="331" w:lineRule="auto"/>
        <w:ind w:left="850" w:leftChars="1" w:hanging="848" w:hangingChars="404"/>
        <w:rPr>
          <w:color w:val="auto"/>
          <w:szCs w:val="21"/>
        </w:rPr>
      </w:pPr>
      <w:r>
        <w:rPr>
          <w:color w:val="auto"/>
          <w:szCs w:val="21"/>
        </w:rPr>
        <w:t xml:space="preserve">15.1    </w:t>
      </w:r>
      <w:r>
        <w:rPr>
          <w:rFonts w:hAnsi="宋体"/>
          <w:color w:val="auto"/>
          <w:szCs w:val="21"/>
        </w:rPr>
        <w:t>除合同第</w:t>
      </w:r>
      <w:r>
        <w:rPr>
          <w:color w:val="auto"/>
          <w:szCs w:val="21"/>
        </w:rPr>
        <w:t>16</w:t>
      </w:r>
      <w:r>
        <w:rPr>
          <w:rFonts w:hAnsi="宋体"/>
          <w:color w:val="auto"/>
          <w:szCs w:val="21"/>
        </w:rPr>
        <w:t>条规定外，如果卖方没有按照合同规定的时间交货和提供服务，买方可要求卖方支付违约金。违约金按每周迟交货物或未提供服务交货价的</w:t>
      </w:r>
      <w:r>
        <w:rPr>
          <w:color w:val="auto"/>
          <w:szCs w:val="21"/>
        </w:rPr>
        <w:t>0.5%</w:t>
      </w:r>
      <w:r>
        <w:rPr>
          <w:rFonts w:hAnsi="宋体"/>
          <w:color w:val="auto"/>
          <w:szCs w:val="21"/>
        </w:rPr>
        <w:t>计收。但违约金的最高限额为迟交货物或没有提供服务的合同价的</w:t>
      </w:r>
      <w:r>
        <w:rPr>
          <w:color w:val="auto"/>
          <w:szCs w:val="21"/>
        </w:rPr>
        <w:t>5%</w:t>
      </w:r>
      <w:r>
        <w:rPr>
          <w:rFonts w:hAnsi="宋体"/>
          <w:color w:val="auto"/>
          <w:szCs w:val="21"/>
        </w:rPr>
        <w:t>。一周按</w:t>
      </w:r>
      <w:r>
        <w:rPr>
          <w:color w:val="auto"/>
          <w:szCs w:val="21"/>
        </w:rPr>
        <w:t>7</w:t>
      </w:r>
      <w:r>
        <w:rPr>
          <w:rFonts w:hAnsi="宋体"/>
          <w:color w:val="auto"/>
          <w:szCs w:val="21"/>
        </w:rPr>
        <w:t>天计算，不足</w:t>
      </w:r>
      <w:r>
        <w:rPr>
          <w:color w:val="auto"/>
          <w:szCs w:val="21"/>
        </w:rPr>
        <w:t>7</w:t>
      </w:r>
      <w:r>
        <w:rPr>
          <w:rFonts w:hAnsi="宋体"/>
          <w:color w:val="auto"/>
          <w:szCs w:val="21"/>
        </w:rPr>
        <w:t>天按一周计算。如果达到最高限额，买方有权解除合同。</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16      </w:t>
      </w:r>
      <w:r>
        <w:rPr>
          <w:rFonts w:ascii="Times New Roman" w:hAnsi="宋体"/>
          <w:color w:val="auto"/>
          <w:sz w:val="21"/>
          <w:szCs w:val="21"/>
          <w:u w:val="none"/>
        </w:rPr>
        <w:t>不可抗力</w:t>
      </w:r>
    </w:p>
    <w:p>
      <w:pPr>
        <w:widowControl w:val="0"/>
        <w:snapToGrid w:val="0"/>
        <w:spacing w:before="119" w:line="331" w:lineRule="auto"/>
        <w:ind w:left="850" w:leftChars="1" w:hanging="848" w:hangingChars="404"/>
        <w:rPr>
          <w:color w:val="auto"/>
          <w:szCs w:val="21"/>
        </w:rPr>
      </w:pPr>
      <w:r>
        <w:rPr>
          <w:color w:val="auto"/>
          <w:szCs w:val="21"/>
        </w:rPr>
        <w:t xml:space="preserve">16.1    </w:t>
      </w:r>
      <w:r>
        <w:rPr>
          <w:rFonts w:hAnsi="宋体"/>
          <w:color w:val="auto"/>
          <w:szCs w:val="21"/>
        </w:rPr>
        <w:t>如果双方中任何一方遭遇法律规定的不可抗力，致使合同履行受阻时，履行合同的期限应予延长，延长的期限应相当于不可抗力所影响的时间。</w:t>
      </w:r>
    </w:p>
    <w:p>
      <w:pPr>
        <w:widowControl w:val="0"/>
        <w:snapToGrid w:val="0"/>
        <w:spacing w:before="119" w:line="331" w:lineRule="auto"/>
        <w:ind w:left="850" w:leftChars="1" w:hanging="848" w:hangingChars="404"/>
        <w:rPr>
          <w:color w:val="auto"/>
          <w:szCs w:val="21"/>
        </w:rPr>
      </w:pPr>
      <w:r>
        <w:rPr>
          <w:color w:val="auto"/>
          <w:szCs w:val="21"/>
        </w:rPr>
        <w:t xml:space="preserve">16.2    </w:t>
      </w:r>
      <w:r>
        <w:rPr>
          <w:rFonts w:hAnsi="宋体"/>
          <w:color w:val="auto"/>
          <w:szCs w:val="21"/>
        </w:rPr>
        <w:t>受事故影响的一方应在不可抗力的事故发生后尽快书面形式通知另一方，并在事故发生后</w:t>
      </w:r>
      <w:r>
        <w:rPr>
          <w:color w:val="auto"/>
          <w:szCs w:val="21"/>
          <w:u w:val="single"/>
        </w:rPr>
        <w:t>7</w:t>
      </w:r>
      <w:r>
        <w:rPr>
          <w:rFonts w:hAnsi="宋体"/>
          <w:color w:val="auto"/>
          <w:szCs w:val="21"/>
        </w:rPr>
        <w:t>天内，将有关部门出具的证明文件送达另一方。</w:t>
      </w:r>
    </w:p>
    <w:p>
      <w:pPr>
        <w:widowControl w:val="0"/>
        <w:snapToGrid w:val="0"/>
        <w:spacing w:before="119" w:line="331" w:lineRule="auto"/>
        <w:ind w:left="850" w:leftChars="1" w:hanging="848" w:hangingChars="404"/>
        <w:rPr>
          <w:color w:val="auto"/>
          <w:szCs w:val="21"/>
        </w:rPr>
      </w:pPr>
      <w:r>
        <w:rPr>
          <w:color w:val="auto"/>
          <w:szCs w:val="21"/>
        </w:rPr>
        <w:t xml:space="preserve">16.3    </w:t>
      </w:r>
      <w:r>
        <w:rPr>
          <w:rFonts w:hAnsi="宋体"/>
          <w:color w:val="auto"/>
          <w:szCs w:val="21"/>
        </w:rPr>
        <w:t>不可抗力使合同的某些内容有变更必要的，双方应通过协商在</w:t>
      </w:r>
      <w:r>
        <w:rPr>
          <w:color w:val="auto"/>
          <w:szCs w:val="21"/>
          <w:u w:val="single"/>
        </w:rPr>
        <w:t>7</w:t>
      </w:r>
      <w:r>
        <w:rPr>
          <w:rFonts w:hAnsi="宋体"/>
          <w:color w:val="auto"/>
          <w:szCs w:val="21"/>
        </w:rPr>
        <w:t>日内达成进一步履行合同的协议，因不可抗力致使合同不能履行的，合同终止。</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17      </w:t>
      </w:r>
      <w:r>
        <w:rPr>
          <w:rFonts w:ascii="Times New Roman" w:hAnsi="宋体"/>
          <w:color w:val="auto"/>
          <w:sz w:val="21"/>
          <w:szCs w:val="21"/>
          <w:u w:val="none"/>
        </w:rPr>
        <w:t>税费</w:t>
      </w:r>
    </w:p>
    <w:p>
      <w:pPr>
        <w:widowControl w:val="0"/>
        <w:snapToGrid w:val="0"/>
        <w:spacing w:before="119" w:line="331" w:lineRule="auto"/>
        <w:ind w:left="850" w:leftChars="1" w:hanging="848" w:hangingChars="404"/>
        <w:rPr>
          <w:color w:val="auto"/>
          <w:szCs w:val="21"/>
        </w:rPr>
      </w:pPr>
      <w:r>
        <w:rPr>
          <w:color w:val="auto"/>
          <w:szCs w:val="21"/>
        </w:rPr>
        <w:t xml:space="preserve">17.1    </w:t>
      </w:r>
      <w:r>
        <w:rPr>
          <w:rFonts w:hAnsi="宋体"/>
          <w:color w:val="auto"/>
          <w:szCs w:val="21"/>
        </w:rPr>
        <w:t>与本合同有关的一切税费均适用中华人民共和国法律的相关规定。</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18      </w:t>
      </w:r>
      <w:r>
        <w:rPr>
          <w:rFonts w:ascii="Times New Roman" w:hAnsi="宋体"/>
          <w:color w:val="auto"/>
          <w:sz w:val="21"/>
          <w:szCs w:val="21"/>
          <w:u w:val="none"/>
        </w:rPr>
        <w:t>合同争议的解决</w:t>
      </w:r>
    </w:p>
    <w:p>
      <w:pPr>
        <w:widowControl w:val="0"/>
        <w:snapToGrid w:val="0"/>
        <w:spacing w:before="119" w:line="331" w:lineRule="auto"/>
        <w:ind w:left="850" w:leftChars="1" w:hanging="848" w:hangingChars="404"/>
        <w:rPr>
          <w:color w:val="auto"/>
          <w:szCs w:val="21"/>
        </w:rPr>
      </w:pPr>
      <w:r>
        <w:rPr>
          <w:color w:val="auto"/>
          <w:szCs w:val="21"/>
        </w:rPr>
        <w:t xml:space="preserve">18.1    </w:t>
      </w:r>
      <w:r>
        <w:rPr>
          <w:rFonts w:hAnsi="宋体"/>
          <w:color w:val="auto"/>
          <w:szCs w:val="21"/>
        </w:rPr>
        <w:t>因合同履行中发生的争议，可通过合同当事人双方友好协商解决。如自协商开始之起</w:t>
      </w:r>
      <w:r>
        <w:rPr>
          <w:color w:val="auto"/>
          <w:szCs w:val="21"/>
        </w:rPr>
        <w:t>15</w:t>
      </w:r>
      <w:r>
        <w:rPr>
          <w:rFonts w:hAnsi="宋体"/>
          <w:color w:val="auto"/>
          <w:szCs w:val="21"/>
        </w:rPr>
        <w:t>日内得不到解决，双方应将争议提交同级政府采购办公室调解。调解不成的，可申请北京仲裁委员会进行仲裁或向人民法院提起诉讼。</w:t>
      </w:r>
    </w:p>
    <w:p>
      <w:pPr>
        <w:widowControl w:val="0"/>
        <w:snapToGrid w:val="0"/>
        <w:spacing w:before="119" w:line="331" w:lineRule="auto"/>
        <w:ind w:left="850" w:leftChars="1" w:hanging="848" w:hangingChars="404"/>
        <w:rPr>
          <w:color w:val="auto"/>
          <w:szCs w:val="21"/>
        </w:rPr>
      </w:pPr>
      <w:r>
        <w:rPr>
          <w:color w:val="auto"/>
          <w:szCs w:val="21"/>
        </w:rPr>
        <w:t xml:space="preserve">18.2    </w:t>
      </w:r>
      <w:r>
        <w:rPr>
          <w:rFonts w:hAnsi="宋体"/>
          <w:color w:val="auto"/>
          <w:szCs w:val="21"/>
        </w:rPr>
        <w:t>仲裁裁决为最终裁决，当事人一方在规定时间内不履行仲裁机构裁决的，另一方可以申请人民法院强制执行。</w:t>
      </w:r>
    </w:p>
    <w:p>
      <w:pPr>
        <w:widowControl w:val="0"/>
        <w:tabs>
          <w:tab w:val="left" w:pos="901"/>
        </w:tabs>
        <w:snapToGrid w:val="0"/>
        <w:spacing w:before="119" w:line="331" w:lineRule="auto"/>
        <w:ind w:left="850" w:leftChars="1" w:hanging="848" w:hangingChars="404"/>
        <w:rPr>
          <w:color w:val="auto"/>
          <w:szCs w:val="21"/>
        </w:rPr>
      </w:pPr>
      <w:r>
        <w:rPr>
          <w:color w:val="auto"/>
          <w:szCs w:val="21"/>
        </w:rPr>
        <w:t xml:space="preserve">18.3    </w:t>
      </w:r>
      <w:r>
        <w:rPr>
          <w:rFonts w:hAnsi="宋体"/>
          <w:color w:val="auto"/>
          <w:szCs w:val="21"/>
        </w:rPr>
        <w:t>仲裁费用和诉讼费用除仲裁机构或法院另有裁决外，应由败诉方负担。</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19      </w:t>
      </w:r>
      <w:r>
        <w:rPr>
          <w:rFonts w:ascii="Times New Roman" w:hAnsi="宋体"/>
          <w:color w:val="auto"/>
          <w:sz w:val="21"/>
          <w:szCs w:val="21"/>
          <w:u w:val="none"/>
        </w:rPr>
        <w:t>违约解除合同</w:t>
      </w:r>
    </w:p>
    <w:p>
      <w:pPr>
        <w:widowControl w:val="0"/>
        <w:snapToGrid w:val="0"/>
        <w:spacing w:before="119" w:line="331" w:lineRule="auto"/>
        <w:ind w:left="850" w:leftChars="1" w:hanging="848" w:hangingChars="404"/>
        <w:rPr>
          <w:color w:val="auto"/>
          <w:szCs w:val="21"/>
        </w:rPr>
      </w:pPr>
      <w:r>
        <w:rPr>
          <w:color w:val="auto"/>
          <w:szCs w:val="21"/>
        </w:rPr>
        <w:t xml:space="preserve">19.1    </w:t>
      </w:r>
      <w:r>
        <w:rPr>
          <w:rFonts w:hAnsi="宋体"/>
          <w:color w:val="auto"/>
          <w:szCs w:val="21"/>
        </w:rPr>
        <w:t>在卖方违约的情况下，买方经同级政府采购监督管理机关审批后，可向卖方发出书面通知，部分或全部终止合同。同时保留向卖方追诉的权利。</w:t>
      </w:r>
    </w:p>
    <w:p>
      <w:pPr>
        <w:widowControl w:val="0"/>
        <w:snapToGrid w:val="0"/>
        <w:spacing w:before="119" w:line="331" w:lineRule="auto"/>
        <w:ind w:left="850" w:leftChars="1" w:hanging="848" w:hangingChars="404"/>
        <w:rPr>
          <w:color w:val="auto"/>
          <w:szCs w:val="21"/>
        </w:rPr>
      </w:pPr>
      <w:r>
        <w:rPr>
          <w:color w:val="auto"/>
          <w:szCs w:val="21"/>
        </w:rPr>
        <w:t xml:space="preserve">19.1.1  </w:t>
      </w:r>
      <w:r>
        <w:rPr>
          <w:rFonts w:hAnsi="宋体"/>
          <w:color w:val="auto"/>
          <w:szCs w:val="21"/>
        </w:rPr>
        <w:t>卖方未能在合同规定的限期或买方同意延长的限期内，提供全部或部分货物的；</w:t>
      </w:r>
    </w:p>
    <w:p>
      <w:pPr>
        <w:widowControl w:val="0"/>
        <w:snapToGrid w:val="0"/>
        <w:spacing w:before="119" w:line="331" w:lineRule="auto"/>
        <w:ind w:left="850" w:leftChars="1" w:hanging="848" w:hangingChars="404"/>
        <w:rPr>
          <w:color w:val="auto"/>
          <w:szCs w:val="21"/>
        </w:rPr>
      </w:pPr>
      <w:r>
        <w:rPr>
          <w:color w:val="auto"/>
          <w:szCs w:val="21"/>
        </w:rPr>
        <w:t xml:space="preserve">19.1.2  </w:t>
      </w:r>
      <w:r>
        <w:rPr>
          <w:rFonts w:hAnsi="宋体"/>
          <w:color w:val="auto"/>
          <w:szCs w:val="21"/>
        </w:rPr>
        <w:t>卖方未能履行合同规定的其它主要义务的；</w:t>
      </w:r>
    </w:p>
    <w:p>
      <w:pPr>
        <w:widowControl w:val="0"/>
        <w:snapToGrid w:val="0"/>
        <w:spacing w:before="119" w:line="331" w:lineRule="auto"/>
        <w:ind w:left="850" w:leftChars="1" w:hanging="848" w:hangingChars="404"/>
        <w:rPr>
          <w:color w:val="auto"/>
          <w:szCs w:val="21"/>
        </w:rPr>
      </w:pPr>
      <w:r>
        <w:rPr>
          <w:color w:val="auto"/>
          <w:szCs w:val="21"/>
        </w:rPr>
        <w:t xml:space="preserve">19.1.3  </w:t>
      </w:r>
      <w:r>
        <w:rPr>
          <w:rFonts w:hAnsi="宋体"/>
          <w:color w:val="auto"/>
          <w:szCs w:val="21"/>
        </w:rPr>
        <w:t>买方认为卖方在本合同履行过程中有腐败和欺诈行为的。</w:t>
      </w:r>
    </w:p>
    <w:p>
      <w:pPr>
        <w:widowControl w:val="0"/>
        <w:snapToGrid w:val="0"/>
        <w:spacing w:before="119" w:line="331" w:lineRule="auto"/>
        <w:ind w:left="850" w:leftChars="1" w:hanging="848" w:hangingChars="404"/>
        <w:rPr>
          <w:color w:val="auto"/>
          <w:szCs w:val="21"/>
        </w:rPr>
      </w:pPr>
      <w:r>
        <w:rPr>
          <w:color w:val="auto"/>
          <w:szCs w:val="21"/>
        </w:rPr>
        <w:t xml:space="preserve">19.1.3.1     </w:t>
      </w:r>
      <w:r>
        <w:rPr>
          <w:rFonts w:hint="eastAsia"/>
          <w:color w:val="auto"/>
          <w:szCs w:val="21"/>
        </w:rPr>
        <w:t>“</w:t>
      </w:r>
      <w:r>
        <w:rPr>
          <w:rFonts w:hAnsi="宋体"/>
          <w:color w:val="auto"/>
          <w:szCs w:val="21"/>
        </w:rPr>
        <w:t>腐败行为</w:t>
      </w:r>
      <w:r>
        <w:rPr>
          <w:rFonts w:hint="eastAsia"/>
          <w:color w:val="auto"/>
          <w:szCs w:val="21"/>
        </w:rPr>
        <w:t>”</w:t>
      </w:r>
      <w:r>
        <w:rPr>
          <w:rFonts w:hAnsi="宋体"/>
          <w:color w:val="auto"/>
          <w:szCs w:val="21"/>
        </w:rPr>
        <w:t>和</w:t>
      </w:r>
      <w:r>
        <w:rPr>
          <w:rFonts w:hint="eastAsia"/>
          <w:color w:val="auto"/>
          <w:szCs w:val="21"/>
        </w:rPr>
        <w:t>“</w:t>
      </w:r>
      <w:r>
        <w:rPr>
          <w:rFonts w:hAnsi="宋体"/>
          <w:color w:val="auto"/>
          <w:szCs w:val="21"/>
        </w:rPr>
        <w:t>欺诈行为</w:t>
      </w:r>
      <w:r>
        <w:rPr>
          <w:rFonts w:hint="eastAsia"/>
          <w:color w:val="auto"/>
          <w:szCs w:val="21"/>
        </w:rPr>
        <w:t>”</w:t>
      </w:r>
      <w:r>
        <w:rPr>
          <w:rFonts w:hAnsi="宋体"/>
          <w:color w:val="auto"/>
          <w:szCs w:val="21"/>
        </w:rPr>
        <w:t>定义如下</w:t>
      </w:r>
      <w:r>
        <w:rPr>
          <w:rFonts w:hint="eastAsia"/>
          <w:color w:val="auto"/>
          <w:szCs w:val="21"/>
        </w:rPr>
        <w:t>：</w:t>
      </w:r>
    </w:p>
    <w:p>
      <w:pPr>
        <w:widowControl w:val="0"/>
        <w:snapToGrid w:val="0"/>
        <w:spacing w:before="119" w:line="331" w:lineRule="auto"/>
        <w:ind w:left="1159" w:leftChars="1" w:hanging="1157" w:hangingChars="551"/>
        <w:rPr>
          <w:color w:val="auto"/>
          <w:szCs w:val="21"/>
        </w:rPr>
      </w:pPr>
      <w:r>
        <w:rPr>
          <w:color w:val="auto"/>
          <w:szCs w:val="21"/>
        </w:rPr>
        <w:t xml:space="preserve">19.1.3.1.1  </w:t>
      </w:r>
      <w:r>
        <w:rPr>
          <w:rFonts w:hint="eastAsia"/>
          <w:color w:val="auto"/>
          <w:szCs w:val="21"/>
        </w:rPr>
        <w:t>“</w:t>
      </w:r>
      <w:r>
        <w:rPr>
          <w:rFonts w:hAnsi="宋体"/>
          <w:color w:val="auto"/>
          <w:szCs w:val="21"/>
        </w:rPr>
        <w:t>腐败行为</w:t>
      </w:r>
      <w:r>
        <w:rPr>
          <w:rFonts w:hint="eastAsia"/>
          <w:color w:val="auto"/>
          <w:szCs w:val="21"/>
        </w:rPr>
        <w:t>”</w:t>
      </w:r>
      <w:r>
        <w:rPr>
          <w:rFonts w:hAnsi="宋体"/>
          <w:color w:val="auto"/>
          <w:szCs w:val="21"/>
        </w:rPr>
        <w:t>是指提供</w:t>
      </w:r>
      <w:r>
        <w:rPr>
          <w:color w:val="auto"/>
          <w:szCs w:val="21"/>
        </w:rPr>
        <w:t>/</w:t>
      </w:r>
      <w:r>
        <w:rPr>
          <w:rFonts w:hAnsi="宋体"/>
          <w:color w:val="auto"/>
          <w:szCs w:val="21"/>
        </w:rPr>
        <w:t>给予</w:t>
      </w:r>
      <w:r>
        <w:rPr>
          <w:rFonts w:hint="eastAsia"/>
          <w:color w:val="auto"/>
          <w:szCs w:val="21"/>
        </w:rPr>
        <w:t>/</w:t>
      </w:r>
      <w:r>
        <w:rPr>
          <w:rFonts w:hAnsi="宋体"/>
          <w:color w:val="auto"/>
          <w:szCs w:val="21"/>
        </w:rPr>
        <w:t>接受或索取任何有价值的东西来影响买方在合同签订、履行过程中的行为。</w:t>
      </w:r>
    </w:p>
    <w:p>
      <w:pPr>
        <w:widowControl w:val="0"/>
        <w:snapToGrid w:val="0"/>
        <w:spacing w:before="119" w:line="331" w:lineRule="auto"/>
        <w:ind w:left="1159" w:leftChars="1" w:hanging="1157" w:hangingChars="551"/>
        <w:rPr>
          <w:color w:val="auto"/>
          <w:szCs w:val="21"/>
        </w:rPr>
      </w:pPr>
      <w:r>
        <w:rPr>
          <w:color w:val="auto"/>
          <w:szCs w:val="21"/>
        </w:rPr>
        <w:t xml:space="preserve">19.1.3.1.2  </w:t>
      </w:r>
      <w:r>
        <w:rPr>
          <w:rFonts w:hint="eastAsia"/>
          <w:color w:val="auto"/>
          <w:szCs w:val="21"/>
        </w:rPr>
        <w:t>“</w:t>
      </w:r>
      <w:r>
        <w:rPr>
          <w:rFonts w:hAnsi="宋体"/>
          <w:color w:val="auto"/>
          <w:szCs w:val="21"/>
        </w:rPr>
        <w:t>欺诈行为</w:t>
      </w:r>
      <w:r>
        <w:rPr>
          <w:rFonts w:hint="eastAsia"/>
          <w:color w:val="auto"/>
          <w:szCs w:val="21"/>
        </w:rPr>
        <w:t>”</w:t>
      </w:r>
      <w:r>
        <w:rPr>
          <w:rFonts w:hAnsi="宋体"/>
          <w:color w:val="auto"/>
          <w:szCs w:val="21"/>
        </w:rPr>
        <w:t>是指为了影响合同签订、履行过程，以谎报事实的方法，损害买方的利益的行为。</w:t>
      </w:r>
    </w:p>
    <w:p>
      <w:pPr>
        <w:widowControl w:val="0"/>
        <w:snapToGrid w:val="0"/>
        <w:spacing w:before="119" w:line="331" w:lineRule="auto"/>
        <w:ind w:left="850" w:leftChars="1" w:hanging="848" w:hangingChars="404"/>
        <w:rPr>
          <w:color w:val="auto"/>
          <w:szCs w:val="21"/>
        </w:rPr>
      </w:pPr>
      <w:r>
        <w:rPr>
          <w:color w:val="auto"/>
          <w:szCs w:val="21"/>
        </w:rPr>
        <w:t xml:space="preserve">19.2    </w:t>
      </w:r>
      <w:r>
        <w:rPr>
          <w:rFonts w:hAnsi="宋体"/>
          <w:color w:val="auto"/>
          <w:szCs w:val="21"/>
        </w:rPr>
        <w:t>在买方根据上述第</w:t>
      </w:r>
      <w:r>
        <w:rPr>
          <w:color w:val="auto"/>
          <w:szCs w:val="21"/>
        </w:rPr>
        <w:t>19.1</w:t>
      </w:r>
      <w:r>
        <w:rPr>
          <w:rFonts w:hAnsi="宋体"/>
          <w:color w:val="auto"/>
          <w:szCs w:val="21"/>
        </w:rPr>
        <w:t>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20      </w:t>
      </w:r>
      <w:r>
        <w:rPr>
          <w:rFonts w:ascii="Times New Roman" w:hAnsi="宋体"/>
          <w:color w:val="auto"/>
          <w:sz w:val="21"/>
          <w:szCs w:val="21"/>
          <w:u w:val="none"/>
        </w:rPr>
        <w:t>破产终止合同</w:t>
      </w:r>
    </w:p>
    <w:p>
      <w:pPr>
        <w:widowControl w:val="0"/>
        <w:snapToGrid w:val="0"/>
        <w:spacing w:before="119" w:line="331" w:lineRule="auto"/>
        <w:ind w:left="850" w:leftChars="1" w:hanging="848" w:hangingChars="404"/>
        <w:rPr>
          <w:color w:val="auto"/>
          <w:szCs w:val="21"/>
        </w:rPr>
      </w:pPr>
      <w:r>
        <w:rPr>
          <w:color w:val="auto"/>
          <w:szCs w:val="21"/>
        </w:rPr>
        <w:t xml:space="preserve">20.1    </w:t>
      </w:r>
      <w:r>
        <w:rPr>
          <w:rFonts w:hAnsi="宋体"/>
          <w:color w:val="auto"/>
          <w:szCs w:val="21"/>
        </w:rPr>
        <w:t>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21     </w:t>
      </w:r>
      <w:r>
        <w:rPr>
          <w:rFonts w:ascii="Times New Roman" w:hAnsi="宋体"/>
          <w:color w:val="auto"/>
          <w:sz w:val="21"/>
          <w:szCs w:val="21"/>
          <w:u w:val="none"/>
        </w:rPr>
        <w:t>转让和分包</w:t>
      </w:r>
    </w:p>
    <w:p>
      <w:pPr>
        <w:widowControl w:val="0"/>
        <w:snapToGrid w:val="0"/>
        <w:spacing w:before="119" w:line="331" w:lineRule="auto"/>
        <w:ind w:left="850" w:leftChars="1" w:hanging="848" w:hangingChars="404"/>
        <w:rPr>
          <w:color w:val="auto"/>
          <w:szCs w:val="21"/>
        </w:rPr>
      </w:pPr>
      <w:r>
        <w:rPr>
          <w:color w:val="auto"/>
          <w:szCs w:val="21"/>
        </w:rPr>
        <w:t xml:space="preserve">21.1   </w:t>
      </w:r>
      <w:r>
        <w:rPr>
          <w:rFonts w:hAnsi="宋体"/>
          <w:color w:val="auto"/>
          <w:szCs w:val="21"/>
        </w:rPr>
        <w:t>政府采购合同不能转让。</w:t>
      </w:r>
    </w:p>
    <w:p>
      <w:pPr>
        <w:widowControl w:val="0"/>
        <w:snapToGrid w:val="0"/>
        <w:spacing w:before="119" w:line="331" w:lineRule="auto"/>
        <w:ind w:left="708" w:hanging="707" w:hangingChars="337"/>
        <w:rPr>
          <w:color w:val="auto"/>
          <w:szCs w:val="21"/>
        </w:rPr>
      </w:pPr>
      <w:r>
        <w:rPr>
          <w:color w:val="auto"/>
          <w:szCs w:val="21"/>
        </w:rPr>
        <w:t>21.2</w:t>
      </w:r>
      <w:r>
        <w:rPr>
          <w:rFonts w:hint="eastAsia"/>
          <w:color w:val="auto"/>
          <w:szCs w:val="21"/>
        </w:rPr>
        <w:t xml:space="preserve">   </w:t>
      </w:r>
      <w:r>
        <w:rPr>
          <w:rFonts w:hAnsi="宋体"/>
          <w:color w:val="auto"/>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22     </w:t>
      </w:r>
      <w:r>
        <w:rPr>
          <w:rFonts w:ascii="Times New Roman" w:hAnsi="宋体"/>
          <w:color w:val="auto"/>
          <w:sz w:val="21"/>
          <w:szCs w:val="21"/>
          <w:u w:val="none" w:color="FF0000"/>
        </w:rPr>
        <w:t>合同修改</w:t>
      </w:r>
    </w:p>
    <w:p>
      <w:pPr>
        <w:widowControl w:val="0"/>
        <w:snapToGrid w:val="0"/>
        <w:spacing w:before="119" w:line="331" w:lineRule="auto"/>
        <w:ind w:left="850" w:leftChars="1" w:hanging="848" w:hangingChars="404"/>
        <w:rPr>
          <w:color w:val="auto"/>
          <w:szCs w:val="21"/>
        </w:rPr>
      </w:pPr>
      <w:r>
        <w:rPr>
          <w:color w:val="auto"/>
          <w:szCs w:val="21"/>
        </w:rPr>
        <w:t xml:space="preserve">22.1    </w:t>
      </w:r>
      <w:r>
        <w:rPr>
          <w:rFonts w:hAnsi="宋体"/>
          <w:color w:val="auto"/>
          <w:szCs w:val="21"/>
        </w:rPr>
        <w:t>买方和卖方都不得擅自变更本合同，但合同继续履行将损害国家和社会公共利益的除外。如必须对合同条款进行改动时，当事人双方须共同签署书面文件，作为合同的补充，并报同级政府采购监督管理部门备案。</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23      </w:t>
      </w:r>
      <w:r>
        <w:rPr>
          <w:rFonts w:ascii="Times New Roman" w:hAnsi="宋体"/>
          <w:color w:val="auto"/>
          <w:sz w:val="21"/>
          <w:szCs w:val="21"/>
          <w:u w:val="none"/>
        </w:rPr>
        <w:t>通知</w:t>
      </w:r>
    </w:p>
    <w:p>
      <w:pPr>
        <w:widowControl w:val="0"/>
        <w:snapToGrid w:val="0"/>
        <w:spacing w:before="119" w:line="331" w:lineRule="auto"/>
        <w:ind w:left="850" w:leftChars="1" w:hanging="848" w:hangingChars="404"/>
        <w:rPr>
          <w:color w:val="auto"/>
          <w:szCs w:val="21"/>
        </w:rPr>
      </w:pPr>
      <w:r>
        <w:rPr>
          <w:color w:val="auto"/>
          <w:szCs w:val="21"/>
        </w:rPr>
        <w:t xml:space="preserve">23.1    </w:t>
      </w:r>
      <w:r>
        <w:rPr>
          <w:rFonts w:hAnsi="宋体"/>
          <w:color w:val="auto"/>
          <w:szCs w:val="21"/>
        </w:rPr>
        <w:t>本合同任何一方给另一方的通知，都应以书面形式发送，而另一方也应以书面形式确认并发送到对方明确的地址。</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24      </w:t>
      </w:r>
      <w:r>
        <w:rPr>
          <w:rFonts w:ascii="Times New Roman" w:hAnsi="宋体"/>
          <w:color w:val="auto"/>
          <w:sz w:val="21"/>
          <w:szCs w:val="21"/>
          <w:u w:val="none"/>
        </w:rPr>
        <w:t>计量单位</w:t>
      </w:r>
    </w:p>
    <w:p>
      <w:pPr>
        <w:widowControl w:val="0"/>
        <w:snapToGrid w:val="0"/>
        <w:spacing w:before="119" w:line="331" w:lineRule="auto"/>
        <w:ind w:left="850" w:leftChars="1" w:hanging="848" w:hangingChars="404"/>
        <w:rPr>
          <w:color w:val="auto"/>
          <w:szCs w:val="21"/>
        </w:rPr>
      </w:pPr>
      <w:r>
        <w:rPr>
          <w:color w:val="auto"/>
          <w:szCs w:val="21"/>
        </w:rPr>
        <w:t xml:space="preserve">24.1    </w:t>
      </w:r>
      <w:r>
        <w:rPr>
          <w:rFonts w:hAnsi="宋体"/>
          <w:color w:val="auto"/>
          <w:szCs w:val="21"/>
        </w:rPr>
        <w:t>除技术规范中另有规定外</w:t>
      </w:r>
      <w:r>
        <w:rPr>
          <w:color w:val="auto"/>
          <w:szCs w:val="21"/>
        </w:rPr>
        <w:t>,</w:t>
      </w:r>
      <w:r>
        <w:rPr>
          <w:rFonts w:hAnsi="宋体"/>
          <w:color w:val="auto"/>
          <w:szCs w:val="21"/>
        </w:rPr>
        <w:t>计量单位均使用国家法定计量单位。</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25      </w:t>
      </w:r>
      <w:r>
        <w:rPr>
          <w:rFonts w:ascii="Times New Roman" w:hAnsi="宋体"/>
          <w:color w:val="auto"/>
          <w:sz w:val="21"/>
          <w:szCs w:val="21"/>
          <w:u w:val="none"/>
        </w:rPr>
        <w:t>适用法律</w:t>
      </w:r>
    </w:p>
    <w:p>
      <w:pPr>
        <w:widowControl w:val="0"/>
        <w:snapToGrid w:val="0"/>
        <w:spacing w:before="119" w:line="331" w:lineRule="auto"/>
        <w:ind w:left="850" w:leftChars="1" w:hanging="848" w:hangingChars="404"/>
        <w:rPr>
          <w:color w:val="auto"/>
          <w:szCs w:val="21"/>
        </w:rPr>
      </w:pPr>
      <w:r>
        <w:rPr>
          <w:color w:val="auto"/>
          <w:szCs w:val="21"/>
        </w:rPr>
        <w:t xml:space="preserve">25.1    </w:t>
      </w:r>
      <w:r>
        <w:rPr>
          <w:rFonts w:hAnsi="宋体"/>
          <w:color w:val="auto"/>
          <w:szCs w:val="21"/>
        </w:rPr>
        <w:t>本合同应按照中华人民共和国的法律进行解释。</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 xml:space="preserve">26      </w:t>
      </w:r>
      <w:r>
        <w:rPr>
          <w:rFonts w:ascii="Times New Roman" w:hAnsi="宋体"/>
          <w:color w:val="auto"/>
          <w:sz w:val="21"/>
          <w:szCs w:val="21"/>
          <w:u w:val="none"/>
        </w:rPr>
        <w:t>履约保证金</w:t>
      </w:r>
    </w:p>
    <w:p>
      <w:pPr>
        <w:widowControl w:val="0"/>
        <w:snapToGrid w:val="0"/>
        <w:spacing w:line="360" w:lineRule="auto"/>
        <w:rPr>
          <w:rFonts w:hAnsi="宋体"/>
          <w:color w:val="auto"/>
          <w:szCs w:val="21"/>
        </w:rPr>
      </w:pPr>
      <w:r>
        <w:rPr>
          <w:rFonts w:hAnsi="宋体"/>
          <w:color w:val="auto"/>
          <w:szCs w:val="21"/>
        </w:rPr>
        <w:t>26.1 所有货物到货验收合格后卖方向买方缴纳合同总金额的5％作为</w:t>
      </w:r>
      <w:r>
        <w:rPr>
          <w:rFonts w:hint="eastAsia" w:hAnsi="宋体"/>
          <w:color w:val="auto"/>
          <w:szCs w:val="21"/>
        </w:rPr>
        <w:t>履约</w:t>
      </w:r>
      <w:r>
        <w:rPr>
          <w:rFonts w:hAnsi="宋体"/>
          <w:color w:val="auto"/>
          <w:szCs w:val="21"/>
        </w:rPr>
        <w:t>保证金，自货物验收合格算起</w:t>
      </w:r>
      <w:r>
        <w:rPr>
          <w:rFonts w:hint="eastAsia" w:hAnsi="宋体"/>
          <w:color w:val="auto"/>
          <w:szCs w:val="21"/>
        </w:rPr>
        <w:t>1</w:t>
      </w:r>
      <w:r>
        <w:rPr>
          <w:rFonts w:hAnsi="宋体"/>
          <w:color w:val="auto"/>
          <w:szCs w:val="21"/>
        </w:rPr>
        <w:t>2</w:t>
      </w:r>
      <w:r>
        <w:rPr>
          <w:rFonts w:hint="eastAsia" w:hAnsi="宋体"/>
          <w:color w:val="auto"/>
          <w:szCs w:val="21"/>
        </w:rPr>
        <w:t>个月</w:t>
      </w:r>
      <w:r>
        <w:rPr>
          <w:rFonts w:hAnsi="宋体"/>
          <w:color w:val="auto"/>
          <w:szCs w:val="21"/>
        </w:rPr>
        <w:t>后由买方无息退还。</w:t>
      </w:r>
    </w:p>
    <w:p>
      <w:pPr>
        <w:pStyle w:val="5"/>
        <w:widowControl w:val="0"/>
        <w:snapToGrid w:val="0"/>
        <w:spacing w:line="331" w:lineRule="auto"/>
        <w:ind w:left="854" w:leftChars="1" w:hanging="852" w:hangingChars="404"/>
        <w:jc w:val="both"/>
        <w:rPr>
          <w:rFonts w:ascii="Times New Roman"/>
          <w:color w:val="auto"/>
          <w:sz w:val="21"/>
          <w:szCs w:val="21"/>
        </w:rPr>
      </w:pPr>
      <w:r>
        <w:rPr>
          <w:rFonts w:ascii="Times New Roman"/>
          <w:color w:val="auto"/>
          <w:sz w:val="21"/>
          <w:szCs w:val="21"/>
          <w:u w:val="none"/>
        </w:rPr>
        <w:t>27</w:t>
      </w:r>
      <w:r>
        <w:rPr>
          <w:rFonts w:ascii="Times New Roman" w:hAnsi="宋体"/>
          <w:color w:val="auto"/>
          <w:sz w:val="21"/>
          <w:szCs w:val="21"/>
          <w:u w:val="none"/>
        </w:rPr>
        <w:t>　</w:t>
      </w:r>
      <w:r>
        <w:rPr>
          <w:rFonts w:hint="eastAsia" w:ascii="Times New Roman" w:hAnsi="宋体"/>
          <w:color w:val="auto"/>
          <w:sz w:val="21"/>
          <w:szCs w:val="21"/>
          <w:u w:val="none"/>
        </w:rPr>
        <w:t xml:space="preserve">   </w:t>
      </w:r>
      <w:r>
        <w:rPr>
          <w:rFonts w:ascii="Times New Roman" w:hAnsi="宋体"/>
          <w:color w:val="auto"/>
          <w:sz w:val="21"/>
          <w:szCs w:val="21"/>
          <w:u w:val="none"/>
        </w:rPr>
        <w:t>合同生效和其它</w:t>
      </w:r>
    </w:p>
    <w:p>
      <w:pPr>
        <w:widowControl w:val="0"/>
        <w:snapToGrid w:val="0"/>
        <w:spacing w:line="331" w:lineRule="auto"/>
        <w:ind w:left="850" w:leftChars="1" w:hanging="848" w:hangingChars="404"/>
        <w:rPr>
          <w:color w:val="auto"/>
          <w:szCs w:val="21"/>
        </w:rPr>
      </w:pPr>
      <w:r>
        <w:rPr>
          <w:color w:val="auto"/>
          <w:szCs w:val="21"/>
        </w:rPr>
        <w:t xml:space="preserve">27.1    </w:t>
      </w:r>
      <w:r>
        <w:rPr>
          <w:rFonts w:hAnsi="宋体"/>
          <w:color w:val="auto"/>
          <w:szCs w:val="21"/>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后开始生效。</w:t>
      </w:r>
    </w:p>
    <w:p>
      <w:pPr>
        <w:widowControl w:val="0"/>
        <w:snapToGrid w:val="0"/>
        <w:spacing w:line="331" w:lineRule="auto"/>
        <w:ind w:left="850" w:leftChars="1" w:hanging="848" w:hangingChars="404"/>
        <w:rPr>
          <w:color w:val="auto"/>
          <w:szCs w:val="21"/>
        </w:rPr>
      </w:pPr>
      <w:r>
        <w:rPr>
          <w:color w:val="auto"/>
          <w:szCs w:val="21"/>
        </w:rPr>
        <w:t xml:space="preserve">27.2    </w:t>
      </w:r>
      <w:r>
        <w:rPr>
          <w:rFonts w:hAnsi="宋体"/>
          <w:color w:val="auto"/>
          <w:szCs w:val="21"/>
        </w:rPr>
        <w:t>本合同一式</w:t>
      </w:r>
      <w:r>
        <w:rPr>
          <w:rFonts w:hint="eastAsia" w:hAnsi="宋体"/>
          <w:color w:val="auto"/>
          <w:szCs w:val="21"/>
        </w:rPr>
        <w:t>六</w:t>
      </w:r>
      <w:r>
        <w:rPr>
          <w:rFonts w:hAnsi="宋体"/>
          <w:color w:val="auto"/>
          <w:szCs w:val="21"/>
        </w:rPr>
        <w:t>份，具同等法律效力。买方执</w:t>
      </w:r>
      <w:r>
        <w:rPr>
          <w:rFonts w:hint="eastAsia" w:hAnsi="宋体"/>
          <w:color w:val="auto"/>
          <w:szCs w:val="21"/>
        </w:rPr>
        <w:t>三</w:t>
      </w:r>
      <w:r>
        <w:rPr>
          <w:rFonts w:hAnsi="宋体"/>
          <w:color w:val="auto"/>
          <w:szCs w:val="21"/>
        </w:rPr>
        <w:t>份，卖方执</w:t>
      </w:r>
      <w:r>
        <w:rPr>
          <w:rFonts w:hint="eastAsia" w:hAnsi="宋体"/>
          <w:color w:val="auto"/>
          <w:szCs w:val="21"/>
        </w:rPr>
        <w:t>二</w:t>
      </w:r>
      <w:r>
        <w:rPr>
          <w:rFonts w:hAnsi="宋体"/>
          <w:color w:val="auto"/>
          <w:szCs w:val="21"/>
        </w:rPr>
        <w:t>份，招标代理公司存档一份。</w:t>
      </w:r>
    </w:p>
    <w:p>
      <w:pPr>
        <w:widowControl w:val="0"/>
        <w:snapToGrid w:val="0"/>
        <w:spacing w:line="223" w:lineRule="auto"/>
        <w:ind w:left="2552" w:leftChars="1" w:hanging="2550" w:hangingChars="404"/>
        <w:rPr>
          <w:b/>
          <w:color w:val="auto"/>
          <w:spacing w:val="175"/>
          <w:sz w:val="28"/>
          <w:szCs w:val="28"/>
        </w:rPr>
      </w:pPr>
    </w:p>
    <w:p>
      <w:pPr>
        <w:widowControl w:val="0"/>
        <w:snapToGrid w:val="0"/>
        <w:spacing w:line="223" w:lineRule="auto"/>
        <w:ind w:left="2552" w:leftChars="1" w:hanging="2550" w:hangingChars="404"/>
        <w:rPr>
          <w:b/>
          <w:color w:val="auto"/>
          <w:spacing w:val="175"/>
          <w:sz w:val="28"/>
          <w:szCs w:val="28"/>
        </w:rPr>
      </w:pPr>
    </w:p>
    <w:p>
      <w:pPr>
        <w:pStyle w:val="39"/>
        <w:ind w:left="0" w:leftChars="0" w:firstLine="0" w:firstLineChars="0"/>
        <w:rPr>
          <w:b/>
          <w:color w:val="auto"/>
          <w:spacing w:val="175"/>
          <w:sz w:val="28"/>
          <w:szCs w:val="28"/>
        </w:rPr>
      </w:pPr>
    </w:p>
    <w:p>
      <w:pPr>
        <w:spacing w:line="240" w:lineRule="auto"/>
        <w:jc w:val="left"/>
        <w:textAlignment w:val="auto"/>
        <w:rPr>
          <w:b/>
          <w:color w:val="auto"/>
          <w:spacing w:val="175"/>
          <w:sz w:val="28"/>
          <w:szCs w:val="28"/>
        </w:rPr>
      </w:pPr>
      <w:r>
        <w:rPr>
          <w:b/>
          <w:color w:val="auto"/>
          <w:spacing w:val="175"/>
          <w:sz w:val="28"/>
          <w:szCs w:val="28"/>
        </w:rPr>
        <w:br w:type="page"/>
      </w:r>
    </w:p>
    <w:p>
      <w:pPr>
        <w:widowControl w:val="0"/>
        <w:snapToGrid w:val="0"/>
        <w:spacing w:line="223" w:lineRule="auto"/>
        <w:jc w:val="center"/>
        <w:rPr>
          <w:color w:val="auto"/>
          <w:sz w:val="28"/>
          <w:szCs w:val="28"/>
        </w:rPr>
      </w:pPr>
      <w:r>
        <w:rPr>
          <w:b/>
          <w:color w:val="auto"/>
          <w:spacing w:val="175"/>
          <w:sz w:val="28"/>
          <w:szCs w:val="28"/>
        </w:rPr>
        <w:t>合同特殊条款</w:t>
      </w:r>
    </w:p>
    <w:p>
      <w:pPr>
        <w:pStyle w:val="303"/>
        <w:widowControl w:val="0"/>
        <w:tabs>
          <w:tab w:val="left" w:pos="5578"/>
        </w:tabs>
        <w:snapToGrid w:val="0"/>
        <w:spacing w:line="316" w:lineRule="auto"/>
        <w:ind w:firstLine="480" w:firstLineChars="200"/>
        <w:rPr>
          <w:rFonts w:ascii="Times New Roman"/>
          <w:color w:val="auto"/>
          <w:sz w:val="24"/>
          <w:szCs w:val="24"/>
        </w:rPr>
      </w:pPr>
      <w:r>
        <w:rPr>
          <w:rFonts w:ascii="Times New Roman" w:hAnsi="宋体"/>
          <w:color w:val="auto"/>
          <w:sz w:val="24"/>
          <w:szCs w:val="24"/>
        </w:rPr>
        <w:t>合同特殊条款是合同一般条款的补充和修改。如果两者之间有抵触，应以特殊条款为准。合同特殊条款的序号将与合同一般条款序号相对应。</w:t>
      </w:r>
    </w:p>
    <w:p>
      <w:pPr>
        <w:widowControl w:val="0"/>
        <w:snapToGrid w:val="0"/>
        <w:spacing w:before="119" w:line="331" w:lineRule="auto"/>
        <w:rPr>
          <w:color w:val="auto"/>
          <w:sz w:val="24"/>
          <w:szCs w:val="24"/>
        </w:rPr>
      </w:pPr>
      <w:r>
        <w:rPr>
          <w:rFonts w:hint="eastAsia" w:hAnsi="宋体"/>
          <w:b/>
          <w:color w:val="auto"/>
          <w:sz w:val="24"/>
          <w:szCs w:val="24"/>
        </w:rPr>
        <w:t>1、</w:t>
      </w:r>
      <w:r>
        <w:rPr>
          <w:rFonts w:hAnsi="宋体"/>
          <w:b/>
          <w:color w:val="auto"/>
          <w:sz w:val="24"/>
          <w:szCs w:val="24"/>
        </w:rPr>
        <w:t>定义</w:t>
      </w:r>
    </w:p>
    <w:p>
      <w:pPr>
        <w:widowControl w:val="0"/>
        <w:snapToGrid w:val="0"/>
        <w:spacing w:before="119" w:line="331" w:lineRule="auto"/>
        <w:rPr>
          <w:color w:val="auto"/>
          <w:sz w:val="24"/>
          <w:szCs w:val="24"/>
        </w:rPr>
      </w:pPr>
      <w:r>
        <w:rPr>
          <w:color w:val="auto"/>
          <w:sz w:val="24"/>
          <w:szCs w:val="24"/>
        </w:rPr>
        <w:t xml:space="preserve">1.4     </w:t>
      </w:r>
      <w:r>
        <w:rPr>
          <w:rFonts w:hAnsi="宋体"/>
          <w:color w:val="auto"/>
          <w:sz w:val="24"/>
          <w:szCs w:val="24"/>
        </w:rPr>
        <w:t>买方：本合同买方系指：</w:t>
      </w:r>
      <w:r>
        <w:rPr>
          <w:rFonts w:hAnsi="宋体"/>
          <w:color w:val="auto"/>
          <w:sz w:val="24"/>
          <w:szCs w:val="24"/>
          <w:u w:val="single"/>
        </w:rPr>
        <w:t>北方工业大学</w:t>
      </w:r>
      <w:r>
        <w:rPr>
          <w:rFonts w:hAnsi="宋体"/>
          <w:color w:val="auto"/>
          <w:sz w:val="24"/>
          <w:szCs w:val="24"/>
        </w:rPr>
        <w:t>。</w:t>
      </w:r>
    </w:p>
    <w:p>
      <w:pPr>
        <w:widowControl w:val="0"/>
        <w:snapToGrid w:val="0"/>
        <w:spacing w:before="119" w:line="331" w:lineRule="auto"/>
        <w:rPr>
          <w:color w:val="auto"/>
          <w:sz w:val="24"/>
          <w:szCs w:val="24"/>
        </w:rPr>
      </w:pPr>
      <w:r>
        <w:rPr>
          <w:color w:val="auto"/>
          <w:sz w:val="24"/>
          <w:szCs w:val="24"/>
        </w:rPr>
        <w:t xml:space="preserve">1.5     </w:t>
      </w:r>
      <w:r>
        <w:rPr>
          <w:rFonts w:hAnsi="宋体"/>
          <w:color w:val="auto"/>
          <w:sz w:val="24"/>
          <w:szCs w:val="24"/>
        </w:rPr>
        <w:t>卖方：本合同卖方系指：</w:t>
      </w:r>
      <w:r>
        <w:rPr>
          <w:rFonts w:hint="eastAsia" w:hAnsi="宋体"/>
          <w:color w:val="auto"/>
          <w:sz w:val="24"/>
          <w:szCs w:val="24"/>
          <w:u w:val="single"/>
        </w:rPr>
        <w:t>*</w:t>
      </w:r>
      <w:r>
        <w:rPr>
          <w:rFonts w:hAnsi="宋体"/>
          <w:color w:val="auto"/>
          <w:sz w:val="24"/>
          <w:szCs w:val="24"/>
          <w:u w:val="single"/>
        </w:rPr>
        <w:t>***********************</w:t>
      </w:r>
      <w:r>
        <w:rPr>
          <w:rFonts w:hAnsi="宋体"/>
          <w:color w:val="auto"/>
          <w:sz w:val="24"/>
          <w:szCs w:val="24"/>
        </w:rPr>
        <w:t>。</w:t>
      </w:r>
    </w:p>
    <w:p>
      <w:pPr>
        <w:widowControl w:val="0"/>
        <w:snapToGrid w:val="0"/>
        <w:spacing w:before="119" w:line="331" w:lineRule="auto"/>
        <w:rPr>
          <w:color w:val="auto"/>
          <w:sz w:val="24"/>
          <w:szCs w:val="24"/>
        </w:rPr>
      </w:pPr>
      <w:r>
        <w:rPr>
          <w:color w:val="auto"/>
          <w:sz w:val="24"/>
          <w:szCs w:val="24"/>
        </w:rPr>
        <w:t xml:space="preserve">1.6     </w:t>
      </w:r>
      <w:r>
        <w:rPr>
          <w:rFonts w:hAnsi="宋体"/>
          <w:color w:val="auto"/>
          <w:sz w:val="24"/>
          <w:szCs w:val="24"/>
        </w:rPr>
        <w:t>现场：本合同项下的货物安装和运行地点位于</w:t>
      </w:r>
      <w:r>
        <w:rPr>
          <w:rFonts w:hAnsi="宋体"/>
          <w:color w:val="auto"/>
          <w:sz w:val="24"/>
          <w:szCs w:val="24"/>
          <w:u w:val="single"/>
        </w:rPr>
        <w:t>北方工业大学校内</w:t>
      </w:r>
      <w:r>
        <w:rPr>
          <w:rFonts w:hAnsi="宋体"/>
          <w:color w:val="auto"/>
          <w:sz w:val="24"/>
          <w:szCs w:val="24"/>
        </w:rPr>
        <w:t>。</w:t>
      </w:r>
    </w:p>
    <w:p>
      <w:pPr>
        <w:widowControl w:val="0"/>
        <w:snapToGrid w:val="0"/>
        <w:spacing w:line="360" w:lineRule="auto"/>
        <w:rPr>
          <w:color w:val="auto"/>
          <w:sz w:val="24"/>
          <w:szCs w:val="24"/>
        </w:rPr>
      </w:pPr>
      <w:r>
        <w:rPr>
          <w:b/>
          <w:color w:val="auto"/>
          <w:sz w:val="24"/>
          <w:szCs w:val="24"/>
        </w:rPr>
        <w:t>6</w:t>
      </w:r>
      <w:r>
        <w:rPr>
          <w:rFonts w:hAnsi="宋体"/>
          <w:b/>
          <w:color w:val="auto"/>
          <w:sz w:val="24"/>
          <w:szCs w:val="24"/>
        </w:rPr>
        <w:t>、交货方式</w:t>
      </w:r>
    </w:p>
    <w:p>
      <w:pPr>
        <w:widowControl w:val="0"/>
        <w:snapToGrid w:val="0"/>
        <w:spacing w:line="360" w:lineRule="auto"/>
        <w:rPr>
          <w:color w:val="auto"/>
          <w:sz w:val="24"/>
          <w:szCs w:val="24"/>
        </w:rPr>
      </w:pPr>
      <w:r>
        <w:rPr>
          <w:color w:val="auto"/>
          <w:sz w:val="24"/>
          <w:szCs w:val="24"/>
        </w:rPr>
        <w:t xml:space="preserve">6.1    </w:t>
      </w:r>
      <w:r>
        <w:rPr>
          <w:rFonts w:hAnsi="宋体"/>
          <w:color w:val="auto"/>
          <w:sz w:val="24"/>
          <w:szCs w:val="24"/>
        </w:rPr>
        <w:t>本合同项下的货物交货方式为：</w:t>
      </w:r>
      <w:r>
        <w:rPr>
          <w:rFonts w:hAnsi="宋体"/>
          <w:color w:val="auto"/>
          <w:sz w:val="24"/>
          <w:szCs w:val="24"/>
          <w:u w:val="single"/>
        </w:rPr>
        <w:t>现场交货</w:t>
      </w:r>
      <w:r>
        <w:rPr>
          <w:rFonts w:hAnsi="宋体"/>
          <w:color w:val="auto"/>
          <w:sz w:val="24"/>
          <w:szCs w:val="24"/>
        </w:rPr>
        <w:t>。</w:t>
      </w:r>
    </w:p>
    <w:p>
      <w:pPr>
        <w:widowControl w:val="0"/>
        <w:snapToGrid w:val="0"/>
        <w:spacing w:line="360" w:lineRule="auto"/>
        <w:ind w:left="2"/>
        <w:jc w:val="left"/>
        <w:rPr>
          <w:color w:val="auto"/>
          <w:sz w:val="24"/>
          <w:szCs w:val="24"/>
        </w:rPr>
      </w:pPr>
      <w:r>
        <w:rPr>
          <w:b/>
          <w:color w:val="auto"/>
          <w:sz w:val="24"/>
          <w:szCs w:val="24"/>
        </w:rPr>
        <w:t>9</w:t>
      </w:r>
      <w:r>
        <w:rPr>
          <w:rFonts w:hAnsi="宋体"/>
          <w:b/>
          <w:color w:val="auto"/>
          <w:sz w:val="24"/>
          <w:szCs w:val="24"/>
        </w:rPr>
        <w:t>、付款</w:t>
      </w:r>
      <w:r>
        <w:rPr>
          <w:rFonts w:hint="eastAsia" w:hAnsi="宋体"/>
          <w:b/>
          <w:color w:val="auto"/>
          <w:sz w:val="24"/>
          <w:szCs w:val="24"/>
        </w:rPr>
        <w:t>方式</w:t>
      </w:r>
      <w:r>
        <w:rPr>
          <w:rFonts w:hAnsi="宋体"/>
          <w:b/>
          <w:color w:val="auto"/>
          <w:sz w:val="24"/>
          <w:szCs w:val="24"/>
        </w:rPr>
        <w:t>：</w:t>
      </w:r>
      <w:r>
        <w:rPr>
          <w:rFonts w:hAnsi="宋体"/>
          <w:color w:val="auto"/>
          <w:sz w:val="24"/>
          <w:szCs w:val="24"/>
          <w:u w:val="single"/>
        </w:rPr>
        <w:t>合同签订</w:t>
      </w:r>
      <w:r>
        <w:rPr>
          <w:rFonts w:hint="eastAsia" w:hAnsi="宋体"/>
          <w:color w:val="auto"/>
          <w:sz w:val="24"/>
          <w:szCs w:val="24"/>
          <w:u w:val="single"/>
        </w:rPr>
        <w:t>后</w:t>
      </w:r>
      <w:r>
        <w:rPr>
          <w:rFonts w:hAnsi="宋体"/>
          <w:color w:val="auto"/>
          <w:sz w:val="24"/>
          <w:szCs w:val="24"/>
          <w:u w:val="single"/>
        </w:rPr>
        <w:t>买方向卖方支付合同总金额的</w:t>
      </w:r>
      <w:r>
        <w:rPr>
          <w:color w:val="auto"/>
          <w:sz w:val="24"/>
          <w:szCs w:val="24"/>
          <w:u w:val="single"/>
        </w:rPr>
        <w:t>60</w:t>
      </w:r>
      <w:r>
        <w:rPr>
          <w:rFonts w:hAnsi="宋体"/>
          <w:color w:val="auto"/>
          <w:sz w:val="24"/>
          <w:szCs w:val="24"/>
          <w:u w:val="single"/>
        </w:rPr>
        <w:t>％；所有货物到货验收合格后</w:t>
      </w:r>
      <w:r>
        <w:rPr>
          <w:rFonts w:hint="eastAsia" w:hAnsi="宋体"/>
          <w:color w:val="auto"/>
          <w:sz w:val="24"/>
          <w:szCs w:val="24"/>
          <w:u w:val="single"/>
        </w:rPr>
        <w:t>，</w:t>
      </w:r>
      <w:r>
        <w:rPr>
          <w:rFonts w:hAnsi="宋体"/>
          <w:color w:val="auto"/>
          <w:sz w:val="24"/>
          <w:szCs w:val="24"/>
          <w:u w:val="single"/>
        </w:rPr>
        <w:t>卖方向买方缴纳合同总金额的</w:t>
      </w:r>
      <w:r>
        <w:rPr>
          <w:color w:val="auto"/>
          <w:sz w:val="24"/>
          <w:szCs w:val="24"/>
          <w:u w:val="single"/>
        </w:rPr>
        <w:t>5</w:t>
      </w:r>
      <w:r>
        <w:rPr>
          <w:rFonts w:hAnsi="宋体"/>
          <w:color w:val="auto"/>
          <w:sz w:val="24"/>
          <w:szCs w:val="24"/>
          <w:u w:val="single"/>
        </w:rPr>
        <w:t>％作为</w:t>
      </w:r>
      <w:r>
        <w:rPr>
          <w:rFonts w:hint="eastAsia" w:hAnsi="宋体"/>
          <w:color w:val="auto"/>
          <w:sz w:val="24"/>
          <w:szCs w:val="24"/>
          <w:u w:val="single"/>
        </w:rPr>
        <w:t>履约</w:t>
      </w:r>
      <w:r>
        <w:rPr>
          <w:rFonts w:hAnsi="宋体"/>
          <w:color w:val="auto"/>
          <w:sz w:val="24"/>
          <w:szCs w:val="24"/>
          <w:u w:val="single"/>
        </w:rPr>
        <w:t>保证金，</w:t>
      </w:r>
      <w:r>
        <w:rPr>
          <w:rFonts w:hint="eastAsia" w:hAnsi="宋体"/>
          <w:color w:val="auto"/>
          <w:sz w:val="24"/>
          <w:szCs w:val="24"/>
          <w:u w:val="single"/>
        </w:rPr>
        <w:t>然后</w:t>
      </w:r>
      <w:r>
        <w:rPr>
          <w:rFonts w:hAnsi="宋体"/>
          <w:color w:val="auto"/>
          <w:sz w:val="24"/>
          <w:szCs w:val="24"/>
          <w:u w:val="single"/>
        </w:rPr>
        <w:t>买方向卖方支付合同总金额</w:t>
      </w:r>
      <w:r>
        <w:rPr>
          <w:color w:val="auto"/>
          <w:sz w:val="24"/>
          <w:szCs w:val="24"/>
          <w:u w:val="single"/>
        </w:rPr>
        <w:t>40</w:t>
      </w:r>
      <w:r>
        <w:rPr>
          <w:rFonts w:hAnsi="宋体"/>
          <w:color w:val="auto"/>
          <w:sz w:val="24"/>
          <w:szCs w:val="24"/>
          <w:u w:val="single"/>
        </w:rPr>
        <w:t>％</w:t>
      </w:r>
      <w:r>
        <w:rPr>
          <w:rFonts w:hint="eastAsia" w:hAnsi="宋体"/>
          <w:color w:val="auto"/>
          <w:sz w:val="24"/>
          <w:szCs w:val="24"/>
          <w:u w:val="single"/>
        </w:rPr>
        <w:t>，</w:t>
      </w:r>
      <w:r>
        <w:rPr>
          <w:rFonts w:hAnsi="宋体"/>
          <w:color w:val="auto"/>
          <w:sz w:val="24"/>
          <w:szCs w:val="24"/>
          <w:u w:val="single"/>
        </w:rPr>
        <w:t>自货物验收合格算起</w:t>
      </w:r>
      <w:r>
        <w:rPr>
          <w:rFonts w:hint="eastAsia" w:hAnsi="宋体"/>
          <w:color w:val="auto"/>
          <w:sz w:val="24"/>
          <w:szCs w:val="24"/>
          <w:u w:val="single"/>
        </w:rPr>
        <w:t>1</w:t>
      </w:r>
      <w:r>
        <w:rPr>
          <w:rFonts w:hAnsi="宋体"/>
          <w:color w:val="auto"/>
          <w:sz w:val="24"/>
          <w:szCs w:val="24"/>
          <w:u w:val="single"/>
        </w:rPr>
        <w:t>2</w:t>
      </w:r>
      <w:r>
        <w:rPr>
          <w:rFonts w:hint="eastAsia" w:hAnsi="宋体"/>
          <w:color w:val="auto"/>
          <w:sz w:val="24"/>
          <w:szCs w:val="24"/>
          <w:u w:val="single"/>
        </w:rPr>
        <w:t>个月</w:t>
      </w:r>
      <w:r>
        <w:rPr>
          <w:rFonts w:hAnsi="宋体"/>
          <w:color w:val="auto"/>
          <w:sz w:val="24"/>
          <w:szCs w:val="24"/>
          <w:u w:val="single"/>
        </w:rPr>
        <w:t>后由买方无息退还</w:t>
      </w:r>
      <w:r>
        <w:rPr>
          <w:rFonts w:hint="eastAsia" w:hAnsi="宋体"/>
          <w:color w:val="auto"/>
          <w:sz w:val="24"/>
          <w:szCs w:val="24"/>
          <w:u w:val="single"/>
        </w:rPr>
        <w:t>履约</w:t>
      </w:r>
      <w:r>
        <w:rPr>
          <w:rFonts w:hAnsi="宋体"/>
          <w:color w:val="auto"/>
          <w:sz w:val="24"/>
          <w:szCs w:val="24"/>
          <w:u w:val="single"/>
        </w:rPr>
        <w:t>保证金。</w:t>
      </w:r>
    </w:p>
    <w:p>
      <w:pPr>
        <w:widowControl w:val="0"/>
        <w:snapToGrid w:val="0"/>
        <w:spacing w:line="360" w:lineRule="auto"/>
        <w:rPr>
          <w:color w:val="auto"/>
          <w:sz w:val="24"/>
          <w:szCs w:val="24"/>
        </w:rPr>
      </w:pPr>
      <w:r>
        <w:rPr>
          <w:b/>
          <w:color w:val="auto"/>
          <w:sz w:val="24"/>
          <w:szCs w:val="24"/>
        </w:rPr>
        <w:t>10</w:t>
      </w:r>
      <w:r>
        <w:rPr>
          <w:rFonts w:hAnsi="宋体"/>
          <w:b/>
          <w:color w:val="auto"/>
          <w:sz w:val="24"/>
          <w:szCs w:val="24"/>
        </w:rPr>
        <w:t>、技术资料：</w:t>
      </w:r>
      <w:r>
        <w:rPr>
          <w:rFonts w:hAnsi="宋体"/>
          <w:color w:val="auto"/>
          <w:sz w:val="24"/>
          <w:szCs w:val="24"/>
          <w:u w:val="single"/>
        </w:rPr>
        <w:t>　　　按买方要求　　　</w:t>
      </w:r>
      <w:r>
        <w:rPr>
          <w:rFonts w:hAnsi="宋体"/>
          <w:color w:val="auto"/>
          <w:sz w:val="24"/>
          <w:szCs w:val="24"/>
        </w:rPr>
        <w:t>。</w:t>
      </w:r>
    </w:p>
    <w:p>
      <w:pPr>
        <w:widowControl w:val="0"/>
        <w:snapToGrid w:val="0"/>
        <w:spacing w:line="360" w:lineRule="auto"/>
        <w:rPr>
          <w:color w:val="auto"/>
          <w:sz w:val="24"/>
          <w:szCs w:val="24"/>
        </w:rPr>
      </w:pPr>
      <w:r>
        <w:rPr>
          <w:b/>
          <w:color w:val="auto"/>
          <w:sz w:val="24"/>
          <w:szCs w:val="24"/>
        </w:rPr>
        <w:t>11</w:t>
      </w:r>
      <w:r>
        <w:rPr>
          <w:rFonts w:hAnsi="宋体"/>
          <w:b/>
          <w:color w:val="auto"/>
          <w:sz w:val="24"/>
          <w:szCs w:val="24"/>
        </w:rPr>
        <w:t>、质量保证：</w:t>
      </w:r>
    </w:p>
    <w:p>
      <w:pPr>
        <w:widowControl w:val="0"/>
        <w:snapToGrid w:val="0"/>
        <w:spacing w:line="360" w:lineRule="auto"/>
        <w:rPr>
          <w:color w:val="auto"/>
          <w:sz w:val="24"/>
          <w:szCs w:val="24"/>
        </w:rPr>
      </w:pPr>
      <w:r>
        <w:rPr>
          <w:color w:val="auto"/>
          <w:sz w:val="24"/>
          <w:szCs w:val="24"/>
        </w:rPr>
        <w:t xml:space="preserve">11.3    </w:t>
      </w:r>
      <w:r>
        <w:rPr>
          <w:rFonts w:hAnsi="宋体"/>
          <w:color w:val="auto"/>
          <w:sz w:val="24"/>
          <w:szCs w:val="24"/>
        </w:rPr>
        <w:t>卖方在收到通知后</w:t>
      </w:r>
      <w:r>
        <w:rPr>
          <w:color w:val="auto"/>
          <w:sz w:val="24"/>
          <w:szCs w:val="24"/>
          <w:u w:val="single"/>
        </w:rPr>
        <w:t>7</w:t>
      </w:r>
      <w:r>
        <w:rPr>
          <w:rFonts w:hAnsi="宋体"/>
          <w:color w:val="auto"/>
          <w:sz w:val="24"/>
          <w:szCs w:val="24"/>
        </w:rPr>
        <w:t>天内应免费维修或更换有缺陷的货物或部件。</w:t>
      </w:r>
    </w:p>
    <w:p>
      <w:pPr>
        <w:widowControl w:val="0"/>
        <w:snapToGrid w:val="0"/>
        <w:spacing w:line="360" w:lineRule="auto"/>
        <w:ind w:left="958" w:hanging="952"/>
        <w:rPr>
          <w:color w:val="auto"/>
          <w:sz w:val="24"/>
          <w:szCs w:val="24"/>
        </w:rPr>
      </w:pPr>
      <w:r>
        <w:rPr>
          <w:color w:val="auto"/>
          <w:sz w:val="24"/>
          <w:szCs w:val="24"/>
        </w:rPr>
        <w:t xml:space="preserve">11.4    </w:t>
      </w:r>
      <w:r>
        <w:rPr>
          <w:rFonts w:hAnsi="宋体"/>
          <w:color w:val="auto"/>
          <w:sz w:val="24"/>
          <w:szCs w:val="24"/>
        </w:rPr>
        <w:t>如果卖方在收到通知后</w:t>
      </w:r>
      <w:r>
        <w:rPr>
          <w:color w:val="auto"/>
          <w:sz w:val="24"/>
          <w:szCs w:val="24"/>
          <w:u w:val="single"/>
        </w:rPr>
        <w:t>7</w:t>
      </w:r>
      <w:r>
        <w:rPr>
          <w:rFonts w:hAnsi="宋体"/>
          <w:color w:val="auto"/>
          <w:sz w:val="24"/>
          <w:szCs w:val="24"/>
        </w:rPr>
        <w:t>天内没有弥补缺陷，买方可采取必要的补救措施，但风险和费用将由卖方承担。</w:t>
      </w:r>
    </w:p>
    <w:p>
      <w:pPr>
        <w:snapToGrid w:val="0"/>
        <w:spacing w:line="360" w:lineRule="auto"/>
        <w:ind w:left="958" w:hanging="952"/>
        <w:rPr>
          <w:sz w:val="24"/>
          <w:szCs w:val="24"/>
        </w:rPr>
      </w:pPr>
      <w:r>
        <w:rPr>
          <w:color w:val="auto"/>
          <w:sz w:val="24"/>
          <w:szCs w:val="24"/>
        </w:rPr>
        <w:t xml:space="preserve">11.5    </w:t>
      </w:r>
      <w:r>
        <w:rPr>
          <w:rFonts w:hAnsi="宋体"/>
          <w:sz w:val="24"/>
        </w:rPr>
        <w:t>合同项下货物的质量保证期为自货物通过最终验收起</w:t>
      </w:r>
      <w:r>
        <w:rPr>
          <w:rFonts w:ascii="宋体" w:hAnsi="宋体" w:cstheme="minorEastAsia"/>
          <w:sz w:val="28"/>
          <w:szCs w:val="21"/>
          <w:u w:val="single"/>
          <w:lang w:bidi="en-US"/>
        </w:rPr>
        <w:t>****</w:t>
      </w:r>
      <w:r>
        <w:rPr>
          <w:sz w:val="24"/>
          <w:u w:val="single"/>
        </w:rPr>
        <w:t xml:space="preserve"> </w:t>
      </w:r>
      <w:r>
        <w:rPr>
          <w:rFonts w:hAnsi="宋体"/>
          <w:sz w:val="24"/>
        </w:rPr>
        <w:t>个</w:t>
      </w:r>
      <w:r>
        <w:rPr>
          <w:rFonts w:hAnsi="宋体"/>
          <w:sz w:val="24"/>
          <w:szCs w:val="24"/>
        </w:rPr>
        <w:t>月。（国家另行规定的除外）。</w:t>
      </w:r>
    </w:p>
    <w:p>
      <w:pPr>
        <w:widowControl w:val="0"/>
        <w:numPr>
          <w:ilvl w:val="1"/>
          <w:numId w:val="13"/>
        </w:numPr>
        <w:snapToGrid w:val="0"/>
        <w:spacing w:line="360" w:lineRule="auto"/>
        <w:ind w:hanging="846"/>
        <w:rPr>
          <w:color w:val="auto"/>
          <w:sz w:val="24"/>
          <w:szCs w:val="24"/>
        </w:rPr>
      </w:pPr>
      <w:r>
        <w:rPr>
          <w:rFonts w:hAnsi="宋体"/>
          <w:b/>
          <w:color w:val="auto"/>
          <w:sz w:val="24"/>
          <w:szCs w:val="24"/>
        </w:rPr>
        <w:t>检验和验收：</w:t>
      </w:r>
    </w:p>
    <w:p>
      <w:pPr>
        <w:widowControl w:val="0"/>
        <w:snapToGrid w:val="0"/>
        <w:spacing w:line="360" w:lineRule="auto"/>
        <w:rPr>
          <w:color w:val="auto"/>
          <w:sz w:val="24"/>
          <w:szCs w:val="24"/>
        </w:rPr>
      </w:pPr>
      <w:r>
        <w:rPr>
          <w:color w:val="auto"/>
          <w:sz w:val="24"/>
          <w:szCs w:val="24"/>
        </w:rPr>
        <w:t xml:space="preserve">12.1  </w:t>
      </w:r>
      <w:r>
        <w:rPr>
          <w:rFonts w:hAnsi="宋体"/>
          <w:color w:val="auto"/>
          <w:sz w:val="24"/>
          <w:szCs w:val="24"/>
        </w:rPr>
        <w:t>根据买方要求完成验收。</w:t>
      </w:r>
    </w:p>
    <w:p>
      <w:pPr>
        <w:widowControl w:val="0"/>
        <w:numPr>
          <w:ilvl w:val="1"/>
          <w:numId w:val="13"/>
        </w:numPr>
        <w:snapToGrid w:val="0"/>
        <w:spacing w:line="360" w:lineRule="auto"/>
        <w:ind w:hanging="846"/>
        <w:rPr>
          <w:color w:val="auto"/>
          <w:sz w:val="24"/>
          <w:szCs w:val="24"/>
        </w:rPr>
      </w:pPr>
      <w:r>
        <w:rPr>
          <w:rFonts w:hAnsi="宋体"/>
          <w:b/>
          <w:color w:val="auto"/>
          <w:sz w:val="24"/>
          <w:szCs w:val="24"/>
        </w:rPr>
        <w:t>索赔：</w:t>
      </w:r>
    </w:p>
    <w:p>
      <w:pPr>
        <w:widowControl w:val="0"/>
        <w:snapToGrid w:val="0"/>
        <w:spacing w:line="360" w:lineRule="auto"/>
        <w:rPr>
          <w:color w:val="auto"/>
          <w:sz w:val="24"/>
          <w:szCs w:val="24"/>
        </w:rPr>
      </w:pPr>
      <w:r>
        <w:rPr>
          <w:color w:val="auto"/>
          <w:sz w:val="24"/>
          <w:szCs w:val="24"/>
        </w:rPr>
        <w:t>13.3</w:t>
      </w:r>
      <w:r>
        <w:rPr>
          <w:color w:val="auto"/>
          <w:sz w:val="24"/>
          <w:szCs w:val="24"/>
        </w:rPr>
        <w:tab/>
      </w:r>
      <w:r>
        <w:rPr>
          <w:rFonts w:hAnsi="宋体"/>
          <w:color w:val="auto"/>
          <w:sz w:val="24"/>
          <w:szCs w:val="24"/>
        </w:rPr>
        <w:t>索赔通知期限：</w:t>
      </w:r>
      <w:r>
        <w:rPr>
          <w:color w:val="auto"/>
          <w:sz w:val="24"/>
          <w:szCs w:val="24"/>
          <w:u w:val="single"/>
        </w:rPr>
        <w:t>7</w:t>
      </w:r>
      <w:r>
        <w:rPr>
          <w:rFonts w:hAnsi="宋体"/>
          <w:color w:val="auto"/>
          <w:sz w:val="24"/>
          <w:szCs w:val="24"/>
        </w:rPr>
        <w:t>天。</w:t>
      </w:r>
    </w:p>
    <w:p>
      <w:pPr>
        <w:widowControl w:val="0"/>
        <w:snapToGrid w:val="0"/>
        <w:spacing w:line="360" w:lineRule="auto"/>
        <w:rPr>
          <w:color w:val="auto"/>
          <w:sz w:val="24"/>
          <w:szCs w:val="24"/>
        </w:rPr>
      </w:pPr>
      <w:r>
        <w:rPr>
          <w:b/>
          <w:color w:val="auto"/>
          <w:sz w:val="24"/>
          <w:szCs w:val="24"/>
        </w:rPr>
        <w:t>16</w:t>
      </w:r>
      <w:r>
        <w:rPr>
          <w:rFonts w:hAnsi="宋体"/>
          <w:b/>
          <w:color w:val="auto"/>
          <w:sz w:val="24"/>
          <w:szCs w:val="24"/>
        </w:rPr>
        <w:t>、不可抗力：</w:t>
      </w:r>
    </w:p>
    <w:p>
      <w:pPr>
        <w:widowControl w:val="0"/>
        <w:snapToGrid w:val="0"/>
        <w:spacing w:line="360" w:lineRule="auto"/>
        <w:rPr>
          <w:color w:val="auto"/>
          <w:sz w:val="24"/>
          <w:szCs w:val="24"/>
        </w:rPr>
      </w:pPr>
      <w:r>
        <w:rPr>
          <w:color w:val="auto"/>
          <w:sz w:val="24"/>
          <w:szCs w:val="24"/>
        </w:rPr>
        <w:t xml:space="preserve">16.2   </w:t>
      </w:r>
      <w:r>
        <w:rPr>
          <w:rFonts w:hAnsi="宋体"/>
          <w:color w:val="auto"/>
          <w:sz w:val="24"/>
          <w:szCs w:val="24"/>
        </w:rPr>
        <w:t>不可抗力通知送达时间：事故发生后</w:t>
      </w:r>
      <w:r>
        <w:rPr>
          <w:color w:val="auto"/>
          <w:sz w:val="24"/>
          <w:szCs w:val="24"/>
          <w:u w:val="single"/>
        </w:rPr>
        <w:t>7</w:t>
      </w:r>
      <w:r>
        <w:rPr>
          <w:rFonts w:hAnsi="宋体"/>
          <w:color w:val="auto"/>
          <w:sz w:val="24"/>
          <w:szCs w:val="24"/>
        </w:rPr>
        <w:t>天内。</w:t>
      </w:r>
    </w:p>
    <w:p>
      <w:pPr>
        <w:widowControl w:val="0"/>
        <w:snapToGrid w:val="0"/>
        <w:spacing w:line="360" w:lineRule="auto"/>
        <w:rPr>
          <w:color w:val="auto"/>
          <w:sz w:val="24"/>
          <w:szCs w:val="24"/>
        </w:rPr>
      </w:pPr>
      <w:r>
        <w:rPr>
          <w:b/>
          <w:color w:val="auto"/>
          <w:sz w:val="24"/>
          <w:szCs w:val="24"/>
        </w:rPr>
        <w:t>26</w:t>
      </w:r>
      <w:r>
        <w:rPr>
          <w:rFonts w:hAnsi="宋体"/>
          <w:b/>
          <w:color w:val="auto"/>
          <w:sz w:val="24"/>
          <w:szCs w:val="24"/>
        </w:rPr>
        <w:t>、提交履约保证金的时间：</w:t>
      </w:r>
    </w:p>
    <w:p>
      <w:pPr>
        <w:widowControl w:val="0"/>
        <w:snapToGrid w:val="0"/>
        <w:spacing w:line="360" w:lineRule="auto"/>
        <w:rPr>
          <w:rFonts w:hAnsi="宋体"/>
          <w:color w:val="auto"/>
          <w:sz w:val="28"/>
          <w:szCs w:val="21"/>
        </w:rPr>
        <w:sectPr>
          <w:pgSz w:w="11905" w:h="16837"/>
          <w:pgMar w:top="1439" w:right="1797" w:bottom="1439" w:left="1797" w:header="850" w:footer="992" w:gutter="0"/>
          <w:cols w:space="425" w:num="1"/>
          <w:docGrid w:linePitch="286" w:charSpace="0"/>
        </w:sectPr>
      </w:pPr>
      <w:r>
        <w:rPr>
          <w:color w:val="auto"/>
          <w:sz w:val="24"/>
          <w:szCs w:val="24"/>
        </w:rPr>
        <w:t xml:space="preserve">26.1 </w:t>
      </w:r>
      <w:r>
        <w:rPr>
          <w:rFonts w:hAnsi="宋体"/>
          <w:color w:val="auto"/>
          <w:sz w:val="24"/>
          <w:szCs w:val="24"/>
        </w:rPr>
        <w:t>所有货物到货验收合格后卖方向买方缴纳合同总金额的</w:t>
      </w:r>
      <w:r>
        <w:rPr>
          <w:color w:val="auto"/>
          <w:sz w:val="24"/>
          <w:szCs w:val="24"/>
        </w:rPr>
        <w:t>5</w:t>
      </w:r>
      <w:r>
        <w:rPr>
          <w:rFonts w:hAnsi="宋体"/>
          <w:color w:val="auto"/>
          <w:sz w:val="24"/>
          <w:szCs w:val="24"/>
        </w:rPr>
        <w:t>％作为</w:t>
      </w:r>
      <w:r>
        <w:rPr>
          <w:rFonts w:hint="eastAsia" w:hAnsi="宋体"/>
          <w:color w:val="auto"/>
          <w:sz w:val="24"/>
          <w:szCs w:val="24"/>
        </w:rPr>
        <w:t>履约</w:t>
      </w:r>
      <w:r>
        <w:rPr>
          <w:rFonts w:hAnsi="宋体"/>
          <w:color w:val="auto"/>
          <w:sz w:val="24"/>
          <w:szCs w:val="24"/>
        </w:rPr>
        <w:t>保证金，自货物验收合格算起</w:t>
      </w:r>
      <w:r>
        <w:rPr>
          <w:rFonts w:hint="eastAsia" w:hAnsi="宋体"/>
          <w:color w:val="auto"/>
          <w:sz w:val="24"/>
          <w:szCs w:val="24"/>
        </w:rPr>
        <w:t>1</w:t>
      </w:r>
      <w:r>
        <w:rPr>
          <w:rFonts w:hAnsi="宋体"/>
          <w:color w:val="auto"/>
          <w:sz w:val="24"/>
          <w:szCs w:val="24"/>
        </w:rPr>
        <w:t>2</w:t>
      </w:r>
      <w:r>
        <w:rPr>
          <w:rFonts w:hint="eastAsia" w:hAnsi="宋体"/>
          <w:color w:val="auto"/>
          <w:sz w:val="24"/>
          <w:szCs w:val="24"/>
        </w:rPr>
        <w:t>个月</w:t>
      </w:r>
      <w:r>
        <w:rPr>
          <w:rFonts w:hAnsi="宋体"/>
          <w:color w:val="auto"/>
          <w:sz w:val="24"/>
          <w:szCs w:val="24"/>
        </w:rPr>
        <w:t>后由买方无息退还。</w:t>
      </w:r>
    </w:p>
    <w:p>
      <w:pPr>
        <w:pStyle w:val="5"/>
        <w:widowControl w:val="0"/>
        <w:snapToGrid w:val="0"/>
        <w:spacing w:line="331" w:lineRule="auto"/>
        <w:ind w:left="1138" w:leftChars="1" w:hanging="1136" w:hangingChars="404"/>
        <w:jc w:val="both"/>
        <w:rPr>
          <w:rFonts w:ascii="Times New Roman"/>
          <w:color w:val="auto"/>
          <w:sz w:val="28"/>
          <w:szCs w:val="21"/>
          <w:u w:val="none"/>
        </w:rPr>
      </w:pPr>
      <w:r>
        <w:rPr>
          <w:rFonts w:ascii="Times New Roman"/>
          <w:color w:val="auto"/>
          <w:sz w:val="28"/>
          <w:szCs w:val="21"/>
          <w:u w:val="none"/>
        </w:rPr>
        <w:t>附件1：详细供货清单及分项报价表</w:t>
      </w:r>
    </w:p>
    <w:p>
      <w:pPr>
        <w:rPr>
          <w:color w:val="auto"/>
        </w:rPr>
      </w:pPr>
    </w:p>
    <w:p>
      <w:pPr>
        <w:spacing w:line="240" w:lineRule="auto"/>
        <w:jc w:val="left"/>
        <w:textAlignment w:val="auto"/>
        <w:rPr>
          <w:rFonts w:hAnsi="宋体"/>
          <w:color w:val="auto"/>
          <w:sz w:val="28"/>
          <w:szCs w:val="21"/>
        </w:rPr>
        <w:sectPr>
          <w:pgSz w:w="16837" w:h="11905" w:orient="landscape"/>
          <w:pgMar w:top="1797" w:right="1440" w:bottom="1797" w:left="1440" w:header="851" w:footer="992" w:gutter="0"/>
          <w:cols w:space="0" w:num="1"/>
          <w:docGrid w:linePitch="286" w:charSpace="0"/>
        </w:sectPr>
      </w:pPr>
      <w:r>
        <w:rPr>
          <w:rFonts w:hAnsi="宋体"/>
          <w:color w:val="auto"/>
          <w:sz w:val="28"/>
          <w:szCs w:val="21"/>
        </w:rPr>
        <w:br w:type="page"/>
      </w:r>
    </w:p>
    <w:p>
      <w:pPr>
        <w:pStyle w:val="5"/>
        <w:widowControl w:val="0"/>
        <w:snapToGrid w:val="0"/>
        <w:spacing w:line="331" w:lineRule="auto"/>
        <w:ind w:left="1138" w:leftChars="1" w:hanging="1136" w:hangingChars="404"/>
        <w:jc w:val="both"/>
        <w:rPr>
          <w:rFonts w:ascii="Times New Roman"/>
          <w:color w:val="auto"/>
          <w:sz w:val="28"/>
          <w:szCs w:val="21"/>
          <w:u w:val="none"/>
        </w:rPr>
      </w:pPr>
      <w:r>
        <w:rPr>
          <w:rFonts w:ascii="Times New Roman"/>
          <w:color w:val="auto"/>
          <w:sz w:val="28"/>
          <w:szCs w:val="21"/>
          <w:u w:val="none"/>
        </w:rPr>
        <w:t>附件2：详细售后服务承诺</w:t>
      </w:r>
    </w:p>
    <w:p>
      <w:pPr>
        <w:pStyle w:val="39"/>
        <w:spacing w:after="0" w:line="360" w:lineRule="auto"/>
        <w:ind w:firstLine="480"/>
        <w:jc w:val="right"/>
        <w:rPr>
          <w:rFonts w:ascii="宋体" w:hAnsi="宋体"/>
          <w:sz w:val="24"/>
          <w:szCs w:val="24"/>
        </w:rPr>
      </w:pPr>
    </w:p>
    <w:p>
      <w:pPr>
        <w:rPr>
          <w:rFonts w:ascii="宋体" w:hAnsi="宋体"/>
          <w:b/>
          <w:sz w:val="36"/>
          <w:szCs w:val="36"/>
        </w:rPr>
      </w:pPr>
    </w:p>
    <w:p>
      <w:pPr>
        <w:rPr>
          <w:rFonts w:ascii="宋体" w:hAnsi="宋体"/>
          <w:b/>
          <w:sz w:val="36"/>
          <w:szCs w:val="36"/>
        </w:rPr>
      </w:pPr>
      <w:r>
        <w:rPr>
          <w:rFonts w:ascii="宋体" w:hAnsi="宋体"/>
          <w:b/>
          <w:sz w:val="36"/>
          <w:szCs w:val="36"/>
        </w:rPr>
        <w:br w:type="page"/>
      </w:r>
    </w:p>
    <w:p>
      <w:pPr>
        <w:pStyle w:val="2"/>
        <w:bidi w:val="0"/>
      </w:pPr>
      <w:bookmarkStart w:id="788" w:name="_Toc12741"/>
      <w:r>
        <w:t>第七章  投标文件格式</w:t>
      </w:r>
      <w:bookmarkEnd w:id="788"/>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w:t>
      </w:r>
      <w:r>
        <w:rPr>
          <w:rFonts w:hint="eastAsia" w:ascii="宋体" w:hAnsi="宋体"/>
          <w:sz w:val="24"/>
        </w:rPr>
        <w:t>两部分内容可以装订在一起，也可以分开装订。</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ascii="宋体" w:hAnsi="宋体"/>
          <w:b/>
          <w:spacing w:val="60"/>
          <w:sz w:val="84"/>
          <w:szCs w:val="84"/>
        </w:rPr>
        <w:t>投 标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ascii="宋体" w:hAnsi="宋体"/>
          <w:b/>
          <w:spacing w:val="20"/>
          <w:sz w:val="32"/>
          <w:szCs w:val="32"/>
        </w:rPr>
        <w:t>投标人名称：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5"/>
        <w:rPr>
          <w:rFonts w:hAnsi="宋体"/>
          <w:b w:val="0"/>
          <w:bCs/>
          <w:color w:val="000000"/>
          <w:u w:val="none"/>
        </w:rPr>
      </w:pPr>
      <w:r>
        <w:rPr>
          <w:rFonts w:hAnsi="宋体"/>
          <w:b w:val="0"/>
          <w:color w:val="000000"/>
          <w:u w:val="none"/>
        </w:rPr>
        <w:t>1-2 投标人资格声明书</w:t>
      </w:r>
    </w:p>
    <w:p>
      <w:pPr>
        <w:jc w:val="center"/>
        <w:rPr>
          <w:rFonts w:ascii="宋体" w:hAnsi="宋体"/>
          <w:b/>
          <w:color w:val="000000"/>
          <w:sz w:val="36"/>
          <w:szCs w:val="36"/>
        </w:rPr>
      </w:pPr>
      <w:r>
        <w:rPr>
          <w:rFonts w:hint="eastAsia" w:ascii="宋体" w:hAnsi="宋体"/>
          <w:b/>
          <w:color w:val="000000"/>
          <w:sz w:val="36"/>
          <w:szCs w:val="36"/>
        </w:rPr>
        <w:t>投标人资格声明书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在参与本次项目投标中，我单位承诺：</w:t>
      </w:r>
    </w:p>
    <w:p>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r>
        <w:rPr>
          <w:rFonts w:hint="eastAsia"/>
          <w:color w:val="000000"/>
          <w:sz w:val="24"/>
          <w:szCs w:val="20"/>
        </w:rPr>
        <w:t>（本项目不涉及）</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pPr>
        <w:tabs>
          <w:tab w:val="left" w:pos="5580"/>
        </w:tabs>
        <w:spacing w:line="360" w:lineRule="auto"/>
        <w:rPr>
          <w:sz w:val="24"/>
        </w:rPr>
      </w:pPr>
      <w:r>
        <w:rPr>
          <w:sz w:val="24"/>
        </w:rPr>
        <w:t>（2）如本项目（包）专门面向中小企业采购，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或《残疾人福利性单位声明函》或由省级以上监狱管理局、戒毒管理局（含新疆生产建设兵团）出具的属于监狱企业的证明文件，且建议在资格证明文件部分提供</w:t>
      </w:r>
      <w:r>
        <w:rPr>
          <w:sz w:val="24"/>
        </w:rPr>
        <w:t>。</w:t>
      </w:r>
    </w:p>
    <w:p>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，且建议在资格证明文件部分提供</w:t>
      </w:r>
      <w:r>
        <w:rPr>
          <w:sz w:val="24"/>
        </w:rPr>
        <w:t>。</w:t>
      </w:r>
    </w:p>
    <w:p>
      <w:pPr>
        <w:tabs>
          <w:tab w:val="left" w:pos="5580"/>
        </w:tabs>
        <w:spacing w:line="360" w:lineRule="auto"/>
        <w:rPr>
          <w:sz w:val="24"/>
        </w:rPr>
      </w:pPr>
      <w:r>
        <w:rPr>
          <w:sz w:val="24"/>
        </w:rPr>
        <w:t>（4）如本项目（包）预留部分采购项目预算专门面向中小企业采购，</w:t>
      </w:r>
      <w:r>
        <w:rPr>
          <w:rFonts w:hint="eastAsia"/>
          <w:sz w:val="24"/>
        </w:rPr>
        <w:t>且</w:t>
      </w:r>
      <w:r>
        <w:rPr>
          <w:sz w:val="24"/>
        </w:rPr>
        <w:t>要求供应商以联合体形式参加采购活动，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pPr>
        <w:tabs>
          <w:tab w:val="left" w:pos="5580"/>
        </w:tabs>
        <w:spacing w:line="360" w:lineRule="auto"/>
        <w:rPr>
          <w:sz w:val="24"/>
        </w:rPr>
      </w:pPr>
      <w:r>
        <w:rPr>
          <w:rFonts w:hint="eastAsia"/>
          <w:sz w:val="24"/>
        </w:rPr>
        <w:t>1）《中小企业声明函》由参加政府采购活动的投标人出具。联合体投标的，《中小企业声明函》由牵头人出具。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3）对于多标的的采购项目，投标人应充分、准确地了解所投产品制造企业信息。对相关情况了解不清楚的，不建议填报本声明函。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pStyle w:val="39"/>
        <w:ind w:left="0" w:leftChars="0" w:firstLine="0" w:firstLineChars="0"/>
      </w:pPr>
      <w:r>
        <w:rPr>
          <w:rFonts w:hint="eastAsia"/>
          <w:sz w:val="24"/>
        </w:rPr>
        <w:t>（6）后附《中小企业划型标准规定》</w:t>
      </w:r>
    </w:p>
    <w:p>
      <w:pPr>
        <w:widowControl/>
        <w:jc w:val="left"/>
        <w:rPr>
          <w:sz w:val="24"/>
        </w:rPr>
      </w:pPr>
      <w:r>
        <w:rPr>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line="360" w:lineRule="auto"/>
        <w:outlineLvl w:val="2"/>
        <w:rPr>
          <w:color w:val="000000"/>
          <w:sz w:val="24"/>
          <w:szCs w:val="20"/>
        </w:r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jc w:val="center"/>
        <w:rPr>
          <w:rFonts w:ascii="宋体" w:hAnsi="宋体"/>
          <w:b/>
          <w:bCs/>
          <w:color w:val="000000"/>
          <w:sz w:val="36"/>
          <w:szCs w:val="36"/>
        </w:rPr>
      </w:pPr>
      <w:r>
        <w:rPr>
          <w:color w:val="000000"/>
          <w:sz w:val="24"/>
          <w:szCs w:val="20"/>
        </w:rPr>
        <w:br w:type="page"/>
      </w:r>
      <w:r>
        <w:rPr>
          <w:b/>
          <w:bCs/>
          <w:color w:val="000000"/>
          <w:sz w:val="36"/>
          <w:szCs w:val="36"/>
        </w:rPr>
        <w:t>中小企业划型标准规定</w:t>
      </w:r>
    </w:p>
    <w:p>
      <w:pPr>
        <w:pStyle w:val="22"/>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p>
    <w:p>
      <w:pPr>
        <w:pStyle w:val="22"/>
        <w:spacing w:line="360" w:lineRule="auto"/>
        <w:rPr>
          <w:rFonts w:hint="default" w:hAnsi="宋体"/>
          <w:sz w:val="24"/>
          <w:szCs w:val="24"/>
        </w:rPr>
      </w:pPr>
      <w:r>
        <w:rPr>
          <w:rFonts w:hAnsi="宋体"/>
          <w:sz w:val="24"/>
          <w:szCs w:val="24"/>
        </w:rPr>
        <w:t>　　二、中小企业划分为中型、小型、微型三种类型，具体标准根据企业从业人员、营业收入、资产总额等指标，结合行业特点制定。</w:t>
      </w:r>
    </w:p>
    <w:p>
      <w:pPr>
        <w:pStyle w:val="22"/>
        <w:spacing w:line="360" w:lineRule="auto"/>
        <w:rPr>
          <w:rFonts w:hint="default" w:hAnsi="宋体"/>
          <w:sz w:val="24"/>
          <w:szCs w:val="24"/>
        </w:rPr>
      </w:pPr>
      <w:r>
        <w:rPr>
          <w:rFonts w:hAnsi="宋体"/>
          <w:sz w:val="24"/>
          <w:szCs w:val="24"/>
        </w:rPr>
        <w:t>　　三、本规定适用的行业包括：农、林、牧、渔业，</w:t>
      </w:r>
      <w:r>
        <w:rPr>
          <w:rFonts w:hAnsi="宋体"/>
          <w:b/>
          <w:bCs/>
          <w:sz w:val="24"/>
          <w:szCs w:val="24"/>
        </w:rPr>
        <w:t>工业（包括采矿业，制造业，电力、热力、燃气及水生产和供应业）</w:t>
      </w:r>
      <w:r>
        <w:rPr>
          <w:rFonts w:hAnsi="宋体"/>
          <w:sz w:val="24"/>
          <w:szCs w:val="24"/>
        </w:rPr>
        <w:t>，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2"/>
        <w:spacing w:line="360" w:lineRule="auto"/>
        <w:rPr>
          <w:rFonts w:hint="default" w:hAnsi="宋体"/>
          <w:sz w:val="24"/>
          <w:szCs w:val="24"/>
        </w:rPr>
      </w:pPr>
      <w:r>
        <w:rPr>
          <w:rFonts w:hAnsi="宋体"/>
          <w:sz w:val="24"/>
          <w:szCs w:val="24"/>
        </w:rPr>
        <w:t>　　四、各行业划型标准为：</w:t>
      </w:r>
    </w:p>
    <w:p>
      <w:pPr>
        <w:pStyle w:val="22"/>
        <w:spacing w:line="360" w:lineRule="auto"/>
        <w:rPr>
          <w:rFonts w:hint="default" w:hAnsi="宋体"/>
          <w:sz w:val="24"/>
          <w:szCs w:val="24"/>
        </w:rPr>
      </w:pP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p>
    <w:p>
      <w:pPr>
        <w:pStyle w:val="22"/>
        <w:spacing w:line="360" w:lineRule="auto"/>
        <w:rPr>
          <w:rFonts w:hint="default" w:hAnsi="宋体"/>
          <w:b/>
          <w:bCs/>
          <w:sz w:val="24"/>
          <w:szCs w:val="24"/>
        </w:rPr>
      </w:pPr>
      <w:r>
        <w:rPr>
          <w:rFonts w:hAnsi="宋体"/>
          <w:b/>
          <w:bCs/>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2"/>
        <w:spacing w:line="360" w:lineRule="auto"/>
        <w:rPr>
          <w:rFonts w:hint="default" w:hAnsi="宋体"/>
          <w:sz w:val="24"/>
          <w:szCs w:val="24"/>
        </w:rPr>
      </w:pP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2"/>
        <w:spacing w:line="360" w:lineRule="auto"/>
        <w:rPr>
          <w:rFonts w:hint="default" w:hAnsi="宋体"/>
          <w:sz w:val="24"/>
          <w:szCs w:val="24"/>
        </w:rPr>
      </w:pP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2"/>
        <w:spacing w:line="360" w:lineRule="auto"/>
        <w:rPr>
          <w:rFonts w:hint="default" w:hAnsi="宋体"/>
          <w:sz w:val="24"/>
          <w:szCs w:val="24"/>
        </w:rPr>
      </w:pP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2"/>
        <w:spacing w:line="360" w:lineRule="auto"/>
        <w:rPr>
          <w:rFonts w:hint="default" w:hAnsi="宋体"/>
          <w:sz w:val="24"/>
          <w:szCs w:val="24"/>
        </w:rPr>
      </w:pP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2"/>
        <w:spacing w:line="360" w:lineRule="auto"/>
        <w:rPr>
          <w:rFonts w:hint="default" w:hAnsi="宋体"/>
          <w:sz w:val="24"/>
          <w:szCs w:val="24"/>
        </w:rPr>
      </w:pP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2"/>
        <w:spacing w:line="360" w:lineRule="auto"/>
        <w:rPr>
          <w:rFonts w:hint="default" w:hAnsi="宋体"/>
          <w:sz w:val="24"/>
          <w:szCs w:val="24"/>
        </w:rPr>
      </w:pP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2"/>
        <w:spacing w:line="360" w:lineRule="auto"/>
        <w:rPr>
          <w:rFonts w:hint="default" w:hAnsi="宋体"/>
          <w:sz w:val="24"/>
          <w:szCs w:val="24"/>
        </w:rPr>
      </w:pP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2"/>
        <w:spacing w:line="360" w:lineRule="auto"/>
        <w:rPr>
          <w:rFonts w:hint="default" w:hAnsi="宋体"/>
          <w:b w:val="0"/>
          <w:bCs w:val="0"/>
          <w:sz w:val="24"/>
          <w:szCs w:val="24"/>
        </w:rPr>
      </w:pP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w:t>
      </w:r>
      <w:r>
        <w:rPr>
          <w:rFonts w:hAnsi="宋体"/>
          <w:b w:val="0"/>
          <w:bCs w:val="0"/>
          <w:sz w:val="24"/>
          <w:szCs w:val="24"/>
        </w:rPr>
        <w:t>入100万元以下的为微型企业。</w:t>
      </w:r>
    </w:p>
    <w:p>
      <w:pPr>
        <w:pStyle w:val="22"/>
        <w:spacing w:line="360" w:lineRule="auto"/>
        <w:rPr>
          <w:rFonts w:hint="default" w:hAnsi="宋体"/>
          <w:b w:val="0"/>
          <w:bCs w:val="0"/>
          <w:sz w:val="24"/>
          <w:szCs w:val="24"/>
        </w:rPr>
      </w:pPr>
      <w:r>
        <w:rPr>
          <w:rFonts w:hAnsi="宋体"/>
          <w:b w:val="0"/>
          <w:bCs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2"/>
        <w:spacing w:line="360" w:lineRule="auto"/>
        <w:rPr>
          <w:rFonts w:hint="default" w:hAnsi="宋体"/>
          <w:sz w:val="24"/>
          <w:szCs w:val="24"/>
        </w:rPr>
      </w:pP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2"/>
        <w:spacing w:line="360" w:lineRule="auto"/>
        <w:rPr>
          <w:rFonts w:hint="default" w:hAnsi="宋体"/>
          <w:sz w:val="24"/>
          <w:szCs w:val="24"/>
        </w:rPr>
      </w:pP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2"/>
        <w:spacing w:line="360" w:lineRule="auto"/>
        <w:rPr>
          <w:rFonts w:hint="default" w:hAnsi="宋体"/>
          <w:sz w:val="24"/>
          <w:szCs w:val="24"/>
        </w:rPr>
      </w:pP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2"/>
        <w:spacing w:line="360" w:lineRule="auto"/>
        <w:rPr>
          <w:rFonts w:hint="default" w:hAnsi="宋体"/>
          <w:sz w:val="24"/>
          <w:szCs w:val="24"/>
        </w:rPr>
      </w:pP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2"/>
        <w:spacing w:line="360" w:lineRule="auto"/>
        <w:rPr>
          <w:rFonts w:hint="default" w:hAnsi="宋体"/>
          <w:sz w:val="24"/>
          <w:szCs w:val="24"/>
        </w:rPr>
      </w:pP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p>
    <w:p>
      <w:pPr>
        <w:pStyle w:val="22"/>
        <w:spacing w:line="360" w:lineRule="auto"/>
        <w:rPr>
          <w:rFonts w:hint="default" w:hAnsi="宋体"/>
          <w:sz w:val="24"/>
          <w:szCs w:val="24"/>
        </w:rPr>
      </w:pPr>
      <w:r>
        <w:rPr>
          <w:rFonts w:hAnsi="宋体"/>
          <w:sz w:val="24"/>
          <w:szCs w:val="24"/>
        </w:rPr>
        <w:t>　　五、企业类型的划分以统计部门的统计数据为依据。</w:t>
      </w:r>
    </w:p>
    <w:p>
      <w:pPr>
        <w:pStyle w:val="22"/>
        <w:spacing w:line="360" w:lineRule="auto"/>
        <w:rPr>
          <w:rFonts w:hint="default" w:hAnsi="宋体"/>
          <w:sz w:val="24"/>
          <w:szCs w:val="24"/>
        </w:rPr>
      </w:pPr>
      <w:r>
        <w:rPr>
          <w:rFonts w:hAnsi="宋体"/>
          <w:sz w:val="24"/>
          <w:szCs w:val="24"/>
        </w:rPr>
        <w:t>　　六、本规定适用于在中华人民共和国境内依法设立的各类所有制和各种组织形式的企业。个体工商户和本规定以外的行业，参照本规定进行划型。</w:t>
      </w:r>
    </w:p>
    <w:p>
      <w:pPr>
        <w:pStyle w:val="22"/>
        <w:spacing w:line="360" w:lineRule="auto"/>
        <w:rPr>
          <w:rFonts w:hint="default" w:hAnsi="宋体"/>
          <w:sz w:val="24"/>
          <w:szCs w:val="24"/>
        </w:rPr>
      </w:pP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22"/>
        <w:spacing w:line="360" w:lineRule="auto"/>
        <w:rPr>
          <w:rFonts w:hint="default" w:hAnsi="宋体"/>
          <w:sz w:val="24"/>
          <w:szCs w:val="24"/>
        </w:rPr>
      </w:pPr>
      <w:r>
        <w:rPr>
          <w:rFonts w:hAnsi="宋体"/>
          <w:sz w:val="24"/>
          <w:szCs w:val="24"/>
        </w:rPr>
        <w:t>　　八、本规定由工业和信息化部、国家统计局会同有关部门根据《国民经济行业分类》修订情况和企业发展变化情况适时修订。</w:t>
      </w:r>
    </w:p>
    <w:p>
      <w:pPr>
        <w:pStyle w:val="22"/>
        <w:spacing w:line="360" w:lineRule="auto"/>
        <w:rPr>
          <w:rFonts w:hint="default" w:hAnsi="宋体"/>
          <w:sz w:val="24"/>
          <w:szCs w:val="24"/>
        </w:rPr>
      </w:pPr>
      <w:r>
        <w:rPr>
          <w:rFonts w:hAnsi="宋体"/>
          <w:sz w:val="24"/>
          <w:szCs w:val="24"/>
        </w:rPr>
        <w:t>　　九、本规定由工业和信息化部、国家统计局会同有关部门负责解释。</w:t>
      </w:r>
    </w:p>
    <w:p>
      <w:pPr>
        <w:pStyle w:val="22"/>
        <w:spacing w:line="360" w:lineRule="auto"/>
        <w:rPr>
          <w:rFonts w:hint="default" w:hAnsi="宋体"/>
          <w:sz w:val="24"/>
          <w:szCs w:val="24"/>
        </w:rPr>
      </w:pPr>
      <w:r>
        <w:rPr>
          <w:rFonts w:hAnsi="宋体"/>
          <w:sz w:val="24"/>
          <w:szCs w:val="24"/>
        </w:rPr>
        <w:t>　　十、本规定自发布之日起执行，原国家经贸委、原国家计委、财政部和国家统计局2003年颁布的《中小企业标准暂行规定》同时废止。</w:t>
      </w:r>
    </w:p>
    <w:p>
      <w:pPr>
        <w:pStyle w:val="39"/>
        <w:ind w:firstLine="420"/>
      </w:pPr>
    </w:p>
    <w:p>
      <w:pPr>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55"/>
              <w:jc w:val="center"/>
              <w:rPr>
                <w:sz w:val="24"/>
              </w:rPr>
            </w:pPr>
            <w:r>
              <w:rPr>
                <w:sz w:val="24"/>
              </w:rPr>
              <w:t>序号</w:t>
            </w:r>
          </w:p>
        </w:tc>
        <w:tc>
          <w:tcPr>
            <w:tcW w:w="1287" w:type="dxa"/>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vAlign w:val="center"/>
          </w:tcPr>
          <w:p>
            <w:pPr>
              <w:pStyle w:val="255"/>
              <w:jc w:val="center"/>
              <w:rPr>
                <w:sz w:val="24"/>
              </w:rPr>
            </w:pPr>
            <w:r>
              <w:rPr>
                <w:sz w:val="24"/>
              </w:rPr>
              <w:t>资质等级</w:t>
            </w:r>
          </w:p>
        </w:tc>
        <w:tc>
          <w:tcPr>
            <w:tcW w:w="1558" w:type="dxa"/>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vAlign w:val="center"/>
          </w:tcPr>
          <w:p>
            <w:pPr>
              <w:pStyle w:val="255"/>
              <w:jc w:val="center"/>
              <w:rPr>
                <w:b/>
                <w:sz w:val="24"/>
                <w:lang w:eastAsia="zh-CN"/>
              </w:rPr>
            </w:pPr>
            <w:r>
              <w:rPr>
                <w:sz w:val="24"/>
                <w:lang w:eastAsia="zh-CN"/>
              </w:rPr>
              <w:t>占</w:t>
            </w:r>
            <w:r>
              <w:rPr>
                <w:rFonts w:hint="eastAsia"/>
                <w:sz w:val="24"/>
                <w:lang w:val="en-US" w:eastAsia="zh-CN"/>
              </w:rPr>
              <w:t>合同金额</w:t>
            </w:r>
            <w:r>
              <w:rPr>
                <w:b w:val="0"/>
                <w:bCs/>
                <w:sz w:val="24"/>
                <w:lang w:eastAsia="zh-CN"/>
              </w:rPr>
              <w:t>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5"/>
              <w:jc w:val="center"/>
              <w:rPr>
                <w:rFonts w:ascii="Times New Roman"/>
                <w:sz w:val="24"/>
              </w:rPr>
            </w:pPr>
            <w:r>
              <w:rPr>
                <w:rFonts w:ascii="Times New Roman"/>
                <w:sz w:val="24"/>
              </w:rPr>
              <w:t>1</w:t>
            </w:r>
          </w:p>
        </w:tc>
        <w:tc>
          <w:tcPr>
            <w:tcW w:w="1287" w:type="dxa"/>
            <w:vAlign w:val="center"/>
          </w:tcPr>
          <w:p>
            <w:pPr>
              <w:pStyle w:val="255"/>
              <w:jc w:val="center"/>
              <w:rPr>
                <w:rFonts w:ascii="Times New Roman" w:hAnsi="Times New Roman" w:cs="Times New Roman"/>
                <w:sz w:val="30"/>
              </w:rPr>
            </w:pPr>
          </w:p>
        </w:tc>
        <w:tc>
          <w:tcPr>
            <w:tcW w:w="1513" w:type="dxa"/>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pPr>
              <w:pStyle w:val="255"/>
              <w:jc w:val="center"/>
              <w:rPr>
                <w:rFonts w:ascii="Times New Roman"/>
                <w:sz w:val="30"/>
                <w:lang w:eastAsia="zh-CN"/>
              </w:rPr>
            </w:pPr>
          </w:p>
        </w:tc>
        <w:tc>
          <w:tcPr>
            <w:tcW w:w="1558" w:type="dxa"/>
            <w:vAlign w:val="center"/>
          </w:tcPr>
          <w:p>
            <w:pPr>
              <w:pStyle w:val="255"/>
              <w:jc w:val="center"/>
              <w:rPr>
                <w:rFonts w:ascii="Times New Roman"/>
                <w:sz w:val="30"/>
                <w:lang w:eastAsia="zh-CN"/>
              </w:rPr>
            </w:pPr>
          </w:p>
        </w:tc>
        <w:tc>
          <w:tcPr>
            <w:tcW w:w="1498" w:type="dxa"/>
            <w:vAlign w:val="center"/>
          </w:tcPr>
          <w:p>
            <w:pPr>
              <w:pStyle w:val="255"/>
              <w:jc w:val="center"/>
              <w:rPr>
                <w:rFonts w:ascii="Times New Roman"/>
                <w:sz w:val="30"/>
                <w:lang w:eastAsia="zh-CN"/>
              </w:rPr>
            </w:pPr>
          </w:p>
        </w:tc>
        <w:tc>
          <w:tcPr>
            <w:tcW w:w="1564" w:type="dxa"/>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5"/>
              <w:jc w:val="center"/>
              <w:rPr>
                <w:rFonts w:ascii="Times New Roman"/>
                <w:sz w:val="24"/>
                <w:lang w:eastAsia="zh-CN"/>
              </w:rPr>
            </w:pPr>
            <w:r>
              <w:rPr>
                <w:rFonts w:hint="eastAsia" w:ascii="Times New Roman"/>
                <w:sz w:val="24"/>
                <w:lang w:eastAsia="zh-CN"/>
              </w:rPr>
              <w:t>2</w:t>
            </w:r>
          </w:p>
        </w:tc>
        <w:tc>
          <w:tcPr>
            <w:tcW w:w="1287" w:type="dxa"/>
            <w:vAlign w:val="center"/>
          </w:tcPr>
          <w:p>
            <w:pPr>
              <w:pStyle w:val="255"/>
              <w:jc w:val="center"/>
              <w:rPr>
                <w:rFonts w:ascii="Times New Roman"/>
                <w:sz w:val="30"/>
              </w:rPr>
            </w:pPr>
          </w:p>
        </w:tc>
        <w:tc>
          <w:tcPr>
            <w:tcW w:w="1513" w:type="dxa"/>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pPr>
              <w:pStyle w:val="255"/>
              <w:jc w:val="center"/>
              <w:rPr>
                <w:rFonts w:ascii="Times New Roman"/>
                <w:sz w:val="30"/>
                <w:lang w:eastAsia="zh-CN"/>
              </w:rPr>
            </w:pPr>
          </w:p>
        </w:tc>
        <w:tc>
          <w:tcPr>
            <w:tcW w:w="1558" w:type="dxa"/>
            <w:vAlign w:val="center"/>
          </w:tcPr>
          <w:p>
            <w:pPr>
              <w:pStyle w:val="255"/>
              <w:jc w:val="center"/>
              <w:rPr>
                <w:rFonts w:ascii="Times New Roman"/>
                <w:sz w:val="30"/>
                <w:lang w:eastAsia="zh-CN"/>
              </w:rPr>
            </w:pPr>
          </w:p>
        </w:tc>
        <w:tc>
          <w:tcPr>
            <w:tcW w:w="1498" w:type="dxa"/>
            <w:vAlign w:val="center"/>
          </w:tcPr>
          <w:p>
            <w:pPr>
              <w:pStyle w:val="255"/>
              <w:jc w:val="center"/>
              <w:rPr>
                <w:rFonts w:ascii="Times New Roman"/>
                <w:sz w:val="30"/>
                <w:lang w:eastAsia="zh-CN"/>
              </w:rPr>
            </w:pPr>
          </w:p>
        </w:tc>
        <w:tc>
          <w:tcPr>
            <w:tcW w:w="1564" w:type="dxa"/>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5"/>
              <w:jc w:val="center"/>
              <w:rPr>
                <w:rFonts w:ascii="Times New Roman"/>
                <w:sz w:val="24"/>
                <w:lang w:eastAsia="zh-CN"/>
              </w:rPr>
            </w:pPr>
            <w:r>
              <w:rPr>
                <w:rFonts w:ascii="Times New Roman"/>
                <w:sz w:val="24"/>
                <w:lang w:eastAsia="zh-CN"/>
              </w:rPr>
              <w:t>…</w:t>
            </w:r>
          </w:p>
        </w:tc>
        <w:tc>
          <w:tcPr>
            <w:tcW w:w="1287" w:type="dxa"/>
            <w:vAlign w:val="center"/>
          </w:tcPr>
          <w:p>
            <w:pPr>
              <w:pStyle w:val="255"/>
              <w:jc w:val="center"/>
              <w:rPr>
                <w:rFonts w:ascii="Times New Roman"/>
                <w:sz w:val="30"/>
              </w:rPr>
            </w:pPr>
          </w:p>
        </w:tc>
        <w:tc>
          <w:tcPr>
            <w:tcW w:w="1513" w:type="dxa"/>
            <w:vAlign w:val="center"/>
          </w:tcPr>
          <w:p>
            <w:pPr>
              <w:pStyle w:val="255"/>
              <w:tabs>
                <w:tab w:val="left" w:pos="235"/>
              </w:tabs>
              <w:jc w:val="center"/>
              <w:rPr>
                <w:sz w:val="24"/>
              </w:rPr>
            </w:pPr>
          </w:p>
        </w:tc>
        <w:tc>
          <w:tcPr>
            <w:tcW w:w="1125" w:type="dxa"/>
            <w:vAlign w:val="center"/>
          </w:tcPr>
          <w:p>
            <w:pPr>
              <w:pStyle w:val="255"/>
              <w:jc w:val="center"/>
              <w:rPr>
                <w:rFonts w:ascii="Times New Roman"/>
                <w:sz w:val="30"/>
              </w:rPr>
            </w:pPr>
          </w:p>
        </w:tc>
        <w:tc>
          <w:tcPr>
            <w:tcW w:w="1558" w:type="dxa"/>
            <w:vAlign w:val="center"/>
          </w:tcPr>
          <w:p>
            <w:pPr>
              <w:pStyle w:val="255"/>
              <w:jc w:val="center"/>
              <w:rPr>
                <w:rFonts w:ascii="Times New Roman"/>
                <w:sz w:val="30"/>
              </w:rPr>
            </w:pPr>
          </w:p>
        </w:tc>
        <w:tc>
          <w:tcPr>
            <w:tcW w:w="1498" w:type="dxa"/>
            <w:vAlign w:val="center"/>
          </w:tcPr>
          <w:p>
            <w:pPr>
              <w:pStyle w:val="255"/>
              <w:jc w:val="center"/>
              <w:rPr>
                <w:rFonts w:ascii="Times New Roman"/>
                <w:sz w:val="30"/>
              </w:rPr>
            </w:pPr>
          </w:p>
        </w:tc>
        <w:tc>
          <w:tcPr>
            <w:tcW w:w="1564" w:type="dxa"/>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55"/>
              <w:ind w:right="57" w:rightChars="27"/>
              <w:jc w:val="right"/>
              <w:rPr>
                <w:sz w:val="24"/>
                <w:lang w:eastAsia="zh-CN"/>
              </w:rPr>
            </w:pPr>
            <w:r>
              <w:rPr>
                <w:rFonts w:hint="eastAsia"/>
                <w:sz w:val="24"/>
                <w:lang w:eastAsia="zh-CN"/>
              </w:rPr>
              <w:t>合计：</w:t>
            </w:r>
          </w:p>
        </w:tc>
        <w:tc>
          <w:tcPr>
            <w:tcW w:w="1498" w:type="dxa"/>
            <w:vAlign w:val="center"/>
          </w:tcPr>
          <w:p>
            <w:pPr>
              <w:pStyle w:val="255"/>
              <w:jc w:val="center"/>
              <w:rPr>
                <w:rFonts w:ascii="Times New Roman"/>
                <w:sz w:val="30"/>
              </w:rPr>
            </w:pPr>
          </w:p>
        </w:tc>
        <w:tc>
          <w:tcPr>
            <w:tcW w:w="1564" w:type="dxa"/>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（1）本表仅在投标人“为落实政府采购政策”而向中小企业分包时填写，非因“为落实政府采购政策”而进行的分包请按照《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lang w:eastAsia="zh-CN"/>
        </w:rPr>
        <w:t>复印件</w:t>
      </w:r>
      <w:r>
        <w:rPr>
          <w:sz w:val="24"/>
        </w:rPr>
        <w:t>，否则</w:t>
      </w:r>
      <w:r>
        <w:rPr>
          <w:b/>
          <w:sz w:val="24"/>
        </w:rPr>
        <w:t>投标无效</w:t>
      </w:r>
      <w:r>
        <w:rPr>
          <w:sz w:val="24"/>
        </w:rPr>
        <w:t>。</w:t>
      </w:r>
    </w:p>
    <w:p>
      <w:pPr>
        <w:adjustRightInd w:val="0"/>
        <w:snapToGrid w:val="0"/>
        <w:spacing w:line="360" w:lineRule="auto"/>
        <w:jc w:val="left"/>
        <w:rPr>
          <w:color w:val="000000"/>
          <w:sz w:val="30"/>
          <w:szCs w:val="30"/>
        </w:rPr>
      </w:pPr>
      <w:r>
        <w:rPr>
          <w:sz w:val="24"/>
        </w:rPr>
        <w:t>（3）投标人与上述拟分包承担主体签署的《分包意向协议》后附。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8" w:type="first"/>
          <w:footerReference r:id="rId21" w:type="first"/>
          <w:headerReference r:id="rId16" w:type="default"/>
          <w:footerReference r:id="rId19" w:type="default"/>
          <w:headerReference r:id="rId17" w:type="even"/>
          <w:footerReference r:id="rId20" w:type="even"/>
          <w:pgSz w:w="11907" w:h="16840"/>
          <w:pgMar w:top="1418" w:right="1134" w:bottom="1418" w:left="1701" w:header="851" w:footer="851" w:gutter="0"/>
          <w:cols w:space="720" w:num="1"/>
          <w:docGrid w:linePitch="462" w:charSpace="0"/>
        </w:sectPr>
      </w:pPr>
      <w:r>
        <w:rPr>
          <w:color w:val="000000"/>
          <w:sz w:val="24"/>
        </w:rPr>
        <w:t>说明：投标人须与所有拟分包单位分别签订《分包意向协议》，每单位签订一份，并在投标文件中提交全部协议原件，否则</w:t>
      </w:r>
      <w:r>
        <w:rPr>
          <w:b/>
          <w:color w:val="000000"/>
          <w:sz w:val="24"/>
        </w:rPr>
        <w:t>投标无效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5"/>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5"/>
        </w:numPr>
        <w:spacing w:line="360" w:lineRule="auto"/>
        <w:rPr>
          <w:bCs/>
          <w:color w:val="000000"/>
          <w:sz w:val="24"/>
        </w:rPr>
      </w:pP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5"/>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5"/>
        </w:numPr>
        <w:spacing w:line="360" w:lineRule="auto"/>
        <w:rPr>
          <w:bCs/>
          <w:color w:val="000000"/>
          <w:sz w:val="24"/>
        </w:rPr>
      </w:pPr>
      <w:r>
        <w:rPr>
          <w:bCs/>
          <w:color w:val="000000"/>
          <w:sz w:val="24"/>
        </w:rPr>
        <w:t>牵头人为项目的总负责单位；组织各参加方进行项目实施工作。</w:t>
      </w:r>
    </w:p>
    <w:p>
      <w:pPr>
        <w:numPr>
          <w:ilvl w:val="0"/>
          <w:numId w:val="15"/>
        </w:numPr>
        <w:spacing w:line="360" w:lineRule="auto"/>
        <w:rPr>
          <w:bCs/>
          <w:color w:val="000000"/>
          <w:sz w:val="24"/>
        </w:rPr>
      </w:pPr>
      <w:r>
        <w:rPr>
          <w:bCs/>
          <w:color w:val="000000"/>
          <w:sz w:val="24"/>
        </w:rPr>
        <w:t>______负责_____，具体工作范围、内容以投标文件及合同为准。</w:t>
      </w:r>
    </w:p>
    <w:p>
      <w:pPr>
        <w:numPr>
          <w:ilvl w:val="0"/>
          <w:numId w:val="15"/>
        </w:numPr>
        <w:spacing w:line="360" w:lineRule="auto"/>
        <w:rPr>
          <w:bCs/>
          <w:color w:val="000000"/>
          <w:sz w:val="24"/>
        </w:rPr>
      </w:pPr>
      <w:r>
        <w:rPr>
          <w:bCs/>
          <w:color w:val="000000"/>
          <w:sz w:val="24"/>
        </w:rPr>
        <w:t>______负责_____，具体工作范围、内容以投标文件及合同为准。</w:t>
      </w:r>
    </w:p>
    <w:p>
      <w:pPr>
        <w:numPr>
          <w:ilvl w:val="0"/>
          <w:numId w:val="15"/>
        </w:numPr>
        <w:spacing w:line="360" w:lineRule="auto"/>
        <w:rPr>
          <w:bCs/>
          <w:color w:val="000000"/>
          <w:sz w:val="24"/>
        </w:rPr>
      </w:pPr>
      <w:r>
        <w:rPr>
          <w:bCs/>
          <w:color w:val="000000"/>
          <w:sz w:val="24"/>
        </w:rPr>
        <w:t>______负责_____（如有），具体工作范围、内容以投标文件及合同为准。</w:t>
      </w:r>
    </w:p>
    <w:p>
      <w:pPr>
        <w:numPr>
          <w:ilvl w:val="0"/>
          <w:numId w:val="15"/>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5"/>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5"/>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b/>
          <w:bCs/>
          <w:sz w:val="24"/>
          <w:szCs w:val="20"/>
        </w:rPr>
      </w:pPr>
      <w:r>
        <w:rPr>
          <w:b/>
          <w:bCs/>
          <w:color w:val="000000"/>
          <w:sz w:val="24"/>
          <w:szCs w:val="20"/>
        </w:rPr>
        <w:t>3-2其他</w:t>
      </w:r>
      <w:r>
        <w:rPr>
          <w:b/>
          <w:bCs/>
          <w:sz w:val="24"/>
          <w:szCs w:val="20"/>
        </w:rPr>
        <w:t>特定资格要求</w:t>
      </w:r>
    </w:p>
    <w:p>
      <w:pPr>
        <w:rPr>
          <w:b/>
          <w:bCs/>
          <w:sz w:val="24"/>
          <w:szCs w:val="20"/>
          <w:u w:val="single"/>
        </w:rPr>
      </w:pPr>
    </w:p>
    <w:p>
      <w:pPr>
        <w:rPr>
          <w:b/>
          <w:bCs/>
          <w:sz w:val="24"/>
          <w:szCs w:val="20"/>
          <w:u w:val="single"/>
        </w:rPr>
      </w:pPr>
    </w:p>
    <w:p>
      <w:pPr>
        <w:rPr>
          <w:sz w:val="24"/>
          <w:szCs w:val="20"/>
        </w:rPr>
      </w:pPr>
      <w:r>
        <w:rPr>
          <w:sz w:val="24"/>
          <w:szCs w:val="20"/>
        </w:rPr>
        <w:br w:type="page"/>
      </w:r>
    </w:p>
    <w:p>
      <w:pPr>
        <w:spacing w:line="360" w:lineRule="auto"/>
        <w:outlineLvl w:val="2"/>
        <w:rPr>
          <w:rFonts w:hint="eastAsia" w:eastAsia="宋体"/>
          <w:sz w:val="24"/>
          <w:szCs w:val="20"/>
          <w:lang w:eastAsia="zh-CN"/>
        </w:rPr>
      </w:pP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w:t>
      </w:r>
      <w:r>
        <w:rPr>
          <w:rFonts w:hint="eastAsia"/>
          <w:color w:val="000000"/>
          <w:sz w:val="24"/>
          <w:szCs w:val="20"/>
          <w:lang w:eastAsia="zh-CN"/>
        </w:rPr>
        <w:t>复印件</w:t>
      </w:r>
    </w:p>
    <w:p>
      <w:pPr>
        <w:spacing w:line="360" w:lineRule="auto"/>
        <w:ind w:firstLine="480" w:firstLineChars="200"/>
        <w:rPr>
          <w:sz w:val="24"/>
        </w:rPr>
      </w:pPr>
      <w:r>
        <w:rPr>
          <w:rFonts w:hint="eastAsia"/>
          <w:sz w:val="24"/>
        </w:rPr>
        <w:t>此投标保证金或其交纳凭据</w:t>
      </w:r>
      <w:r>
        <w:rPr>
          <w:sz w:val="24"/>
        </w:rPr>
        <w:t>/</w:t>
      </w:r>
      <w:r>
        <w:rPr>
          <w:rFonts w:hint="eastAsia"/>
          <w:sz w:val="24"/>
        </w:rPr>
        <w:t>证明的复印件还应密封后在开标时单独递交以供开标时唱标用。</w:t>
      </w:r>
    </w:p>
    <w:p>
      <w:pPr>
        <w:spacing w:line="360" w:lineRule="auto"/>
        <w:rPr>
          <w:sz w:val="24"/>
          <w:szCs w:val="20"/>
        </w:rPr>
      </w:pPr>
    </w:p>
    <w:p>
      <w:pPr>
        <w:spacing w:line="360" w:lineRule="auto"/>
        <w:rPr>
          <w:sz w:val="24"/>
          <w:szCs w:val="20"/>
        </w:rPr>
      </w:pPr>
    </w:p>
    <w:p>
      <w:pPr>
        <w:pStyle w:val="5"/>
        <w:rPr>
          <w:rFonts w:hint="eastAsia" w:eastAsia="宋体"/>
          <w:sz w:val="21"/>
          <w:szCs w:val="21"/>
          <w:u w:val="none"/>
          <w:lang w:eastAsia="zh-CN"/>
        </w:rPr>
      </w:pPr>
      <w:r>
        <w:br w:type="page"/>
      </w:r>
      <w:bookmarkStart w:id="789" w:name="_Toc2172"/>
      <w:r>
        <w:rPr>
          <w:rFonts w:hint="eastAsia"/>
          <w:sz w:val="21"/>
          <w:szCs w:val="21"/>
          <w:u w:val="none"/>
        </w:rPr>
        <w:t>5.</w:t>
      </w:r>
      <w:bookmarkEnd w:id="789"/>
      <w:r>
        <w:rPr>
          <w:rFonts w:hint="eastAsia"/>
          <w:sz w:val="21"/>
          <w:szCs w:val="21"/>
          <w:u w:val="none"/>
          <w:lang w:eastAsia="zh-CN"/>
        </w:rPr>
        <w:t>代理费承诺书</w:t>
      </w:r>
    </w:p>
    <w:p>
      <w:pPr>
        <w:pStyle w:val="4"/>
        <w:spacing w:line="360" w:lineRule="auto"/>
        <w:rPr>
          <w:rFonts w:hAnsi="宋体"/>
          <w:sz w:val="21"/>
          <w:szCs w:val="21"/>
        </w:rPr>
      </w:pPr>
    </w:p>
    <w:p>
      <w:pPr>
        <w:pStyle w:val="4"/>
        <w:spacing w:line="360" w:lineRule="auto"/>
        <w:ind w:firstLine="0"/>
        <w:jc w:val="center"/>
        <w:rPr>
          <w:rFonts w:hint="eastAsia" w:hAnsi="宋体" w:eastAsia="宋体"/>
          <w:b/>
          <w:sz w:val="21"/>
          <w:szCs w:val="21"/>
          <w:lang w:eastAsia="zh-CN"/>
        </w:rPr>
      </w:pPr>
      <w:r>
        <w:rPr>
          <w:rFonts w:hint="eastAsia" w:hAnsi="宋体"/>
          <w:b/>
          <w:sz w:val="21"/>
          <w:szCs w:val="21"/>
          <w:lang w:eastAsia="zh-CN"/>
        </w:rPr>
        <w:t>代理费承诺书</w:t>
      </w:r>
    </w:p>
    <w:p>
      <w:pPr>
        <w:pStyle w:val="22"/>
        <w:spacing w:line="360" w:lineRule="auto"/>
        <w:ind w:firstLine="5760" w:firstLineChars="2400"/>
        <w:rPr>
          <w:rFonts w:hint="default" w:hAnsi="宋体"/>
          <w:sz w:val="24"/>
          <w:szCs w:val="24"/>
        </w:rPr>
      </w:pPr>
      <w:r>
        <w:rPr>
          <w:rFonts w:hAnsi="宋体"/>
          <w:sz w:val="24"/>
          <w:szCs w:val="24"/>
        </w:rPr>
        <w:tab/>
      </w:r>
      <w:r>
        <w:rPr>
          <w:rFonts w:hAnsi="宋体"/>
          <w:sz w:val="24"/>
          <w:szCs w:val="24"/>
        </w:rPr>
        <w:tab/>
      </w:r>
    </w:p>
    <w:p>
      <w:pPr>
        <w:pStyle w:val="22"/>
        <w:spacing w:line="360" w:lineRule="auto"/>
        <w:rPr>
          <w:rFonts w:hint="default" w:hAnsi="宋体"/>
          <w:sz w:val="24"/>
          <w:szCs w:val="24"/>
        </w:rPr>
      </w:pPr>
      <w:r>
        <w:rPr>
          <w:rFonts w:hAnsi="宋体"/>
          <w:sz w:val="24"/>
          <w:szCs w:val="24"/>
        </w:rPr>
        <w:t>致：北京明德致信咨询有限公司</w:t>
      </w:r>
    </w:p>
    <w:p>
      <w:pPr>
        <w:pStyle w:val="22"/>
        <w:spacing w:line="360" w:lineRule="auto"/>
        <w:ind w:firstLine="480" w:firstLineChars="200"/>
        <w:rPr>
          <w:rFonts w:hint="default" w:hAnsi="宋体"/>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项目招标中若获中标（项目编号：</w:t>
      </w:r>
      <w:r>
        <w:rPr>
          <w:rFonts w:hAnsi="宋体"/>
          <w:sz w:val="24"/>
          <w:szCs w:val="24"/>
          <w:u w:val="single"/>
        </w:rPr>
        <w:tab/>
      </w:r>
      <w:r>
        <w:rPr>
          <w:rFonts w:hAnsi="宋体"/>
          <w:sz w:val="24"/>
          <w:szCs w:val="24"/>
          <w:u w:val="single"/>
        </w:rPr>
        <w:tab/>
      </w:r>
      <w:r>
        <w:rPr>
          <w:rFonts w:hAnsi="宋体"/>
          <w:sz w:val="24"/>
          <w:szCs w:val="24"/>
        </w:rPr>
        <w:t>），我们保证在领取中标通知书的同时按招标文件的规定，以支票、汇票或现金的方式向贵公司即北京明德致信咨询有限公司一次性支付应该交纳的中标服务费用。收费标准依据招标文件的规定。特此承诺！</w:t>
      </w:r>
    </w:p>
    <w:p>
      <w:pPr>
        <w:pStyle w:val="22"/>
        <w:tabs>
          <w:tab w:val="left" w:pos="5580"/>
        </w:tabs>
        <w:spacing w:before="120" w:line="360" w:lineRule="auto"/>
        <w:rPr>
          <w:rFonts w:hint="default" w:hAnsi="宋体"/>
          <w:sz w:val="24"/>
          <w:szCs w:val="24"/>
        </w:rPr>
      </w:pPr>
    </w:p>
    <w:p>
      <w:pPr>
        <w:pStyle w:val="22"/>
        <w:tabs>
          <w:tab w:val="left" w:pos="5580"/>
        </w:tabs>
        <w:spacing w:before="120" w:line="360" w:lineRule="auto"/>
        <w:rPr>
          <w:rFonts w:hint="default" w:hAnsi="宋体"/>
          <w:sz w:val="24"/>
          <w:szCs w:val="24"/>
        </w:rPr>
      </w:pPr>
    </w:p>
    <w:p>
      <w:pPr>
        <w:pStyle w:val="22"/>
        <w:tabs>
          <w:tab w:val="left" w:pos="5580"/>
        </w:tabs>
        <w:spacing w:before="120" w:line="360" w:lineRule="auto"/>
        <w:rPr>
          <w:rFonts w:hint="default" w:hAnsi="宋体"/>
          <w:sz w:val="24"/>
          <w:szCs w:val="24"/>
        </w:rPr>
      </w:pPr>
    </w:p>
    <w:p>
      <w:pPr>
        <w:pStyle w:val="22"/>
        <w:tabs>
          <w:tab w:val="left" w:pos="5580"/>
        </w:tabs>
        <w:spacing w:line="360" w:lineRule="auto"/>
        <w:ind w:firstLine="480" w:firstLineChars="200"/>
        <w:rPr>
          <w:rFonts w:hint="default" w:hAnsi="宋体"/>
          <w:sz w:val="24"/>
          <w:szCs w:val="24"/>
        </w:rPr>
      </w:pPr>
      <w:r>
        <w:rPr>
          <w:rFonts w:hAnsi="宋体"/>
          <w:sz w:val="24"/>
          <w:szCs w:val="24"/>
        </w:rPr>
        <w:t xml:space="preserve">投标人名称（盖章）：                       </w:t>
      </w:r>
    </w:p>
    <w:p>
      <w:pPr>
        <w:pStyle w:val="22"/>
        <w:tabs>
          <w:tab w:val="left" w:pos="5580"/>
        </w:tabs>
        <w:spacing w:line="360" w:lineRule="auto"/>
        <w:ind w:firstLine="480" w:firstLineChars="200"/>
        <w:rPr>
          <w:rFonts w:hint="default" w:hAnsi="宋体"/>
          <w:sz w:val="24"/>
          <w:szCs w:val="24"/>
        </w:rPr>
      </w:pPr>
      <w:r>
        <w:rPr>
          <w:rFonts w:hAnsi="宋体"/>
          <w:sz w:val="24"/>
          <w:szCs w:val="24"/>
        </w:rPr>
        <w:t>投标人授权代表(签字):</w:t>
      </w:r>
    </w:p>
    <w:p>
      <w:pPr>
        <w:spacing w:line="360" w:lineRule="auto"/>
        <w:ind w:firstLine="480" w:firstLineChars="200"/>
        <w:rPr>
          <w:rFonts w:ascii="宋体" w:hAnsi="宋体"/>
          <w:sz w:val="24"/>
        </w:rPr>
      </w:pPr>
      <w:r>
        <w:rPr>
          <w:rFonts w:hint="eastAsia" w:ascii="宋体" w:hAnsi="宋体"/>
          <w:sz w:val="24"/>
        </w:rPr>
        <w:t>日期：</w:t>
      </w:r>
    </w:p>
    <w:p>
      <w:pPr>
        <w:pStyle w:val="22"/>
        <w:spacing w:line="360" w:lineRule="auto"/>
        <w:rPr>
          <w:rFonts w:hint="default" w:hAnsi="宋体"/>
          <w:szCs w:val="21"/>
        </w:rPr>
      </w:pPr>
    </w:p>
    <w:p>
      <w:pPr>
        <w:spacing w:line="360" w:lineRule="auto"/>
        <w:rPr>
          <w:rFonts w:ascii="宋体" w:hAnsi="宋体"/>
          <w:sz w:val="24"/>
        </w:rPr>
      </w:pPr>
      <w:r>
        <w:rPr>
          <w:sz w:val="24"/>
          <w:szCs w:val="20"/>
        </w:rPr>
        <w:br w:type="page"/>
      </w: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ascii="宋体" w:hAnsi="宋体"/>
          <w:b/>
          <w:spacing w:val="60"/>
          <w:sz w:val="84"/>
          <w:szCs w:val="84"/>
        </w:rPr>
        <w:t>投 标 文 件</w:t>
      </w: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ascii="宋体" w:hAnsi="宋体"/>
          <w:b/>
          <w:spacing w:val="20"/>
          <w:sz w:val="32"/>
          <w:szCs w:val="32"/>
        </w:rPr>
        <w:t>投标人名称：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790" w:name="_Hlt520355504"/>
      <w:bookmarkEnd w:id="790"/>
      <w:bookmarkStart w:id="791" w:name="_Hlt520274065"/>
      <w:bookmarkEnd w:id="791"/>
      <w:bookmarkStart w:id="792" w:name="_Hlt520274121"/>
      <w:bookmarkEnd w:id="792"/>
      <w:bookmarkStart w:id="793" w:name="_Hlt520350918"/>
      <w:bookmarkEnd w:id="793"/>
      <w:bookmarkStart w:id="794" w:name="_Hlt520274407"/>
      <w:bookmarkEnd w:id="794"/>
      <w:bookmarkStart w:id="795" w:name="_Hlt520271212"/>
      <w:bookmarkEnd w:id="795"/>
      <w:bookmarkStart w:id="796" w:name="_Hlt520343000"/>
      <w:bookmarkEnd w:id="796"/>
      <w:bookmarkStart w:id="797" w:name="_Hlt520274393"/>
      <w:bookmarkEnd w:id="797"/>
      <w:bookmarkStart w:id="798" w:name="_Hlt520343392"/>
      <w:bookmarkEnd w:id="798"/>
      <w:bookmarkStart w:id="799" w:name="_Hlt520273711"/>
      <w:bookmarkEnd w:id="799"/>
      <w:bookmarkStart w:id="800" w:name="_Ref467988698"/>
      <w:bookmarkStart w:id="801" w:name="_Toc480942349"/>
      <w:bookmarkStart w:id="802" w:name="_Toc226309800"/>
      <w:bookmarkStart w:id="803" w:name="_Toc142311058"/>
      <w:bookmarkStart w:id="804" w:name="_Toc195842921"/>
      <w:bookmarkStart w:id="805" w:name="_Toc226965746"/>
      <w:bookmarkStart w:id="806" w:name="_Toc226337252"/>
      <w:bookmarkStart w:id="807" w:name="_Toc226965829"/>
      <w:bookmarkStart w:id="808" w:name="_Toc150774761"/>
      <w:bookmarkStart w:id="809" w:name="_Toc520356217"/>
      <w:bookmarkStart w:id="810" w:name="_Toc150480794"/>
      <w:bookmarkStart w:id="811" w:name="_Toc127151556"/>
      <w:r>
        <w:rPr>
          <w:rFonts w:ascii="宋体" w:hAnsi="宋体"/>
          <w:color w:val="000000"/>
          <w:sz w:val="24"/>
        </w:rPr>
        <w:t>1投标</w:t>
      </w:r>
      <w:bookmarkEnd w:id="800"/>
      <w:bookmarkEnd w:id="801"/>
      <w:r>
        <w:rPr>
          <w:rFonts w:ascii="宋体" w:hAnsi="宋体"/>
          <w:color w:val="000000"/>
          <w:sz w:val="24"/>
        </w:rPr>
        <w:t>书</w:t>
      </w:r>
      <w:bookmarkEnd w:id="802"/>
      <w:bookmarkEnd w:id="803"/>
      <w:bookmarkEnd w:id="804"/>
      <w:bookmarkEnd w:id="805"/>
      <w:bookmarkEnd w:id="806"/>
      <w:bookmarkEnd w:id="807"/>
      <w:bookmarkEnd w:id="808"/>
      <w:bookmarkEnd w:id="809"/>
      <w:bookmarkEnd w:id="810"/>
      <w:bookmarkEnd w:id="811"/>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投标书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（1）本投标有效期为自提交投标文件的截止之日起</w:t>
      </w:r>
      <w:r>
        <w:rPr>
          <w:rFonts w:hint="eastAsia" w:ascii="宋体" w:hAnsi="宋体"/>
          <w:sz w:val="24"/>
          <w:u w:val="single"/>
          <w:lang w:val="en-US" w:eastAsia="zh-CN"/>
        </w:rPr>
        <w:t>90</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与本投标有关的一切正式往来信函请寄：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812" w:name="_Hlt520356243"/>
      <w:bookmarkEnd w:id="812"/>
      <w:bookmarkStart w:id="813" w:name="_Hlt520355938"/>
      <w:bookmarkEnd w:id="813"/>
      <w:bookmarkStart w:id="814" w:name="_Toc226337253"/>
      <w:bookmarkStart w:id="815" w:name="_Toc150480795"/>
      <w:bookmarkStart w:id="816" w:name="_Toc226965747"/>
      <w:bookmarkStart w:id="817" w:name="_Toc520356218"/>
      <w:bookmarkStart w:id="818" w:name="_Toc150774762"/>
      <w:bookmarkStart w:id="819" w:name="_Toc265228395"/>
      <w:bookmarkStart w:id="820" w:name="_Toc127151557"/>
      <w:bookmarkStart w:id="821" w:name="_Toc305158899"/>
      <w:bookmarkStart w:id="822" w:name="_Toc305158825"/>
      <w:bookmarkStart w:id="823" w:name="_Toc226309801"/>
      <w:bookmarkStart w:id="824" w:name="_Toc142311059"/>
      <w:bookmarkStart w:id="825" w:name="_Toc195842922"/>
      <w:bookmarkStart w:id="826" w:name="_Toc264969247"/>
      <w:bookmarkStart w:id="827" w:name="_Toc480942350"/>
      <w:bookmarkStart w:id="828" w:name="_Ref467988705"/>
      <w:bookmarkStart w:id="829" w:name="_Toc226965830"/>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投标文件和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w:t>
      </w:r>
      <w:r>
        <w:rPr>
          <w:rFonts w:hint="eastAsia" w:ascii="宋体" w:hAnsi="宋体"/>
          <w:color w:val="000000"/>
          <w:sz w:val="24"/>
          <w:szCs w:val="20"/>
        </w:rPr>
        <w:t>签字或盖章）</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hint="eastAsia" w:ascii="宋体" w:hAnsi="宋体"/>
          <w:color w:val="000000"/>
          <w:sz w:val="24"/>
          <w:szCs w:val="20"/>
          <w:lang w:eastAsia="zh-CN"/>
        </w:rPr>
        <w:t>、</w:t>
      </w:r>
      <w:r>
        <w:rPr>
          <w:rFonts w:hint="eastAsia" w:ascii="宋体" w:hAnsi="宋体"/>
          <w:color w:val="000000"/>
          <w:sz w:val="24"/>
          <w:szCs w:val="20"/>
          <w:lang w:val="en-US" w:eastAsia="zh-CN"/>
        </w:rPr>
        <w:t>护照等身份证明文件</w:t>
      </w:r>
      <w:r>
        <w:rPr>
          <w:rFonts w:hint="eastAsia" w:ascii="宋体" w:hAnsi="宋体"/>
          <w:color w:val="000000"/>
          <w:sz w:val="24"/>
          <w:szCs w:val="20"/>
          <w:lang w:eastAsia="zh-CN"/>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hint="eastAsia" w:ascii="宋体" w:hAnsi="宋体"/>
          <w:color w:val="000000"/>
          <w:sz w:val="24"/>
          <w:szCs w:val="20"/>
          <w:lang w:eastAsia="zh-CN"/>
        </w:rPr>
        <w:t>、</w:t>
      </w:r>
      <w:r>
        <w:rPr>
          <w:rFonts w:hint="eastAsia" w:ascii="宋体" w:hAnsi="宋体"/>
          <w:color w:val="000000"/>
          <w:sz w:val="24"/>
          <w:szCs w:val="20"/>
          <w:lang w:val="en-US" w:eastAsia="zh-CN"/>
        </w:rPr>
        <w:t>护照等身份证明文件</w:t>
      </w:r>
      <w:r>
        <w:rPr>
          <w:rFonts w:hint="eastAsia" w:ascii="宋体" w:hAnsi="宋体"/>
          <w:color w:val="000000"/>
          <w:sz w:val="24"/>
          <w:szCs w:val="20"/>
          <w:lang w:eastAsia="zh-CN"/>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招标</w:t>
      </w:r>
      <w:r>
        <w:rPr>
          <w:rFonts w:ascii="宋体" w:hAnsi="宋体"/>
          <w:color w:val="000000"/>
          <w:sz w:val="24"/>
          <w:szCs w:val="20"/>
        </w:rPr>
        <w:t>文件注明允许分支机构</w:t>
      </w:r>
      <w:r>
        <w:rPr>
          <w:rFonts w:hint="eastAsia" w:ascii="宋体" w:hAnsi="宋体"/>
          <w:color w:val="000000"/>
          <w:sz w:val="24"/>
          <w:szCs w:val="20"/>
        </w:rPr>
        <w:t>投标</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投标</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p>
    <w:p>
      <w:pPr>
        <w:tabs>
          <w:tab w:val="left" w:pos="5580"/>
        </w:tabs>
        <w:spacing w:line="360" w:lineRule="auto"/>
        <w:jc w:val="left"/>
        <w:rPr>
          <w:rFonts w:ascii="宋体" w:hAnsi="宋体"/>
          <w:color w:val="000000"/>
          <w:sz w:val="30"/>
          <w:szCs w:val="30"/>
        </w:rPr>
      </w:pPr>
      <w:r>
        <w:rPr>
          <w:rFonts w:hint="eastAsia" w:ascii="宋体" w:hAnsi="宋体"/>
          <w:color w:val="000000"/>
          <w:sz w:val="24"/>
          <w:szCs w:val="20"/>
          <w:lang w:val="en-US" w:eastAsia="zh-CN"/>
        </w:rPr>
        <w:t>4.供应商应随本《授权委托书》同时提供法定代表人(单位负责人) 及委托代理人的有效的身份证、护照等身份证明文件复印件。其中，提供身份证的，应同时提供身份证双面复印件。</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6"/>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6"/>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6"/>
        <w:tabs>
          <w:tab w:val="left" w:pos="2412"/>
          <w:tab w:val="left" w:pos="3883"/>
          <w:tab w:val="left" w:pos="5352"/>
          <w:tab w:val="left" w:pos="6821"/>
        </w:tabs>
        <w:kinsoku w:val="0"/>
        <w:overflowPunct w:val="0"/>
        <w:spacing w:line="335" w:lineRule="exact"/>
      </w:pPr>
    </w:p>
    <w:p>
      <w:pPr>
        <w:pStyle w:val="16"/>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pPr>
        <w:pStyle w:val="16"/>
        <w:tabs>
          <w:tab w:val="left" w:pos="2412"/>
          <w:tab w:val="left" w:pos="3883"/>
          <w:tab w:val="left" w:pos="5352"/>
          <w:tab w:val="left" w:pos="6821"/>
        </w:tabs>
        <w:kinsoku w:val="0"/>
        <w:overflowPunct w:val="0"/>
        <w:spacing w:line="335" w:lineRule="exact"/>
      </w:pPr>
    </w:p>
    <w:p>
      <w:pPr>
        <w:pStyle w:val="16"/>
        <w:tabs>
          <w:tab w:val="left" w:pos="2412"/>
          <w:tab w:val="left" w:pos="3883"/>
          <w:tab w:val="left" w:pos="5352"/>
          <w:tab w:val="left" w:pos="6821"/>
        </w:tabs>
        <w:kinsoku w:val="0"/>
        <w:overflowPunct w:val="0"/>
        <w:spacing w:line="335" w:lineRule="exact"/>
      </w:pPr>
    </w:p>
    <w:p>
      <w:pPr>
        <w:pStyle w:val="16"/>
        <w:tabs>
          <w:tab w:val="left" w:pos="2412"/>
          <w:tab w:val="left" w:pos="3883"/>
          <w:tab w:val="left" w:pos="5352"/>
          <w:tab w:val="left" w:pos="6821"/>
        </w:tabs>
        <w:kinsoku w:val="0"/>
        <w:overflowPunct w:val="0"/>
        <w:spacing w:line="335" w:lineRule="exact"/>
      </w:pPr>
    </w:p>
    <w:p>
      <w:pPr>
        <w:pStyle w:val="16"/>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w:t>
      </w:r>
      <w:r>
        <w:rPr>
          <w:rFonts w:ascii="宋体" w:hAnsi="宋体"/>
          <w:color w:val="000000"/>
          <w:sz w:val="24"/>
          <w:szCs w:val="20"/>
        </w:rPr>
        <w:t>身份证</w:t>
      </w:r>
      <w:r>
        <w:rPr>
          <w:rFonts w:hint="eastAsia" w:ascii="宋体" w:hAnsi="宋体"/>
          <w:color w:val="000000"/>
          <w:sz w:val="24"/>
          <w:szCs w:val="20"/>
          <w:lang w:eastAsia="zh-CN"/>
        </w:rPr>
        <w:t>、</w:t>
      </w:r>
      <w:r>
        <w:rPr>
          <w:rFonts w:hint="eastAsia" w:ascii="宋体" w:hAnsi="宋体"/>
          <w:color w:val="000000"/>
          <w:sz w:val="24"/>
          <w:szCs w:val="20"/>
          <w:lang w:val="en-US" w:eastAsia="zh-CN"/>
        </w:rPr>
        <w:t>护照等身份证明文件</w:t>
      </w:r>
      <w:r>
        <w:rPr>
          <w:rFonts w:hint="eastAsia"/>
          <w:spacing w:val="-3"/>
          <w:lang w:eastAsia="zh-CN"/>
        </w:rPr>
        <w:t>复印件</w:t>
      </w:r>
      <w:r>
        <w:rPr>
          <w:rFonts w:hint="eastAsia"/>
          <w:spacing w:val="-3"/>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6"/>
        <w:kinsoku w:val="0"/>
        <w:overflowPunct w:val="0"/>
        <w:spacing w:line="583" w:lineRule="auto"/>
        <w:ind w:right="4305"/>
        <w:rPr>
          <w:spacing w:val="-3"/>
        </w:rPr>
      </w:pPr>
    </w:p>
    <w:p>
      <w:pPr>
        <w:pStyle w:val="16"/>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pStyle w:val="16"/>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rFonts w:hint="eastAsia"/>
          <w:spacing w:val="-3"/>
          <w:lang w:val="en-US" w:eastAsia="zh-CN"/>
        </w:rPr>
        <w:t>或盖章</w:t>
      </w:r>
      <w:r>
        <w:rPr>
          <w:rFonts w:hint="eastAsia"/>
          <w:spacing w:val="-3"/>
        </w:rPr>
        <w:t>）：_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3  开标一览表</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830" w:name="_Toc305158826"/>
      <w:bookmarkStart w:id="831" w:name="_Toc226965831"/>
      <w:bookmarkStart w:id="832" w:name="_Toc164608827"/>
      <w:bookmarkStart w:id="833" w:name="_Toc164608672"/>
      <w:bookmarkStart w:id="834" w:name="_Toc226337254"/>
      <w:bookmarkStart w:id="835" w:name="_Toc195842923"/>
      <w:bookmarkStart w:id="836" w:name="_Toc265228396"/>
      <w:bookmarkStart w:id="837" w:name="_Toc264969248"/>
      <w:bookmarkStart w:id="838" w:name="_Toc226965748"/>
      <w:bookmarkStart w:id="839" w:name="_Toc305158900"/>
      <w:bookmarkStart w:id="840" w:name="_Toc226309802"/>
      <w:r>
        <w:rPr>
          <w:rFonts w:hint="eastAsia" w:ascii="宋体" w:hAnsi="宋体"/>
          <w:b/>
          <w:color w:val="000000"/>
          <w:sz w:val="36"/>
          <w:szCs w:val="36"/>
        </w:rPr>
        <w:t>开标一览表</w:t>
      </w:r>
      <w:bookmarkEnd w:id="830"/>
      <w:bookmarkEnd w:id="831"/>
      <w:bookmarkEnd w:id="832"/>
      <w:bookmarkEnd w:id="833"/>
      <w:bookmarkEnd w:id="834"/>
      <w:bookmarkEnd w:id="835"/>
      <w:bookmarkEnd w:id="836"/>
      <w:bookmarkEnd w:id="837"/>
      <w:bookmarkEnd w:id="838"/>
      <w:bookmarkEnd w:id="839"/>
      <w:bookmarkEnd w:id="840"/>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4028"/>
        <w:gridCol w:w="215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05" w:type="pct"/>
            <w:vMerge w:val="restart"/>
            <w:vAlign w:val="center"/>
          </w:tcPr>
          <w:p>
            <w:pPr>
              <w:tabs>
                <w:tab w:val="left" w:pos="5580"/>
              </w:tabs>
              <w:jc w:val="center"/>
              <w:rPr>
                <w:b/>
                <w:sz w:val="24"/>
              </w:rPr>
            </w:pPr>
            <w:r>
              <w:rPr>
                <w:b/>
                <w:sz w:val="24"/>
              </w:rPr>
              <w:t>序号</w:t>
            </w:r>
          </w:p>
        </w:tc>
        <w:tc>
          <w:tcPr>
            <w:tcW w:w="2217" w:type="pct"/>
            <w:vMerge w:val="restart"/>
            <w:vAlign w:val="center"/>
          </w:tcPr>
          <w:p>
            <w:pPr>
              <w:tabs>
                <w:tab w:val="left" w:pos="5580"/>
              </w:tabs>
              <w:jc w:val="center"/>
              <w:rPr>
                <w:b/>
                <w:sz w:val="24"/>
              </w:rPr>
            </w:pPr>
            <w:r>
              <w:rPr>
                <w:b/>
                <w:sz w:val="24"/>
              </w:rPr>
              <w:t>投标人名称</w:t>
            </w:r>
          </w:p>
        </w:tc>
        <w:tc>
          <w:tcPr>
            <w:tcW w:w="2376" w:type="pct"/>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05" w:type="pct"/>
            <w:vMerge w:val="continue"/>
            <w:vAlign w:val="center"/>
          </w:tcPr>
          <w:p>
            <w:pPr>
              <w:tabs>
                <w:tab w:val="left" w:pos="5580"/>
              </w:tabs>
              <w:jc w:val="center"/>
              <w:rPr>
                <w:sz w:val="24"/>
              </w:rPr>
            </w:pPr>
          </w:p>
        </w:tc>
        <w:tc>
          <w:tcPr>
            <w:tcW w:w="2217" w:type="pct"/>
            <w:vMerge w:val="continue"/>
            <w:vAlign w:val="center"/>
          </w:tcPr>
          <w:p>
            <w:pPr>
              <w:tabs>
                <w:tab w:val="left" w:pos="5580"/>
              </w:tabs>
              <w:jc w:val="center"/>
              <w:rPr>
                <w:sz w:val="24"/>
              </w:rPr>
            </w:pPr>
          </w:p>
        </w:tc>
        <w:tc>
          <w:tcPr>
            <w:tcW w:w="1187" w:type="pct"/>
            <w:vAlign w:val="center"/>
          </w:tcPr>
          <w:p>
            <w:pPr>
              <w:tabs>
                <w:tab w:val="left" w:pos="5580"/>
              </w:tabs>
              <w:jc w:val="center"/>
              <w:rPr>
                <w:b/>
                <w:sz w:val="24"/>
              </w:rPr>
            </w:pPr>
            <w:r>
              <w:rPr>
                <w:b/>
                <w:sz w:val="24"/>
              </w:rPr>
              <w:t>大写</w:t>
            </w:r>
          </w:p>
        </w:tc>
        <w:tc>
          <w:tcPr>
            <w:tcW w:w="1189"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05" w:type="pct"/>
            <w:vAlign w:val="center"/>
          </w:tcPr>
          <w:p>
            <w:pPr>
              <w:tabs>
                <w:tab w:val="left" w:pos="5580"/>
              </w:tabs>
              <w:jc w:val="center"/>
              <w:rPr>
                <w:sz w:val="24"/>
              </w:rPr>
            </w:pPr>
          </w:p>
        </w:tc>
        <w:tc>
          <w:tcPr>
            <w:tcW w:w="2217" w:type="pct"/>
            <w:vAlign w:val="center"/>
          </w:tcPr>
          <w:p>
            <w:pPr>
              <w:tabs>
                <w:tab w:val="left" w:pos="5580"/>
              </w:tabs>
              <w:jc w:val="center"/>
              <w:rPr>
                <w:sz w:val="24"/>
              </w:rPr>
            </w:pPr>
          </w:p>
        </w:tc>
        <w:tc>
          <w:tcPr>
            <w:tcW w:w="1187" w:type="pct"/>
            <w:vAlign w:val="center"/>
          </w:tcPr>
          <w:p>
            <w:pPr>
              <w:tabs>
                <w:tab w:val="left" w:pos="5580"/>
              </w:tabs>
              <w:jc w:val="center"/>
              <w:rPr>
                <w:sz w:val="24"/>
              </w:rPr>
            </w:pPr>
          </w:p>
        </w:tc>
        <w:tc>
          <w:tcPr>
            <w:tcW w:w="1189" w:type="pct"/>
            <w:vAlign w:val="center"/>
          </w:tcPr>
          <w:p>
            <w:pPr>
              <w:tabs>
                <w:tab w:val="left" w:pos="5580"/>
              </w:tabs>
              <w:jc w:val="center"/>
              <w:rPr>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w:t>
      </w:r>
      <w:r>
        <w:rPr>
          <w:rFonts w:hint="eastAsia" w:ascii="宋体" w:hAnsi="宋体"/>
          <w:color w:val="000000"/>
          <w:sz w:val="24"/>
        </w:rPr>
        <w:t>价格</w:t>
      </w:r>
      <w:r>
        <w:rPr>
          <w:rFonts w:ascii="宋体" w:hAnsi="宋体"/>
          <w:color w:val="000000"/>
          <w:sz w:val="24"/>
        </w:rPr>
        <w:t>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841" w:name="_Toc226309803"/>
      <w:bookmarkStart w:id="842" w:name="_Toc264969249"/>
      <w:bookmarkStart w:id="843" w:name="_Toc226337255"/>
      <w:bookmarkStart w:id="844" w:name="_Toc305158827"/>
      <w:bookmarkStart w:id="845" w:name="_Toc150480796"/>
      <w:bookmarkStart w:id="846" w:name="_Toc142311060"/>
      <w:bookmarkStart w:id="847" w:name="_Toc226965749"/>
      <w:bookmarkStart w:id="848" w:name="_Toc265228397"/>
      <w:bookmarkStart w:id="849" w:name="_Toc127151558"/>
      <w:bookmarkStart w:id="850" w:name="_Toc226965832"/>
      <w:bookmarkStart w:id="851" w:name="_Toc150774763"/>
      <w:bookmarkStart w:id="852" w:name="_Toc305158901"/>
      <w:bookmarkStart w:id="853" w:name="_Toc195842924"/>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4  投标分项报价表</w:t>
      </w:r>
      <w:bookmarkEnd w:id="841"/>
      <w:bookmarkEnd w:id="842"/>
      <w:bookmarkEnd w:id="843"/>
      <w:bookmarkEnd w:id="844"/>
      <w:bookmarkEnd w:id="845"/>
      <w:bookmarkEnd w:id="846"/>
      <w:bookmarkEnd w:id="847"/>
      <w:bookmarkEnd w:id="848"/>
      <w:bookmarkEnd w:id="849"/>
      <w:bookmarkEnd w:id="850"/>
      <w:bookmarkEnd w:id="851"/>
      <w:bookmarkEnd w:id="852"/>
      <w:bookmarkEnd w:id="853"/>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投标分项报价表</w:t>
      </w:r>
    </w:p>
    <w:p>
      <w:pPr>
        <w:spacing w:line="260" w:lineRule="exact"/>
        <w:jc w:val="center"/>
        <w:rPr>
          <w:rFonts w:ascii="宋体" w:hAnsi="宋体"/>
          <w:color w:val="000000"/>
          <w:sz w:val="36"/>
          <w:szCs w:val="36"/>
        </w:r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534"/>
        <w:gridCol w:w="710"/>
        <w:gridCol w:w="775"/>
        <w:gridCol w:w="964"/>
        <w:gridCol w:w="719"/>
        <w:gridCol w:w="719"/>
        <w:gridCol w:w="933"/>
        <w:gridCol w:w="962"/>
        <w:gridCol w:w="468"/>
        <w:gridCol w:w="15"/>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2" w:type="pct"/>
            <w:vAlign w:val="center"/>
          </w:tcPr>
          <w:p>
            <w:pPr>
              <w:adjustRightInd w:val="0"/>
              <w:snapToGrid w:val="0"/>
              <w:jc w:val="left"/>
              <w:rPr>
                <w:b/>
                <w:sz w:val="24"/>
              </w:rPr>
            </w:pPr>
            <w:r>
              <w:rPr>
                <w:b/>
                <w:sz w:val="24"/>
              </w:rPr>
              <w:t>序号</w:t>
            </w:r>
          </w:p>
        </w:tc>
        <w:tc>
          <w:tcPr>
            <w:tcW w:w="826" w:type="pct"/>
            <w:vAlign w:val="center"/>
          </w:tcPr>
          <w:p>
            <w:pPr>
              <w:adjustRightInd w:val="0"/>
              <w:snapToGrid w:val="0"/>
              <w:jc w:val="left"/>
              <w:rPr>
                <w:b/>
                <w:sz w:val="24"/>
              </w:rPr>
            </w:pPr>
            <w:r>
              <w:rPr>
                <w:b/>
                <w:sz w:val="24"/>
              </w:rPr>
              <w:t>分项名称</w:t>
            </w:r>
          </w:p>
        </w:tc>
        <w:tc>
          <w:tcPr>
            <w:tcW w:w="382" w:type="pct"/>
            <w:vAlign w:val="center"/>
          </w:tcPr>
          <w:p>
            <w:pPr>
              <w:adjustRightInd w:val="0"/>
              <w:snapToGrid w:val="0"/>
              <w:jc w:val="left"/>
              <w:rPr>
                <w:b/>
                <w:sz w:val="24"/>
              </w:rPr>
            </w:pPr>
            <w:r>
              <w:rPr>
                <w:b/>
                <w:sz w:val="24"/>
              </w:rPr>
              <w:t>制造商</w:t>
            </w:r>
          </w:p>
        </w:tc>
        <w:tc>
          <w:tcPr>
            <w:tcW w:w="417" w:type="pct"/>
            <w:vAlign w:val="center"/>
          </w:tcPr>
          <w:p>
            <w:pPr>
              <w:adjustRightInd w:val="0"/>
              <w:snapToGrid w:val="0"/>
              <w:jc w:val="left"/>
              <w:rPr>
                <w:b/>
                <w:sz w:val="24"/>
              </w:rPr>
            </w:pPr>
            <w:r>
              <w:rPr>
                <w:b/>
                <w:sz w:val="24"/>
              </w:rPr>
              <w:t>产地</w:t>
            </w:r>
            <w:r>
              <w:rPr>
                <w:rFonts w:hint="eastAsia"/>
                <w:b/>
                <w:sz w:val="24"/>
              </w:rPr>
              <w:t>/国别</w:t>
            </w:r>
          </w:p>
        </w:tc>
        <w:tc>
          <w:tcPr>
            <w:tcW w:w="519" w:type="pct"/>
          </w:tcPr>
          <w:p>
            <w:pPr>
              <w:adjustRightInd w:val="0"/>
              <w:snapToGrid w:val="0"/>
              <w:jc w:val="left"/>
              <w:rPr>
                <w:b/>
                <w:sz w:val="24"/>
              </w:rPr>
            </w:pPr>
            <w:r>
              <w:rPr>
                <w:rFonts w:hint="eastAsia"/>
                <w:b/>
                <w:sz w:val="24"/>
              </w:rPr>
              <w:t>制造商统一信用代码</w:t>
            </w:r>
          </w:p>
        </w:tc>
        <w:tc>
          <w:tcPr>
            <w:tcW w:w="387" w:type="pct"/>
          </w:tcPr>
          <w:p>
            <w:pPr>
              <w:adjustRightInd w:val="0"/>
              <w:snapToGrid w:val="0"/>
              <w:jc w:val="left"/>
              <w:rPr>
                <w:b/>
                <w:sz w:val="24"/>
              </w:rPr>
            </w:pPr>
            <w:r>
              <w:rPr>
                <w:rFonts w:hint="eastAsia"/>
                <w:b/>
                <w:sz w:val="24"/>
              </w:rPr>
              <w:t>制造商规模</w:t>
            </w:r>
          </w:p>
        </w:tc>
        <w:tc>
          <w:tcPr>
            <w:tcW w:w="387" w:type="pct"/>
            <w:vAlign w:val="center"/>
          </w:tcPr>
          <w:p>
            <w:pPr>
              <w:adjustRightInd w:val="0"/>
              <w:snapToGrid w:val="0"/>
              <w:jc w:val="left"/>
              <w:rPr>
                <w:b/>
                <w:sz w:val="24"/>
              </w:rPr>
            </w:pPr>
            <w:r>
              <w:rPr>
                <w:b/>
                <w:sz w:val="24"/>
              </w:rPr>
              <w:t>品牌</w:t>
            </w:r>
          </w:p>
        </w:tc>
        <w:tc>
          <w:tcPr>
            <w:tcW w:w="502" w:type="pct"/>
          </w:tcPr>
          <w:p>
            <w:pPr>
              <w:adjustRightInd w:val="0"/>
              <w:snapToGrid w:val="0"/>
              <w:jc w:val="left"/>
              <w:rPr>
                <w:b/>
                <w:sz w:val="24"/>
              </w:rPr>
            </w:pPr>
            <w:r>
              <w:rPr>
                <w:b/>
                <w:sz w:val="24"/>
              </w:rPr>
              <w:t>规格、型号</w:t>
            </w:r>
          </w:p>
        </w:tc>
        <w:tc>
          <w:tcPr>
            <w:tcW w:w="518" w:type="pct"/>
            <w:vAlign w:val="center"/>
          </w:tcPr>
          <w:p>
            <w:pPr>
              <w:adjustRightInd w:val="0"/>
              <w:snapToGrid w:val="0"/>
              <w:jc w:val="left"/>
              <w:rPr>
                <w:b/>
                <w:sz w:val="24"/>
              </w:rPr>
            </w:pPr>
            <w:r>
              <w:rPr>
                <w:b/>
                <w:sz w:val="24"/>
              </w:rPr>
              <w:t>单价（元）</w:t>
            </w:r>
          </w:p>
        </w:tc>
        <w:tc>
          <w:tcPr>
            <w:tcW w:w="252" w:type="pct"/>
            <w:vAlign w:val="center"/>
          </w:tcPr>
          <w:p>
            <w:pPr>
              <w:adjustRightInd w:val="0"/>
              <w:snapToGrid w:val="0"/>
              <w:jc w:val="left"/>
              <w:rPr>
                <w:b/>
                <w:sz w:val="24"/>
              </w:rPr>
            </w:pPr>
            <w:r>
              <w:rPr>
                <w:b/>
                <w:sz w:val="24"/>
              </w:rPr>
              <w:t>数量</w:t>
            </w:r>
          </w:p>
        </w:tc>
        <w:tc>
          <w:tcPr>
            <w:tcW w:w="518" w:type="pct"/>
            <w:gridSpan w:val="2"/>
            <w:vAlign w:val="center"/>
          </w:tcPr>
          <w:p>
            <w:pPr>
              <w:adjustRightInd w:val="0"/>
              <w:snapToGrid w:val="0"/>
              <w:jc w:val="left"/>
              <w:rPr>
                <w:b/>
                <w:sz w:val="24"/>
              </w:rPr>
            </w:pPr>
            <w:r>
              <w:rPr>
                <w:b/>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adjustRightInd w:val="0"/>
              <w:snapToGrid w:val="0"/>
              <w:jc w:val="left"/>
              <w:rPr>
                <w:sz w:val="24"/>
              </w:rPr>
            </w:pPr>
            <w:r>
              <w:rPr>
                <w:rFonts w:hint="eastAsia"/>
                <w:sz w:val="24"/>
              </w:rPr>
              <w:t>1</w:t>
            </w:r>
          </w:p>
        </w:tc>
        <w:tc>
          <w:tcPr>
            <w:tcW w:w="826" w:type="pct"/>
            <w:vAlign w:val="center"/>
          </w:tcPr>
          <w:p>
            <w:pPr>
              <w:adjustRightInd w:val="0"/>
              <w:snapToGrid w:val="0"/>
              <w:jc w:val="left"/>
              <w:rPr>
                <w:sz w:val="24"/>
              </w:rPr>
            </w:pPr>
          </w:p>
        </w:tc>
        <w:tc>
          <w:tcPr>
            <w:tcW w:w="382" w:type="pct"/>
            <w:vAlign w:val="center"/>
          </w:tcPr>
          <w:p>
            <w:pPr>
              <w:adjustRightInd w:val="0"/>
              <w:snapToGrid w:val="0"/>
              <w:jc w:val="left"/>
              <w:rPr>
                <w:sz w:val="24"/>
              </w:rPr>
            </w:pPr>
          </w:p>
        </w:tc>
        <w:tc>
          <w:tcPr>
            <w:tcW w:w="417" w:type="pct"/>
          </w:tcPr>
          <w:p>
            <w:pPr>
              <w:adjustRightInd w:val="0"/>
              <w:snapToGrid w:val="0"/>
              <w:jc w:val="left"/>
              <w:rPr>
                <w:sz w:val="24"/>
              </w:rPr>
            </w:pPr>
          </w:p>
        </w:tc>
        <w:tc>
          <w:tcPr>
            <w:tcW w:w="519" w:type="pct"/>
          </w:tcPr>
          <w:p>
            <w:pPr>
              <w:adjustRightInd w:val="0"/>
              <w:snapToGrid w:val="0"/>
              <w:jc w:val="left"/>
              <w:rPr>
                <w:sz w:val="24"/>
              </w:rPr>
            </w:pPr>
          </w:p>
        </w:tc>
        <w:tc>
          <w:tcPr>
            <w:tcW w:w="387" w:type="pct"/>
          </w:tcPr>
          <w:p>
            <w:pPr>
              <w:adjustRightInd w:val="0"/>
              <w:snapToGrid w:val="0"/>
              <w:jc w:val="left"/>
              <w:rPr>
                <w:sz w:val="24"/>
              </w:rPr>
            </w:pPr>
          </w:p>
        </w:tc>
        <w:tc>
          <w:tcPr>
            <w:tcW w:w="387" w:type="pct"/>
            <w:vAlign w:val="center"/>
          </w:tcPr>
          <w:p>
            <w:pPr>
              <w:adjustRightInd w:val="0"/>
              <w:snapToGrid w:val="0"/>
              <w:jc w:val="left"/>
              <w:rPr>
                <w:sz w:val="24"/>
              </w:rPr>
            </w:pPr>
          </w:p>
        </w:tc>
        <w:tc>
          <w:tcPr>
            <w:tcW w:w="502" w:type="pct"/>
          </w:tcPr>
          <w:p>
            <w:pPr>
              <w:adjustRightInd w:val="0"/>
              <w:snapToGrid w:val="0"/>
              <w:jc w:val="left"/>
              <w:rPr>
                <w:sz w:val="24"/>
              </w:rPr>
            </w:pPr>
          </w:p>
        </w:tc>
        <w:tc>
          <w:tcPr>
            <w:tcW w:w="518" w:type="pct"/>
            <w:vAlign w:val="center"/>
          </w:tcPr>
          <w:p>
            <w:pPr>
              <w:adjustRightInd w:val="0"/>
              <w:snapToGrid w:val="0"/>
              <w:jc w:val="left"/>
              <w:rPr>
                <w:sz w:val="24"/>
              </w:rPr>
            </w:pPr>
          </w:p>
        </w:tc>
        <w:tc>
          <w:tcPr>
            <w:tcW w:w="252" w:type="pct"/>
            <w:vAlign w:val="center"/>
          </w:tcPr>
          <w:p>
            <w:pPr>
              <w:adjustRightInd w:val="0"/>
              <w:snapToGrid w:val="0"/>
              <w:jc w:val="left"/>
              <w:rPr>
                <w:sz w:val="24"/>
              </w:rPr>
            </w:pPr>
          </w:p>
        </w:tc>
        <w:tc>
          <w:tcPr>
            <w:tcW w:w="518" w:type="pct"/>
            <w:gridSpan w:val="2"/>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adjustRightInd w:val="0"/>
              <w:snapToGrid w:val="0"/>
              <w:jc w:val="left"/>
              <w:rPr>
                <w:sz w:val="24"/>
              </w:rPr>
            </w:pPr>
            <w:r>
              <w:rPr>
                <w:rFonts w:hint="eastAsia"/>
                <w:sz w:val="24"/>
              </w:rPr>
              <w:t>2</w:t>
            </w:r>
          </w:p>
        </w:tc>
        <w:tc>
          <w:tcPr>
            <w:tcW w:w="826" w:type="pct"/>
            <w:vAlign w:val="center"/>
          </w:tcPr>
          <w:p>
            <w:pPr>
              <w:adjustRightInd w:val="0"/>
              <w:snapToGrid w:val="0"/>
              <w:jc w:val="left"/>
              <w:rPr>
                <w:sz w:val="24"/>
              </w:rPr>
            </w:pPr>
          </w:p>
        </w:tc>
        <w:tc>
          <w:tcPr>
            <w:tcW w:w="382" w:type="pct"/>
            <w:vAlign w:val="center"/>
          </w:tcPr>
          <w:p>
            <w:pPr>
              <w:adjustRightInd w:val="0"/>
              <w:snapToGrid w:val="0"/>
              <w:jc w:val="left"/>
              <w:rPr>
                <w:sz w:val="24"/>
              </w:rPr>
            </w:pPr>
          </w:p>
        </w:tc>
        <w:tc>
          <w:tcPr>
            <w:tcW w:w="417" w:type="pct"/>
          </w:tcPr>
          <w:p>
            <w:pPr>
              <w:adjustRightInd w:val="0"/>
              <w:snapToGrid w:val="0"/>
              <w:jc w:val="left"/>
              <w:rPr>
                <w:sz w:val="24"/>
              </w:rPr>
            </w:pPr>
          </w:p>
        </w:tc>
        <w:tc>
          <w:tcPr>
            <w:tcW w:w="519" w:type="pct"/>
          </w:tcPr>
          <w:p>
            <w:pPr>
              <w:adjustRightInd w:val="0"/>
              <w:snapToGrid w:val="0"/>
              <w:jc w:val="left"/>
              <w:rPr>
                <w:sz w:val="24"/>
              </w:rPr>
            </w:pPr>
          </w:p>
        </w:tc>
        <w:tc>
          <w:tcPr>
            <w:tcW w:w="387" w:type="pct"/>
          </w:tcPr>
          <w:p>
            <w:pPr>
              <w:adjustRightInd w:val="0"/>
              <w:snapToGrid w:val="0"/>
              <w:jc w:val="left"/>
              <w:rPr>
                <w:sz w:val="24"/>
              </w:rPr>
            </w:pPr>
          </w:p>
        </w:tc>
        <w:tc>
          <w:tcPr>
            <w:tcW w:w="387" w:type="pct"/>
            <w:vAlign w:val="center"/>
          </w:tcPr>
          <w:p>
            <w:pPr>
              <w:adjustRightInd w:val="0"/>
              <w:snapToGrid w:val="0"/>
              <w:jc w:val="left"/>
              <w:rPr>
                <w:sz w:val="24"/>
              </w:rPr>
            </w:pPr>
          </w:p>
        </w:tc>
        <w:tc>
          <w:tcPr>
            <w:tcW w:w="502" w:type="pct"/>
          </w:tcPr>
          <w:p>
            <w:pPr>
              <w:adjustRightInd w:val="0"/>
              <w:snapToGrid w:val="0"/>
              <w:jc w:val="left"/>
              <w:rPr>
                <w:sz w:val="24"/>
              </w:rPr>
            </w:pPr>
          </w:p>
        </w:tc>
        <w:tc>
          <w:tcPr>
            <w:tcW w:w="518" w:type="pct"/>
            <w:vAlign w:val="center"/>
          </w:tcPr>
          <w:p>
            <w:pPr>
              <w:adjustRightInd w:val="0"/>
              <w:snapToGrid w:val="0"/>
              <w:jc w:val="left"/>
              <w:rPr>
                <w:sz w:val="24"/>
              </w:rPr>
            </w:pPr>
          </w:p>
        </w:tc>
        <w:tc>
          <w:tcPr>
            <w:tcW w:w="252" w:type="pct"/>
            <w:vAlign w:val="center"/>
          </w:tcPr>
          <w:p>
            <w:pPr>
              <w:adjustRightInd w:val="0"/>
              <w:snapToGrid w:val="0"/>
              <w:jc w:val="left"/>
              <w:rPr>
                <w:sz w:val="24"/>
              </w:rPr>
            </w:pPr>
          </w:p>
        </w:tc>
        <w:tc>
          <w:tcPr>
            <w:tcW w:w="518" w:type="pct"/>
            <w:gridSpan w:val="2"/>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adjustRightInd w:val="0"/>
              <w:snapToGrid w:val="0"/>
              <w:jc w:val="left"/>
              <w:rPr>
                <w:sz w:val="24"/>
              </w:rPr>
            </w:pPr>
            <w:r>
              <w:rPr>
                <w:rFonts w:hint="eastAsia"/>
                <w:sz w:val="24"/>
              </w:rPr>
              <w:t>3</w:t>
            </w:r>
          </w:p>
        </w:tc>
        <w:tc>
          <w:tcPr>
            <w:tcW w:w="826" w:type="pct"/>
            <w:vAlign w:val="center"/>
          </w:tcPr>
          <w:p>
            <w:pPr>
              <w:adjustRightInd w:val="0"/>
              <w:snapToGrid w:val="0"/>
              <w:jc w:val="left"/>
              <w:rPr>
                <w:sz w:val="24"/>
              </w:rPr>
            </w:pPr>
          </w:p>
        </w:tc>
        <w:tc>
          <w:tcPr>
            <w:tcW w:w="382" w:type="pct"/>
            <w:vAlign w:val="center"/>
          </w:tcPr>
          <w:p>
            <w:pPr>
              <w:adjustRightInd w:val="0"/>
              <w:snapToGrid w:val="0"/>
              <w:jc w:val="left"/>
              <w:rPr>
                <w:sz w:val="24"/>
              </w:rPr>
            </w:pPr>
          </w:p>
        </w:tc>
        <w:tc>
          <w:tcPr>
            <w:tcW w:w="417" w:type="pct"/>
          </w:tcPr>
          <w:p>
            <w:pPr>
              <w:adjustRightInd w:val="0"/>
              <w:snapToGrid w:val="0"/>
              <w:jc w:val="left"/>
              <w:rPr>
                <w:sz w:val="24"/>
              </w:rPr>
            </w:pPr>
          </w:p>
        </w:tc>
        <w:tc>
          <w:tcPr>
            <w:tcW w:w="519" w:type="pct"/>
          </w:tcPr>
          <w:p>
            <w:pPr>
              <w:adjustRightInd w:val="0"/>
              <w:snapToGrid w:val="0"/>
              <w:jc w:val="left"/>
              <w:rPr>
                <w:sz w:val="24"/>
              </w:rPr>
            </w:pPr>
          </w:p>
        </w:tc>
        <w:tc>
          <w:tcPr>
            <w:tcW w:w="387" w:type="pct"/>
          </w:tcPr>
          <w:p>
            <w:pPr>
              <w:adjustRightInd w:val="0"/>
              <w:snapToGrid w:val="0"/>
              <w:jc w:val="left"/>
              <w:rPr>
                <w:sz w:val="24"/>
              </w:rPr>
            </w:pPr>
          </w:p>
        </w:tc>
        <w:tc>
          <w:tcPr>
            <w:tcW w:w="387" w:type="pct"/>
            <w:vAlign w:val="center"/>
          </w:tcPr>
          <w:p>
            <w:pPr>
              <w:adjustRightInd w:val="0"/>
              <w:snapToGrid w:val="0"/>
              <w:jc w:val="left"/>
              <w:rPr>
                <w:sz w:val="24"/>
              </w:rPr>
            </w:pPr>
          </w:p>
        </w:tc>
        <w:tc>
          <w:tcPr>
            <w:tcW w:w="502" w:type="pct"/>
          </w:tcPr>
          <w:p>
            <w:pPr>
              <w:adjustRightInd w:val="0"/>
              <w:snapToGrid w:val="0"/>
              <w:jc w:val="left"/>
              <w:rPr>
                <w:sz w:val="24"/>
              </w:rPr>
            </w:pPr>
          </w:p>
        </w:tc>
        <w:tc>
          <w:tcPr>
            <w:tcW w:w="518" w:type="pct"/>
            <w:vAlign w:val="center"/>
          </w:tcPr>
          <w:p>
            <w:pPr>
              <w:adjustRightInd w:val="0"/>
              <w:snapToGrid w:val="0"/>
              <w:jc w:val="left"/>
              <w:rPr>
                <w:sz w:val="24"/>
              </w:rPr>
            </w:pPr>
          </w:p>
        </w:tc>
        <w:tc>
          <w:tcPr>
            <w:tcW w:w="252" w:type="pct"/>
            <w:vAlign w:val="center"/>
          </w:tcPr>
          <w:p>
            <w:pPr>
              <w:adjustRightInd w:val="0"/>
              <w:snapToGrid w:val="0"/>
              <w:jc w:val="left"/>
              <w:rPr>
                <w:sz w:val="24"/>
              </w:rPr>
            </w:pPr>
          </w:p>
        </w:tc>
        <w:tc>
          <w:tcPr>
            <w:tcW w:w="518" w:type="pct"/>
            <w:gridSpan w:val="2"/>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adjustRightInd w:val="0"/>
              <w:snapToGrid w:val="0"/>
              <w:jc w:val="left"/>
              <w:rPr>
                <w:sz w:val="24"/>
              </w:rPr>
            </w:pPr>
            <w:r>
              <w:rPr>
                <w:rFonts w:hint="eastAsia"/>
                <w:sz w:val="24"/>
              </w:rPr>
              <w:t>4</w:t>
            </w:r>
          </w:p>
        </w:tc>
        <w:tc>
          <w:tcPr>
            <w:tcW w:w="826" w:type="pct"/>
            <w:vAlign w:val="center"/>
          </w:tcPr>
          <w:p>
            <w:pPr>
              <w:adjustRightInd w:val="0"/>
              <w:snapToGrid w:val="0"/>
              <w:jc w:val="left"/>
              <w:rPr>
                <w:sz w:val="24"/>
              </w:rPr>
            </w:pPr>
          </w:p>
        </w:tc>
        <w:tc>
          <w:tcPr>
            <w:tcW w:w="382" w:type="pct"/>
            <w:vAlign w:val="center"/>
          </w:tcPr>
          <w:p>
            <w:pPr>
              <w:adjustRightInd w:val="0"/>
              <w:snapToGrid w:val="0"/>
              <w:jc w:val="left"/>
              <w:rPr>
                <w:sz w:val="24"/>
              </w:rPr>
            </w:pPr>
          </w:p>
        </w:tc>
        <w:tc>
          <w:tcPr>
            <w:tcW w:w="417" w:type="pct"/>
          </w:tcPr>
          <w:p>
            <w:pPr>
              <w:adjustRightInd w:val="0"/>
              <w:snapToGrid w:val="0"/>
              <w:jc w:val="left"/>
              <w:rPr>
                <w:sz w:val="24"/>
              </w:rPr>
            </w:pPr>
          </w:p>
        </w:tc>
        <w:tc>
          <w:tcPr>
            <w:tcW w:w="519" w:type="pct"/>
          </w:tcPr>
          <w:p>
            <w:pPr>
              <w:adjustRightInd w:val="0"/>
              <w:snapToGrid w:val="0"/>
              <w:jc w:val="left"/>
              <w:rPr>
                <w:sz w:val="24"/>
              </w:rPr>
            </w:pPr>
          </w:p>
        </w:tc>
        <w:tc>
          <w:tcPr>
            <w:tcW w:w="387" w:type="pct"/>
          </w:tcPr>
          <w:p>
            <w:pPr>
              <w:adjustRightInd w:val="0"/>
              <w:snapToGrid w:val="0"/>
              <w:jc w:val="left"/>
              <w:rPr>
                <w:sz w:val="24"/>
              </w:rPr>
            </w:pPr>
          </w:p>
        </w:tc>
        <w:tc>
          <w:tcPr>
            <w:tcW w:w="387" w:type="pct"/>
            <w:vAlign w:val="center"/>
          </w:tcPr>
          <w:p>
            <w:pPr>
              <w:adjustRightInd w:val="0"/>
              <w:snapToGrid w:val="0"/>
              <w:jc w:val="left"/>
              <w:rPr>
                <w:sz w:val="24"/>
              </w:rPr>
            </w:pPr>
          </w:p>
        </w:tc>
        <w:tc>
          <w:tcPr>
            <w:tcW w:w="502" w:type="pct"/>
          </w:tcPr>
          <w:p>
            <w:pPr>
              <w:adjustRightInd w:val="0"/>
              <w:snapToGrid w:val="0"/>
              <w:jc w:val="left"/>
              <w:rPr>
                <w:sz w:val="24"/>
              </w:rPr>
            </w:pPr>
          </w:p>
        </w:tc>
        <w:tc>
          <w:tcPr>
            <w:tcW w:w="518" w:type="pct"/>
            <w:vAlign w:val="center"/>
          </w:tcPr>
          <w:p>
            <w:pPr>
              <w:adjustRightInd w:val="0"/>
              <w:snapToGrid w:val="0"/>
              <w:jc w:val="left"/>
              <w:rPr>
                <w:sz w:val="24"/>
              </w:rPr>
            </w:pPr>
          </w:p>
        </w:tc>
        <w:tc>
          <w:tcPr>
            <w:tcW w:w="252" w:type="pct"/>
            <w:vAlign w:val="center"/>
          </w:tcPr>
          <w:p>
            <w:pPr>
              <w:adjustRightInd w:val="0"/>
              <w:snapToGrid w:val="0"/>
              <w:jc w:val="left"/>
              <w:rPr>
                <w:sz w:val="24"/>
              </w:rPr>
            </w:pPr>
          </w:p>
        </w:tc>
        <w:tc>
          <w:tcPr>
            <w:tcW w:w="518" w:type="pct"/>
            <w:gridSpan w:val="2"/>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adjustRightInd w:val="0"/>
              <w:snapToGrid w:val="0"/>
              <w:jc w:val="left"/>
              <w:rPr>
                <w:sz w:val="24"/>
              </w:rPr>
            </w:pPr>
            <w:r>
              <w:rPr>
                <w:sz w:val="24"/>
              </w:rPr>
              <w:t>…</w:t>
            </w:r>
          </w:p>
        </w:tc>
        <w:tc>
          <w:tcPr>
            <w:tcW w:w="826" w:type="pct"/>
            <w:vAlign w:val="center"/>
          </w:tcPr>
          <w:p>
            <w:pPr>
              <w:adjustRightInd w:val="0"/>
              <w:snapToGrid w:val="0"/>
              <w:jc w:val="left"/>
              <w:rPr>
                <w:sz w:val="24"/>
              </w:rPr>
            </w:pPr>
          </w:p>
        </w:tc>
        <w:tc>
          <w:tcPr>
            <w:tcW w:w="382" w:type="pct"/>
            <w:vAlign w:val="center"/>
          </w:tcPr>
          <w:p>
            <w:pPr>
              <w:adjustRightInd w:val="0"/>
              <w:snapToGrid w:val="0"/>
              <w:jc w:val="left"/>
              <w:rPr>
                <w:sz w:val="24"/>
              </w:rPr>
            </w:pPr>
          </w:p>
        </w:tc>
        <w:tc>
          <w:tcPr>
            <w:tcW w:w="417" w:type="pct"/>
          </w:tcPr>
          <w:p>
            <w:pPr>
              <w:adjustRightInd w:val="0"/>
              <w:snapToGrid w:val="0"/>
              <w:jc w:val="left"/>
              <w:rPr>
                <w:sz w:val="24"/>
              </w:rPr>
            </w:pPr>
          </w:p>
        </w:tc>
        <w:tc>
          <w:tcPr>
            <w:tcW w:w="519" w:type="pct"/>
          </w:tcPr>
          <w:p>
            <w:pPr>
              <w:adjustRightInd w:val="0"/>
              <w:snapToGrid w:val="0"/>
              <w:jc w:val="left"/>
              <w:rPr>
                <w:sz w:val="24"/>
              </w:rPr>
            </w:pPr>
          </w:p>
        </w:tc>
        <w:tc>
          <w:tcPr>
            <w:tcW w:w="387" w:type="pct"/>
          </w:tcPr>
          <w:p>
            <w:pPr>
              <w:adjustRightInd w:val="0"/>
              <w:snapToGrid w:val="0"/>
              <w:jc w:val="left"/>
              <w:rPr>
                <w:sz w:val="24"/>
              </w:rPr>
            </w:pPr>
          </w:p>
        </w:tc>
        <w:tc>
          <w:tcPr>
            <w:tcW w:w="387" w:type="pct"/>
            <w:vAlign w:val="center"/>
          </w:tcPr>
          <w:p>
            <w:pPr>
              <w:adjustRightInd w:val="0"/>
              <w:snapToGrid w:val="0"/>
              <w:jc w:val="left"/>
              <w:rPr>
                <w:sz w:val="24"/>
              </w:rPr>
            </w:pPr>
          </w:p>
        </w:tc>
        <w:tc>
          <w:tcPr>
            <w:tcW w:w="502" w:type="pct"/>
          </w:tcPr>
          <w:p>
            <w:pPr>
              <w:adjustRightInd w:val="0"/>
              <w:snapToGrid w:val="0"/>
              <w:jc w:val="left"/>
              <w:rPr>
                <w:sz w:val="24"/>
              </w:rPr>
            </w:pPr>
          </w:p>
        </w:tc>
        <w:tc>
          <w:tcPr>
            <w:tcW w:w="518" w:type="pct"/>
            <w:vAlign w:val="center"/>
          </w:tcPr>
          <w:p>
            <w:pPr>
              <w:adjustRightInd w:val="0"/>
              <w:snapToGrid w:val="0"/>
              <w:jc w:val="left"/>
              <w:rPr>
                <w:sz w:val="24"/>
              </w:rPr>
            </w:pPr>
          </w:p>
        </w:tc>
        <w:tc>
          <w:tcPr>
            <w:tcW w:w="252" w:type="pct"/>
            <w:vAlign w:val="center"/>
          </w:tcPr>
          <w:p>
            <w:pPr>
              <w:adjustRightInd w:val="0"/>
              <w:snapToGrid w:val="0"/>
              <w:jc w:val="left"/>
              <w:rPr>
                <w:sz w:val="24"/>
              </w:rPr>
            </w:pPr>
          </w:p>
        </w:tc>
        <w:tc>
          <w:tcPr>
            <w:tcW w:w="518" w:type="pct"/>
            <w:gridSpan w:val="2"/>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0" w:type="pct"/>
            <w:gridSpan w:val="11"/>
          </w:tcPr>
          <w:p>
            <w:pPr>
              <w:jc w:val="right"/>
              <w:rPr>
                <w:b/>
                <w:sz w:val="24"/>
              </w:rPr>
            </w:pPr>
            <w:r>
              <w:rPr>
                <w:b/>
                <w:sz w:val="24"/>
              </w:rPr>
              <w:t>总价（元）</w:t>
            </w:r>
          </w:p>
        </w:tc>
        <w:tc>
          <w:tcPr>
            <w:tcW w:w="510" w:type="pct"/>
            <w:vAlign w:val="center"/>
          </w:tcPr>
          <w:p>
            <w:pPr>
              <w:adjustRightInd w:val="0"/>
              <w:snapToGrid w:val="0"/>
              <w:jc w:val="left"/>
              <w:rPr>
                <w:sz w:val="24"/>
              </w:rPr>
            </w:pPr>
          </w:p>
        </w:tc>
      </w:tr>
    </w:tbl>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rPr>
          <w:rFonts w:hAnsi="宋体"/>
          <w:color w:val="000000"/>
          <w:sz w:val="24"/>
        </w:rPr>
      </w:pPr>
    </w:p>
    <w:p>
      <w:pPr>
        <w:pStyle w:val="22"/>
        <w:spacing w:line="360" w:lineRule="auto"/>
        <w:rPr>
          <w:rFonts w:hAnsi="宋体"/>
          <w:color w:val="000000"/>
          <w:sz w:val="24"/>
        </w:rPr>
      </w:pPr>
    </w:p>
    <w:p>
      <w:pPr>
        <w:pStyle w:val="22"/>
        <w:widowControl/>
        <w:rPr>
          <w:rFonts w:hint="default" w:cs="Arial"/>
          <w:sz w:val="24"/>
        </w:rPr>
      </w:pPr>
      <w:r>
        <w:rPr>
          <w:rFonts w:cs="Arial"/>
          <w:sz w:val="24"/>
        </w:rPr>
        <w:t>注：</w:t>
      </w:r>
    </w:p>
    <w:p>
      <w:pPr>
        <w:pStyle w:val="22"/>
        <w:widowControl/>
        <w:rPr>
          <w:rFonts w:hint="default" w:cs="Arial"/>
          <w:sz w:val="24"/>
        </w:rPr>
      </w:pPr>
      <w:r>
        <w:rPr>
          <w:rFonts w:cs="Arial"/>
          <w:sz w:val="24"/>
        </w:rPr>
        <w:t>1.上述各项的详细分项报价，可另页描述。</w:t>
      </w:r>
    </w:p>
    <w:p>
      <w:pPr>
        <w:pStyle w:val="22"/>
        <w:widowControl/>
        <w:numPr>
          <w:ilvl w:val="0"/>
          <w:numId w:val="16"/>
        </w:numPr>
        <w:rPr>
          <w:rFonts w:hint="default" w:cs="Arial"/>
          <w:sz w:val="24"/>
        </w:rPr>
      </w:pPr>
      <w:r>
        <w:rPr>
          <w:rFonts w:cs="Arial"/>
          <w:sz w:val="24"/>
        </w:rPr>
        <w:t>如果不提供详细分项报价将视为没有实质性响应招标文件。</w:t>
      </w:r>
    </w:p>
    <w:p>
      <w:pPr>
        <w:pStyle w:val="22"/>
        <w:widowControl/>
        <w:rPr>
          <w:rFonts w:hint="default" w:cs="Arial"/>
          <w:sz w:val="24"/>
        </w:rPr>
      </w:pPr>
      <w:r>
        <w:rPr>
          <w:rFonts w:cs="Arial"/>
          <w:sz w:val="24"/>
        </w:rPr>
        <w:t>3.原产地是指产品的最初来源，即产品的生产地，原产地不是制造商的注册地。</w:t>
      </w:r>
    </w:p>
    <w:p>
      <w:pPr>
        <w:pStyle w:val="22"/>
        <w:widowControl/>
        <w:rPr>
          <w:rFonts w:hint="default" w:cs="Arial"/>
          <w:sz w:val="24"/>
        </w:rPr>
      </w:pPr>
      <w:r>
        <w:rPr>
          <w:rFonts w:cs="Arial"/>
          <w:sz w:val="24"/>
        </w:rPr>
        <w:t>4.投标人应严格按照招标文件第五章采购需求中的品目（本表中具体品目以第五章分包内容为准）进行报价，报价中应包含投标人在执行本项目中所发生的所有费用，采购人将不再支付其他费用。</w:t>
      </w:r>
    </w:p>
    <w:p>
      <w:r>
        <w:rPr>
          <w:rFonts w:hint="eastAsia" w:cs="Arial"/>
          <w:sz w:val="24"/>
        </w:rPr>
        <w:t>5.本表中制造商信用代码请正确填写所投产品制造商的统一社会信用代码，制造商规模填写大型、中型、小型或者微型，并应与中小企业声明函中的情况保持一致。</w:t>
      </w:r>
    </w:p>
    <w:p>
      <w:pPr>
        <w:pStyle w:val="22"/>
        <w:spacing w:line="360" w:lineRule="auto"/>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854" w:name="_Toc305158904"/>
      <w:bookmarkStart w:id="855" w:name="_Toc150774765"/>
      <w:bookmarkStart w:id="856" w:name="_Toc142311062"/>
      <w:bookmarkStart w:id="857" w:name="_Toc265228400"/>
      <w:bookmarkStart w:id="858" w:name="_Toc127151562"/>
      <w:bookmarkStart w:id="859" w:name="_Toc226965835"/>
      <w:bookmarkStart w:id="860" w:name="_Toc226337258"/>
      <w:bookmarkStart w:id="861" w:name="_Toc305158830"/>
      <w:bookmarkStart w:id="862" w:name="_Toc226309806"/>
      <w:bookmarkStart w:id="863" w:name="_Toc195842927"/>
      <w:bookmarkStart w:id="864" w:name="_Toc150480798"/>
      <w:bookmarkStart w:id="865" w:name="_Toc226965752"/>
      <w:bookmarkStart w:id="866" w:name="_Toc264969252"/>
      <w:bookmarkStart w:id="867" w:name="_Toc226309805"/>
      <w:bookmarkStart w:id="868" w:name="_Toc305158903"/>
      <w:bookmarkStart w:id="869" w:name="_Toc305158829"/>
      <w:bookmarkStart w:id="870" w:name="_Toc264969251"/>
      <w:bookmarkStart w:id="871" w:name="_Toc150480797"/>
      <w:bookmarkStart w:id="872" w:name="_Toc265228399"/>
      <w:bookmarkStart w:id="873" w:name="_Toc195842926"/>
      <w:bookmarkStart w:id="874" w:name="_Toc142311061"/>
      <w:bookmarkStart w:id="875" w:name="_Toc226337257"/>
      <w:bookmarkStart w:id="876" w:name="_Toc150774764"/>
      <w:bookmarkStart w:id="877" w:name="_Toc127151561"/>
      <w:bookmarkStart w:id="878" w:name="_Toc226965751"/>
      <w:bookmarkStart w:id="879" w:name="_Toc226965834"/>
      <w:r>
        <w:rPr>
          <w:rFonts w:hint="eastAsia" w:ascii="宋体" w:hAnsi="宋体"/>
          <w:color w:val="000000"/>
          <w:sz w:val="24"/>
          <w:szCs w:val="20"/>
        </w:rPr>
        <w:t>5</w:t>
      </w:r>
      <w:r>
        <w:rPr>
          <w:rFonts w:ascii="宋体" w:hAnsi="宋体"/>
          <w:color w:val="000000"/>
          <w:sz w:val="24"/>
          <w:szCs w:val="20"/>
        </w:rPr>
        <w:t xml:space="preserve">  合同条款偏离表</w:t>
      </w:r>
      <w:bookmarkEnd w:id="854"/>
      <w:bookmarkEnd w:id="855"/>
      <w:bookmarkEnd w:id="856"/>
      <w:bookmarkEnd w:id="857"/>
      <w:bookmarkEnd w:id="858"/>
      <w:bookmarkEnd w:id="859"/>
      <w:bookmarkEnd w:id="860"/>
      <w:bookmarkEnd w:id="861"/>
      <w:bookmarkEnd w:id="862"/>
      <w:bookmarkEnd w:id="863"/>
      <w:bookmarkEnd w:id="864"/>
      <w:bookmarkEnd w:id="865"/>
      <w:bookmarkEnd w:id="866"/>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填写“正偏离”或“负偏离”或“无偏离”。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bookmarkEnd w:id="867"/>
      <w:bookmarkEnd w:id="868"/>
      <w:bookmarkEnd w:id="869"/>
      <w:bookmarkEnd w:id="870"/>
      <w:bookmarkEnd w:id="871"/>
      <w:bookmarkEnd w:id="872"/>
      <w:bookmarkEnd w:id="873"/>
      <w:bookmarkEnd w:id="874"/>
      <w:bookmarkEnd w:id="875"/>
      <w:bookmarkEnd w:id="876"/>
      <w:bookmarkEnd w:id="877"/>
      <w:bookmarkEnd w:id="878"/>
      <w:bookmarkEnd w:id="879"/>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投标无效。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ascii="宋体" w:hAnsi="宋体"/>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pPr>
        <w:tabs>
          <w:tab w:val="left" w:pos="1800"/>
          <w:tab w:val="left" w:pos="5580"/>
        </w:tabs>
        <w:spacing w:line="360" w:lineRule="auto"/>
        <w:jc w:val="left"/>
        <w:rPr>
          <w:rFonts w:ascii="宋体" w:hAnsi="宋体"/>
          <w:b/>
          <w:bCs/>
          <w:color w:val="000000"/>
          <w:sz w:val="24"/>
        </w:rPr>
      </w:pPr>
      <w:r>
        <w:rPr>
          <w:rFonts w:hint="eastAsia" w:ascii="宋体" w:hAnsi="宋体"/>
          <w:b/>
          <w:bCs/>
          <w:sz w:val="24"/>
        </w:rPr>
        <w:t>3</w:t>
      </w:r>
      <w:r>
        <w:rPr>
          <w:rFonts w:ascii="宋体" w:hAnsi="宋体"/>
          <w:b/>
          <w:bCs/>
          <w:sz w:val="24"/>
        </w:rPr>
        <w:t>.</w:t>
      </w:r>
      <w:r>
        <w:rPr>
          <w:rFonts w:hint="eastAsia"/>
          <w:b/>
          <w:bCs/>
        </w:rPr>
        <w:t xml:space="preserve"> 投</w:t>
      </w:r>
      <w:r>
        <w:rPr>
          <w:rFonts w:hint="eastAsia" w:ascii="宋体" w:hAnsi="宋体"/>
          <w:b/>
          <w:bCs/>
          <w:sz w:val="24"/>
        </w:rPr>
        <w:t>标人应在本表中对招标文件第五章采购需求的内容进行逐项应答，需在引用招标文件要求的基础上,进行逐条逐项答复、说明或解释。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hint="default" w:eastAsia="宋体"/>
          <w:color w:val="000000"/>
          <w:sz w:val="24"/>
          <w:szCs w:val="20"/>
          <w:lang w:val="en-US" w:eastAsia="zh-CN"/>
        </w:rPr>
      </w:pPr>
      <w:r>
        <w:rPr>
          <w:rFonts w:ascii="宋体" w:hAnsi="宋体"/>
          <w:color w:val="000000"/>
          <w:sz w:val="24"/>
          <w:szCs w:val="20"/>
        </w:rPr>
        <w:br w:type="page"/>
      </w:r>
      <w:r>
        <w:rPr>
          <w:color w:val="000000"/>
          <w:sz w:val="24"/>
          <w:szCs w:val="20"/>
        </w:rPr>
        <w:t>7  中小企业</w:t>
      </w:r>
      <w:r>
        <w:rPr>
          <w:rFonts w:hint="eastAsia"/>
          <w:color w:val="000000"/>
          <w:sz w:val="24"/>
          <w:szCs w:val="20"/>
          <w:lang w:val="en-US" w:eastAsia="zh-CN"/>
        </w:rPr>
        <w:t>证明文件</w:t>
      </w:r>
    </w:p>
    <w:p>
      <w:pPr>
        <w:tabs>
          <w:tab w:val="left" w:pos="5580"/>
        </w:tabs>
        <w:spacing w:line="360" w:lineRule="auto"/>
        <w:rPr>
          <w:sz w:val="24"/>
        </w:rPr>
      </w:pPr>
      <w:r>
        <w:rPr>
          <w:rFonts w:hint="eastAsia"/>
          <w:sz w:val="24"/>
        </w:rPr>
        <w:t>说明：</w:t>
      </w:r>
    </w:p>
    <w:p>
      <w:pPr>
        <w:tabs>
          <w:tab w:val="left" w:pos="5580"/>
        </w:tabs>
        <w:spacing w:line="360" w:lineRule="auto"/>
        <w:rPr>
          <w:sz w:val="24"/>
        </w:rPr>
      </w:pPr>
      <w:r>
        <w:rPr>
          <w:rFonts w:hint="eastAsia"/>
          <w:sz w:val="24"/>
        </w:rPr>
        <w:t>1）中小企业参加政府采购活动，应当出具此格式文件。《中小企业声明函》由参加政府采购活动的投标人出具。联合体投标的，《中小企业声明函》由牵头人出具。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3）对于多标的的采购项目，投标人应充分、准确地了解所投产品制造企业信息。对相关情况了解不清楚的，不建议填报本声明函。</w:t>
      </w:r>
    </w:p>
    <w:p>
      <w:pPr>
        <w:tabs>
          <w:tab w:val="left" w:pos="5580"/>
        </w:tabs>
        <w:spacing w:line="360" w:lineRule="auto"/>
        <w:rPr>
          <w:sz w:val="24"/>
        </w:rPr>
      </w:pPr>
      <w:r>
        <w:rPr>
          <w:rFonts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spacing w:line="360" w:lineRule="auto"/>
        <w:outlineLvl w:val="2"/>
        <w:rPr>
          <w:color w:val="000000"/>
          <w:sz w:val="24"/>
          <w:szCs w:val="20"/>
        </w:rPr>
      </w:pPr>
      <w:r>
        <w:rPr>
          <w:color w:val="000000"/>
          <w:szCs w:val="20"/>
        </w:rPr>
        <w:br w:type="page"/>
      </w:r>
      <w:r>
        <w:rPr>
          <w:rFonts w:hint="eastAsia" w:ascii="宋体" w:hAnsi="宋体"/>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55"/>
              <w:jc w:val="center"/>
              <w:rPr>
                <w:sz w:val="24"/>
              </w:rPr>
            </w:pPr>
            <w:r>
              <w:rPr>
                <w:sz w:val="24"/>
              </w:rPr>
              <w:t>序号</w:t>
            </w:r>
          </w:p>
        </w:tc>
        <w:tc>
          <w:tcPr>
            <w:tcW w:w="1287" w:type="dxa"/>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vAlign w:val="center"/>
          </w:tcPr>
          <w:p>
            <w:pPr>
              <w:pStyle w:val="255"/>
              <w:jc w:val="center"/>
              <w:rPr>
                <w:sz w:val="24"/>
              </w:rPr>
            </w:pPr>
            <w:r>
              <w:rPr>
                <w:sz w:val="24"/>
              </w:rPr>
              <w:t>资质等级</w:t>
            </w:r>
          </w:p>
        </w:tc>
        <w:tc>
          <w:tcPr>
            <w:tcW w:w="1558" w:type="dxa"/>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vAlign w:val="center"/>
          </w:tcPr>
          <w:p>
            <w:pPr>
              <w:pStyle w:val="255"/>
              <w:jc w:val="center"/>
              <w:rPr>
                <w:rFonts w:hint="default"/>
                <w:b/>
                <w:sz w:val="24"/>
                <w:lang w:val="en-US" w:eastAsia="zh-CN"/>
              </w:rPr>
            </w:pPr>
            <w:r>
              <w:rPr>
                <w:b/>
                <w:sz w:val="24"/>
                <w:lang w:eastAsia="zh-CN"/>
              </w:rPr>
              <w:t>占</w:t>
            </w:r>
            <w:r>
              <w:rPr>
                <w:rFonts w:hint="eastAsia"/>
                <w:b/>
                <w:sz w:val="24"/>
                <w:lang w:val="en-US" w:eastAsia="zh-CN"/>
              </w:rPr>
              <w:t>合同金额</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5"/>
              <w:jc w:val="center"/>
              <w:rPr>
                <w:rFonts w:ascii="Times New Roman"/>
                <w:sz w:val="24"/>
              </w:rPr>
            </w:pPr>
            <w:r>
              <w:rPr>
                <w:rFonts w:ascii="Times New Roman"/>
                <w:sz w:val="24"/>
              </w:rPr>
              <w:t>1</w:t>
            </w:r>
          </w:p>
        </w:tc>
        <w:tc>
          <w:tcPr>
            <w:tcW w:w="1287" w:type="dxa"/>
            <w:vAlign w:val="center"/>
          </w:tcPr>
          <w:p>
            <w:pPr>
              <w:pStyle w:val="255"/>
              <w:jc w:val="center"/>
              <w:rPr>
                <w:rFonts w:ascii="Times New Roman" w:hAnsi="Times New Roman" w:cs="Times New Roman"/>
                <w:sz w:val="30"/>
              </w:rPr>
            </w:pPr>
          </w:p>
        </w:tc>
        <w:tc>
          <w:tcPr>
            <w:tcW w:w="1513" w:type="dxa"/>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pPr>
              <w:pStyle w:val="255"/>
              <w:jc w:val="center"/>
              <w:rPr>
                <w:rFonts w:ascii="Times New Roman"/>
                <w:sz w:val="30"/>
                <w:lang w:eastAsia="zh-CN"/>
              </w:rPr>
            </w:pPr>
          </w:p>
        </w:tc>
        <w:tc>
          <w:tcPr>
            <w:tcW w:w="1558" w:type="dxa"/>
            <w:vAlign w:val="center"/>
          </w:tcPr>
          <w:p>
            <w:pPr>
              <w:pStyle w:val="255"/>
              <w:jc w:val="center"/>
              <w:rPr>
                <w:rFonts w:ascii="Times New Roman"/>
                <w:sz w:val="30"/>
                <w:lang w:eastAsia="zh-CN"/>
              </w:rPr>
            </w:pPr>
          </w:p>
        </w:tc>
        <w:tc>
          <w:tcPr>
            <w:tcW w:w="1498" w:type="dxa"/>
            <w:vAlign w:val="center"/>
          </w:tcPr>
          <w:p>
            <w:pPr>
              <w:pStyle w:val="255"/>
              <w:jc w:val="center"/>
              <w:rPr>
                <w:rFonts w:ascii="Times New Roman"/>
                <w:sz w:val="30"/>
                <w:lang w:eastAsia="zh-CN"/>
              </w:rPr>
            </w:pPr>
          </w:p>
        </w:tc>
        <w:tc>
          <w:tcPr>
            <w:tcW w:w="1564" w:type="dxa"/>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5"/>
              <w:jc w:val="center"/>
              <w:rPr>
                <w:rFonts w:ascii="Times New Roman"/>
                <w:sz w:val="24"/>
                <w:lang w:eastAsia="zh-CN"/>
              </w:rPr>
            </w:pPr>
            <w:r>
              <w:rPr>
                <w:rFonts w:hint="eastAsia" w:ascii="Times New Roman"/>
                <w:sz w:val="24"/>
                <w:lang w:eastAsia="zh-CN"/>
              </w:rPr>
              <w:t>2</w:t>
            </w:r>
          </w:p>
        </w:tc>
        <w:tc>
          <w:tcPr>
            <w:tcW w:w="1287" w:type="dxa"/>
            <w:vAlign w:val="center"/>
          </w:tcPr>
          <w:p>
            <w:pPr>
              <w:pStyle w:val="255"/>
              <w:jc w:val="center"/>
              <w:rPr>
                <w:rFonts w:ascii="Times New Roman"/>
                <w:sz w:val="30"/>
              </w:rPr>
            </w:pPr>
          </w:p>
        </w:tc>
        <w:tc>
          <w:tcPr>
            <w:tcW w:w="1513" w:type="dxa"/>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pPr>
              <w:pStyle w:val="255"/>
              <w:jc w:val="center"/>
              <w:rPr>
                <w:rFonts w:ascii="Times New Roman"/>
                <w:sz w:val="30"/>
                <w:lang w:eastAsia="zh-CN"/>
              </w:rPr>
            </w:pPr>
          </w:p>
        </w:tc>
        <w:tc>
          <w:tcPr>
            <w:tcW w:w="1558" w:type="dxa"/>
            <w:vAlign w:val="center"/>
          </w:tcPr>
          <w:p>
            <w:pPr>
              <w:pStyle w:val="255"/>
              <w:jc w:val="center"/>
              <w:rPr>
                <w:rFonts w:ascii="Times New Roman"/>
                <w:sz w:val="30"/>
                <w:lang w:eastAsia="zh-CN"/>
              </w:rPr>
            </w:pPr>
          </w:p>
        </w:tc>
        <w:tc>
          <w:tcPr>
            <w:tcW w:w="1498" w:type="dxa"/>
            <w:vAlign w:val="center"/>
          </w:tcPr>
          <w:p>
            <w:pPr>
              <w:pStyle w:val="255"/>
              <w:jc w:val="center"/>
              <w:rPr>
                <w:rFonts w:ascii="Times New Roman"/>
                <w:sz w:val="30"/>
                <w:lang w:eastAsia="zh-CN"/>
              </w:rPr>
            </w:pPr>
          </w:p>
        </w:tc>
        <w:tc>
          <w:tcPr>
            <w:tcW w:w="1564" w:type="dxa"/>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55"/>
              <w:jc w:val="center"/>
              <w:rPr>
                <w:rFonts w:ascii="Times New Roman"/>
                <w:sz w:val="24"/>
                <w:lang w:eastAsia="zh-CN"/>
              </w:rPr>
            </w:pPr>
            <w:r>
              <w:rPr>
                <w:rFonts w:ascii="Times New Roman"/>
                <w:sz w:val="24"/>
                <w:lang w:eastAsia="zh-CN"/>
              </w:rPr>
              <w:t>…</w:t>
            </w:r>
          </w:p>
        </w:tc>
        <w:tc>
          <w:tcPr>
            <w:tcW w:w="1287" w:type="dxa"/>
            <w:vAlign w:val="center"/>
          </w:tcPr>
          <w:p>
            <w:pPr>
              <w:pStyle w:val="255"/>
              <w:jc w:val="center"/>
              <w:rPr>
                <w:rFonts w:ascii="Times New Roman"/>
                <w:sz w:val="30"/>
              </w:rPr>
            </w:pPr>
          </w:p>
        </w:tc>
        <w:tc>
          <w:tcPr>
            <w:tcW w:w="1513" w:type="dxa"/>
            <w:vAlign w:val="center"/>
          </w:tcPr>
          <w:p>
            <w:pPr>
              <w:pStyle w:val="255"/>
              <w:tabs>
                <w:tab w:val="left" w:pos="235"/>
              </w:tabs>
              <w:jc w:val="center"/>
              <w:rPr>
                <w:sz w:val="24"/>
              </w:rPr>
            </w:pPr>
          </w:p>
        </w:tc>
        <w:tc>
          <w:tcPr>
            <w:tcW w:w="1125" w:type="dxa"/>
            <w:vAlign w:val="center"/>
          </w:tcPr>
          <w:p>
            <w:pPr>
              <w:pStyle w:val="255"/>
              <w:jc w:val="center"/>
              <w:rPr>
                <w:rFonts w:ascii="Times New Roman"/>
                <w:sz w:val="30"/>
              </w:rPr>
            </w:pPr>
          </w:p>
        </w:tc>
        <w:tc>
          <w:tcPr>
            <w:tcW w:w="1558" w:type="dxa"/>
            <w:vAlign w:val="center"/>
          </w:tcPr>
          <w:p>
            <w:pPr>
              <w:pStyle w:val="255"/>
              <w:jc w:val="center"/>
              <w:rPr>
                <w:rFonts w:ascii="Times New Roman"/>
                <w:sz w:val="30"/>
              </w:rPr>
            </w:pPr>
          </w:p>
        </w:tc>
        <w:tc>
          <w:tcPr>
            <w:tcW w:w="1498" w:type="dxa"/>
            <w:vAlign w:val="center"/>
          </w:tcPr>
          <w:p>
            <w:pPr>
              <w:pStyle w:val="255"/>
              <w:jc w:val="center"/>
              <w:rPr>
                <w:rFonts w:ascii="Times New Roman"/>
                <w:sz w:val="30"/>
              </w:rPr>
            </w:pPr>
          </w:p>
        </w:tc>
        <w:tc>
          <w:tcPr>
            <w:tcW w:w="1564" w:type="dxa"/>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55"/>
              <w:ind w:right="57" w:rightChars="27"/>
              <w:jc w:val="right"/>
              <w:rPr>
                <w:sz w:val="24"/>
                <w:lang w:eastAsia="zh-CN"/>
              </w:rPr>
            </w:pPr>
            <w:r>
              <w:rPr>
                <w:rFonts w:hint="eastAsia"/>
                <w:sz w:val="24"/>
                <w:lang w:eastAsia="zh-CN"/>
              </w:rPr>
              <w:t>合计：</w:t>
            </w:r>
          </w:p>
        </w:tc>
        <w:tc>
          <w:tcPr>
            <w:tcW w:w="1498" w:type="dxa"/>
            <w:vAlign w:val="center"/>
          </w:tcPr>
          <w:p>
            <w:pPr>
              <w:pStyle w:val="255"/>
              <w:jc w:val="center"/>
              <w:rPr>
                <w:rFonts w:ascii="Times New Roman"/>
                <w:sz w:val="30"/>
              </w:rPr>
            </w:pPr>
          </w:p>
        </w:tc>
        <w:tc>
          <w:tcPr>
            <w:tcW w:w="1564" w:type="dxa"/>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1.本表仅在投标人非因“为落实政府采购政策”而分包时填写；投标人“为落实政府采购政策”而向中小企业分包时请按照《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lang w:eastAsia="zh-CN"/>
        </w:rPr>
        <w:t>复印件</w:t>
      </w:r>
      <w:r>
        <w:rPr>
          <w:rFonts w:hint="eastAsia"/>
          <w:sz w:val="24"/>
        </w:rPr>
        <w:t>，</w:t>
      </w:r>
      <w:r>
        <w:rPr>
          <w:sz w:val="24"/>
        </w:rPr>
        <w:t>否则</w:t>
      </w:r>
      <w:r>
        <w:rPr>
          <w:b/>
          <w:sz w:val="24"/>
        </w:rPr>
        <w:t>投标无效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10</w:t>
      </w:r>
      <w:r>
        <w:rPr>
          <w:rFonts w:ascii="宋体" w:hAnsi="宋体"/>
          <w:color w:val="000000"/>
          <w:sz w:val="24"/>
          <w:szCs w:val="20"/>
        </w:rPr>
        <w:t xml:space="preserve">  招标文件要求提供或投标人认为应附的其他材料</w:t>
      </w:r>
    </w:p>
    <w:p>
      <w:pPr>
        <w:pStyle w:val="22"/>
        <w:spacing w:line="360" w:lineRule="auto"/>
        <w:jc w:val="left"/>
        <w:rPr>
          <w:rFonts w:hint="default" w:hAnsi="宋体"/>
          <w:bCs/>
          <w:color w:val="000000"/>
          <w:sz w:val="24"/>
          <w:szCs w:val="24"/>
        </w:rPr>
      </w:pPr>
      <w:r>
        <w:rPr>
          <w:rFonts w:hAnsi="宋体"/>
          <w:bCs/>
          <w:color w:val="000000"/>
          <w:sz w:val="24"/>
          <w:szCs w:val="24"/>
        </w:rPr>
        <w:t>包括但不限于：</w:t>
      </w:r>
    </w:p>
    <w:p>
      <w:pPr>
        <w:widowControl/>
        <w:numPr>
          <w:ilvl w:val="0"/>
          <w:numId w:val="17"/>
        </w:numPr>
        <w:spacing w:line="360" w:lineRule="auto"/>
        <w:ind w:firstLine="480" w:firstLineChars="200"/>
        <w:jc w:val="left"/>
        <w:rPr>
          <w:rFonts w:ascii="宋体" w:hAnsi="宋体"/>
          <w:bCs/>
          <w:color w:val="000000"/>
          <w:sz w:val="24"/>
        </w:rPr>
      </w:pPr>
      <w:r>
        <w:rPr>
          <w:rFonts w:hint="eastAsia" w:ascii="宋体" w:hAnsi="宋体"/>
          <w:bCs/>
          <w:color w:val="000000"/>
          <w:sz w:val="24"/>
        </w:rPr>
        <w:t>服务方案</w:t>
      </w:r>
    </w:p>
    <w:p>
      <w:pPr>
        <w:widowControl/>
        <w:numPr>
          <w:ilvl w:val="0"/>
          <w:numId w:val="17"/>
        </w:numPr>
        <w:spacing w:line="360" w:lineRule="auto"/>
        <w:ind w:firstLine="480" w:firstLineChars="200"/>
        <w:jc w:val="left"/>
        <w:rPr>
          <w:rFonts w:ascii="宋体" w:hAnsi="宋体"/>
          <w:bCs/>
          <w:color w:val="000000"/>
          <w:sz w:val="24"/>
        </w:rPr>
      </w:pPr>
      <w:r>
        <w:rPr>
          <w:rFonts w:hint="eastAsia" w:ascii="宋体" w:hAnsi="宋体"/>
          <w:bCs/>
          <w:color w:val="000000"/>
          <w:sz w:val="24"/>
        </w:rPr>
        <w:t>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、招标文件第四章和第五章提出的其它材料</w:t>
      </w:r>
    </w:p>
    <w:p>
      <w:pPr>
        <w:rPr>
          <w:rFonts w:ascii="宋体" w:hAnsi="宋体"/>
          <w:b/>
          <w:sz w:val="36"/>
          <w:szCs w:val="36"/>
        </w:rPr>
      </w:pPr>
      <w:r>
        <w:rPr>
          <w:rFonts w:ascii="宋体" w:hAnsi="宋体"/>
          <w:b/>
          <w:sz w:val="36"/>
          <w:szCs w:val="36"/>
        </w:rPr>
        <w:br w:type="page"/>
      </w:r>
    </w:p>
    <w:p>
      <w:pPr>
        <w:spacing w:line="360" w:lineRule="auto"/>
        <w:rPr>
          <w:rFonts w:ascii="宋体" w:hAnsi="宋体"/>
          <w:color w:val="000000"/>
          <w:sz w:val="24"/>
        </w:rPr>
      </w:pPr>
      <w:r>
        <w:rPr>
          <w:rFonts w:hint="eastAsia" w:ascii="宋体" w:hAnsi="宋体"/>
          <w:color w:val="000000"/>
          <w:sz w:val="24"/>
        </w:rPr>
        <w:t>10-1项目负责人情况表</w:t>
      </w:r>
    </w:p>
    <w:tbl>
      <w:tblPr>
        <w:tblStyle w:val="40"/>
        <w:tblW w:w="861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1824"/>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姓名</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性别</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restart"/>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年龄</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身份证号码</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职称</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毕业时间</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所学专业</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学历</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各类专业技术证书</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联系电话</w:t>
            </w:r>
          </w:p>
        </w:tc>
        <w:tc>
          <w:tcPr>
            <w:tcW w:w="1824"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c>
          <w:tcPr>
            <w:tcW w:w="4650" w:type="dxa"/>
            <w:vMerge w:val="continue"/>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14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r>
              <w:rPr>
                <w:rFonts w:hint="eastAsia" w:ascii="宋体" w:hAnsi="宋体"/>
                <w:color w:val="000000"/>
                <w:sz w:val="24"/>
                <w:lang w:val="zh-CN"/>
              </w:rPr>
              <w:t>曾担任负责人的项目情况</w:t>
            </w:r>
          </w:p>
        </w:tc>
        <w:tc>
          <w:tcPr>
            <w:tcW w:w="6474" w:type="dxa"/>
            <w:gridSpan w:val="2"/>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olor w:val="000000"/>
                <w:sz w:val="24"/>
                <w:lang w:val="zh-CN"/>
              </w:rPr>
            </w:pPr>
          </w:p>
        </w:tc>
      </w:tr>
    </w:tbl>
    <w:p>
      <w:pPr>
        <w:autoSpaceDE w:val="0"/>
        <w:autoSpaceDN w:val="0"/>
        <w:adjustRightInd w:val="0"/>
        <w:snapToGrid w:val="0"/>
        <w:spacing w:line="360" w:lineRule="auto"/>
        <w:rPr>
          <w:rFonts w:ascii="宋体" w:hAnsi="宋体"/>
          <w:b/>
          <w:color w:val="000000"/>
          <w:sz w:val="24"/>
        </w:rPr>
      </w:pPr>
      <w:r>
        <w:rPr>
          <w:rFonts w:hint="eastAsia" w:ascii="宋体" w:hAnsi="宋体"/>
          <w:b/>
          <w:color w:val="000000"/>
          <w:sz w:val="24"/>
          <w:lang w:val="zh-CN"/>
        </w:rPr>
        <w:t>注：</w:t>
      </w:r>
      <w:r>
        <w:rPr>
          <w:rFonts w:hint="eastAsia" w:ascii="宋体" w:hAnsi="宋体"/>
          <w:b/>
          <w:color w:val="000000"/>
          <w:sz w:val="24"/>
        </w:rPr>
        <w:t>附项目负责人学历证明、相关证书</w:t>
      </w: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lang w:val="zh-CN"/>
        </w:rPr>
      </w:pPr>
      <w:r>
        <w:rPr>
          <w:rFonts w:hint="eastAsia" w:ascii="宋体" w:hAnsi="宋体"/>
          <w:color w:val="000000"/>
          <w:sz w:val="24"/>
          <w:lang w:val="zh-CN"/>
        </w:rPr>
        <w:t>投标人名称：（公章）</w:t>
      </w:r>
    </w:p>
    <w:p>
      <w:pPr>
        <w:rPr>
          <w:rFonts w:ascii="宋体" w:hAnsi="宋体"/>
          <w:color w:val="000000"/>
          <w:sz w:val="24"/>
          <w:lang w:val="zh-CN"/>
        </w:rPr>
      </w:pPr>
      <w:r>
        <w:rPr>
          <w:rFonts w:hint="eastAsia" w:ascii="宋体" w:hAnsi="宋体"/>
          <w:color w:val="000000"/>
          <w:sz w:val="24"/>
          <w:lang w:val="zh-CN"/>
        </w:rPr>
        <w:t>日期：</w:t>
      </w:r>
    </w:p>
    <w:p>
      <w:pPr>
        <w:spacing w:line="360" w:lineRule="auto"/>
        <w:rPr>
          <w:rFonts w:ascii="宋体" w:hAnsi="宋体"/>
          <w:color w:val="000000"/>
          <w:sz w:val="24"/>
        </w:rPr>
      </w:pPr>
      <w:r>
        <w:rPr>
          <w:rFonts w:ascii="宋体" w:hAnsi="宋体"/>
          <w:color w:val="000000"/>
          <w:sz w:val="24"/>
        </w:rPr>
        <w:br w:type="page"/>
      </w:r>
      <w:r>
        <w:rPr>
          <w:rFonts w:hint="eastAsia" w:ascii="宋体" w:hAnsi="宋体"/>
          <w:color w:val="000000"/>
          <w:sz w:val="24"/>
        </w:rPr>
        <w:t>10-2 投标人承担本项目主要专业人员简历表</w:t>
      </w:r>
    </w:p>
    <w:tbl>
      <w:tblPr>
        <w:tblStyle w:val="4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440"/>
        <w:gridCol w:w="1247"/>
        <w:gridCol w:w="99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ign w:val="center"/>
          </w:tcPr>
          <w:p>
            <w:pPr>
              <w:jc w:val="center"/>
              <w:rPr>
                <w:rFonts w:ascii="宋体" w:hAnsi="宋体"/>
                <w:b/>
                <w:bCs/>
                <w:color w:val="000000"/>
                <w:szCs w:val="21"/>
              </w:rPr>
            </w:pPr>
            <w:r>
              <w:rPr>
                <w:rFonts w:hint="eastAsia" w:ascii="宋体" w:hAnsi="宋体"/>
                <w:b/>
                <w:bCs/>
                <w:color w:val="000000"/>
                <w:szCs w:val="21"/>
              </w:rPr>
              <w:t>人员姓名</w:t>
            </w:r>
          </w:p>
        </w:tc>
        <w:tc>
          <w:tcPr>
            <w:tcW w:w="1440" w:type="dxa"/>
            <w:noWrap/>
            <w:vAlign w:val="center"/>
          </w:tcPr>
          <w:p>
            <w:pPr>
              <w:jc w:val="center"/>
              <w:rPr>
                <w:rFonts w:ascii="宋体" w:hAnsi="宋体"/>
                <w:b/>
                <w:bCs/>
                <w:color w:val="000000"/>
                <w:szCs w:val="21"/>
              </w:rPr>
            </w:pPr>
            <w:r>
              <w:rPr>
                <w:rFonts w:hint="eastAsia" w:ascii="宋体" w:hAnsi="宋体"/>
                <w:b/>
                <w:bCs/>
                <w:color w:val="000000"/>
                <w:szCs w:val="21"/>
              </w:rPr>
              <w:t>身份证号码</w:t>
            </w:r>
          </w:p>
        </w:tc>
        <w:tc>
          <w:tcPr>
            <w:tcW w:w="1440" w:type="dxa"/>
            <w:noWrap/>
            <w:vAlign w:val="center"/>
          </w:tcPr>
          <w:p>
            <w:pPr>
              <w:jc w:val="center"/>
              <w:rPr>
                <w:rFonts w:ascii="宋体" w:hAnsi="宋体"/>
                <w:b/>
                <w:bCs/>
                <w:color w:val="000000"/>
                <w:szCs w:val="21"/>
              </w:rPr>
            </w:pPr>
            <w:r>
              <w:rPr>
                <w:rFonts w:hint="eastAsia" w:ascii="宋体" w:hAnsi="宋体"/>
                <w:b/>
                <w:bCs/>
                <w:color w:val="000000"/>
                <w:szCs w:val="21"/>
              </w:rPr>
              <w:t>专业/类别</w:t>
            </w:r>
          </w:p>
        </w:tc>
        <w:tc>
          <w:tcPr>
            <w:tcW w:w="1247" w:type="dxa"/>
            <w:noWrap/>
            <w:vAlign w:val="center"/>
          </w:tcPr>
          <w:p>
            <w:pPr>
              <w:jc w:val="center"/>
              <w:rPr>
                <w:rFonts w:ascii="宋体" w:hAnsi="宋体"/>
                <w:b/>
                <w:bCs/>
                <w:color w:val="000000"/>
                <w:szCs w:val="21"/>
              </w:rPr>
            </w:pPr>
            <w:r>
              <w:rPr>
                <w:rFonts w:hint="eastAsia" w:ascii="宋体" w:hAnsi="宋体"/>
                <w:b/>
                <w:bCs/>
                <w:color w:val="000000"/>
                <w:szCs w:val="21"/>
              </w:rPr>
              <w:t>工作时间</w:t>
            </w:r>
          </w:p>
        </w:tc>
        <w:tc>
          <w:tcPr>
            <w:tcW w:w="992" w:type="dxa"/>
            <w:noWrap/>
            <w:vAlign w:val="center"/>
          </w:tcPr>
          <w:p>
            <w:pPr>
              <w:jc w:val="center"/>
              <w:rPr>
                <w:rFonts w:ascii="宋体" w:hAnsi="宋体"/>
                <w:b/>
                <w:bCs/>
                <w:color w:val="000000"/>
                <w:szCs w:val="21"/>
              </w:rPr>
            </w:pPr>
            <w:r>
              <w:rPr>
                <w:rFonts w:hint="eastAsia" w:ascii="宋体" w:hAnsi="宋体"/>
                <w:b/>
                <w:bCs/>
                <w:color w:val="000000"/>
                <w:szCs w:val="21"/>
              </w:rPr>
              <w:t>典型工作经历</w:t>
            </w:r>
          </w:p>
        </w:tc>
        <w:tc>
          <w:tcPr>
            <w:tcW w:w="2835" w:type="dxa"/>
            <w:noWrap/>
            <w:vAlign w:val="center"/>
          </w:tcPr>
          <w:p>
            <w:pPr>
              <w:jc w:val="center"/>
              <w:rPr>
                <w:rFonts w:ascii="宋体" w:hAnsi="宋体"/>
                <w:b/>
                <w:bCs/>
                <w:color w:val="000000"/>
                <w:szCs w:val="21"/>
              </w:rPr>
            </w:pPr>
            <w:r>
              <w:rPr>
                <w:rFonts w:hint="eastAsia" w:ascii="宋体" w:hAnsi="宋体"/>
                <w:b/>
                <w:bCs/>
                <w:color w:val="000000"/>
                <w:szCs w:val="21"/>
              </w:rPr>
              <w:t>拟在本项目中承担的职责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247" w:type="dxa"/>
            <w:noWrap/>
          </w:tcPr>
          <w:p>
            <w:pPr>
              <w:jc w:val="center"/>
              <w:rPr>
                <w:rFonts w:ascii="宋体" w:hAnsi="宋体"/>
                <w:color w:val="000000"/>
                <w:sz w:val="24"/>
              </w:rPr>
            </w:pPr>
          </w:p>
        </w:tc>
        <w:tc>
          <w:tcPr>
            <w:tcW w:w="992" w:type="dxa"/>
            <w:noWrap/>
          </w:tcPr>
          <w:p>
            <w:pPr>
              <w:jc w:val="center"/>
              <w:rPr>
                <w:rFonts w:ascii="宋体" w:hAnsi="宋体"/>
                <w:color w:val="000000"/>
                <w:sz w:val="24"/>
              </w:rPr>
            </w:pPr>
          </w:p>
        </w:tc>
        <w:tc>
          <w:tcPr>
            <w:tcW w:w="2835"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247" w:type="dxa"/>
            <w:noWrap/>
          </w:tcPr>
          <w:p>
            <w:pPr>
              <w:jc w:val="center"/>
              <w:rPr>
                <w:rFonts w:ascii="宋体" w:hAnsi="宋体"/>
                <w:color w:val="000000"/>
                <w:sz w:val="24"/>
              </w:rPr>
            </w:pPr>
          </w:p>
        </w:tc>
        <w:tc>
          <w:tcPr>
            <w:tcW w:w="992" w:type="dxa"/>
            <w:noWrap/>
          </w:tcPr>
          <w:p>
            <w:pPr>
              <w:jc w:val="center"/>
              <w:rPr>
                <w:rFonts w:ascii="宋体" w:hAnsi="宋体"/>
                <w:color w:val="000000"/>
                <w:sz w:val="24"/>
              </w:rPr>
            </w:pPr>
          </w:p>
        </w:tc>
        <w:tc>
          <w:tcPr>
            <w:tcW w:w="2835"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247" w:type="dxa"/>
            <w:noWrap/>
          </w:tcPr>
          <w:p>
            <w:pPr>
              <w:jc w:val="center"/>
              <w:rPr>
                <w:rFonts w:ascii="宋体" w:hAnsi="宋体"/>
                <w:color w:val="000000"/>
                <w:sz w:val="24"/>
              </w:rPr>
            </w:pPr>
          </w:p>
        </w:tc>
        <w:tc>
          <w:tcPr>
            <w:tcW w:w="992" w:type="dxa"/>
            <w:noWrap/>
          </w:tcPr>
          <w:p>
            <w:pPr>
              <w:jc w:val="center"/>
              <w:rPr>
                <w:rFonts w:ascii="宋体" w:hAnsi="宋体"/>
                <w:color w:val="000000"/>
                <w:sz w:val="24"/>
              </w:rPr>
            </w:pPr>
          </w:p>
        </w:tc>
        <w:tc>
          <w:tcPr>
            <w:tcW w:w="2835"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247" w:type="dxa"/>
            <w:noWrap/>
          </w:tcPr>
          <w:p>
            <w:pPr>
              <w:jc w:val="center"/>
              <w:rPr>
                <w:rFonts w:ascii="宋体" w:hAnsi="宋体"/>
                <w:color w:val="000000"/>
                <w:sz w:val="24"/>
              </w:rPr>
            </w:pPr>
          </w:p>
        </w:tc>
        <w:tc>
          <w:tcPr>
            <w:tcW w:w="992" w:type="dxa"/>
            <w:noWrap/>
          </w:tcPr>
          <w:p>
            <w:pPr>
              <w:jc w:val="center"/>
              <w:rPr>
                <w:rFonts w:ascii="宋体" w:hAnsi="宋体"/>
                <w:color w:val="000000"/>
                <w:sz w:val="24"/>
              </w:rPr>
            </w:pPr>
          </w:p>
        </w:tc>
        <w:tc>
          <w:tcPr>
            <w:tcW w:w="2835"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247" w:type="dxa"/>
            <w:noWrap/>
          </w:tcPr>
          <w:p>
            <w:pPr>
              <w:jc w:val="center"/>
              <w:rPr>
                <w:rFonts w:ascii="宋体" w:hAnsi="宋体"/>
                <w:color w:val="000000"/>
                <w:sz w:val="24"/>
              </w:rPr>
            </w:pPr>
          </w:p>
        </w:tc>
        <w:tc>
          <w:tcPr>
            <w:tcW w:w="992" w:type="dxa"/>
            <w:noWrap/>
          </w:tcPr>
          <w:p>
            <w:pPr>
              <w:jc w:val="center"/>
              <w:rPr>
                <w:rFonts w:ascii="宋体" w:hAnsi="宋体"/>
                <w:color w:val="000000"/>
                <w:sz w:val="24"/>
              </w:rPr>
            </w:pPr>
          </w:p>
        </w:tc>
        <w:tc>
          <w:tcPr>
            <w:tcW w:w="2835"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247" w:type="dxa"/>
            <w:noWrap/>
          </w:tcPr>
          <w:p>
            <w:pPr>
              <w:jc w:val="center"/>
              <w:rPr>
                <w:rFonts w:ascii="宋体" w:hAnsi="宋体"/>
                <w:color w:val="000000"/>
                <w:sz w:val="24"/>
              </w:rPr>
            </w:pPr>
          </w:p>
        </w:tc>
        <w:tc>
          <w:tcPr>
            <w:tcW w:w="992" w:type="dxa"/>
            <w:noWrap/>
          </w:tcPr>
          <w:p>
            <w:pPr>
              <w:jc w:val="center"/>
              <w:rPr>
                <w:rFonts w:ascii="宋体" w:hAnsi="宋体"/>
                <w:color w:val="000000"/>
                <w:sz w:val="24"/>
              </w:rPr>
            </w:pPr>
          </w:p>
        </w:tc>
        <w:tc>
          <w:tcPr>
            <w:tcW w:w="2835"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440" w:type="dxa"/>
            <w:noWrap/>
          </w:tcPr>
          <w:p>
            <w:pPr>
              <w:jc w:val="center"/>
              <w:rPr>
                <w:rFonts w:ascii="宋体" w:hAnsi="宋体"/>
                <w:color w:val="000000"/>
                <w:sz w:val="24"/>
              </w:rPr>
            </w:pPr>
          </w:p>
        </w:tc>
        <w:tc>
          <w:tcPr>
            <w:tcW w:w="1247" w:type="dxa"/>
            <w:noWrap/>
          </w:tcPr>
          <w:p>
            <w:pPr>
              <w:jc w:val="center"/>
              <w:rPr>
                <w:rFonts w:ascii="宋体" w:hAnsi="宋体"/>
                <w:color w:val="000000"/>
                <w:sz w:val="24"/>
              </w:rPr>
            </w:pPr>
          </w:p>
        </w:tc>
        <w:tc>
          <w:tcPr>
            <w:tcW w:w="992" w:type="dxa"/>
            <w:noWrap/>
          </w:tcPr>
          <w:p>
            <w:pPr>
              <w:jc w:val="center"/>
              <w:rPr>
                <w:rFonts w:ascii="宋体" w:hAnsi="宋体"/>
                <w:color w:val="000000"/>
                <w:sz w:val="24"/>
              </w:rPr>
            </w:pPr>
          </w:p>
        </w:tc>
        <w:tc>
          <w:tcPr>
            <w:tcW w:w="2835" w:type="dxa"/>
            <w:noWrap/>
          </w:tcPr>
          <w:p>
            <w:pPr>
              <w:jc w:val="center"/>
              <w:rPr>
                <w:rFonts w:ascii="宋体" w:hAnsi="宋体"/>
                <w:color w:val="000000"/>
                <w:sz w:val="24"/>
              </w:rPr>
            </w:pPr>
          </w:p>
        </w:tc>
      </w:tr>
    </w:tbl>
    <w:p>
      <w:pPr>
        <w:autoSpaceDE w:val="0"/>
        <w:autoSpaceDN w:val="0"/>
        <w:adjustRightInd w:val="0"/>
        <w:snapToGrid w:val="0"/>
        <w:spacing w:line="360" w:lineRule="auto"/>
        <w:rPr>
          <w:rFonts w:ascii="宋体" w:hAnsi="宋体"/>
          <w:b/>
          <w:color w:val="000000"/>
          <w:sz w:val="24"/>
        </w:rPr>
      </w:pPr>
      <w:r>
        <w:rPr>
          <w:rFonts w:hint="eastAsia" w:ascii="宋体" w:hAnsi="宋体"/>
          <w:b/>
          <w:color w:val="000000"/>
          <w:sz w:val="24"/>
          <w:lang w:val="zh-CN"/>
        </w:rPr>
        <w:t>注：</w:t>
      </w:r>
      <w:r>
        <w:rPr>
          <w:rFonts w:hint="eastAsia" w:ascii="宋体" w:hAnsi="宋体"/>
          <w:b/>
          <w:color w:val="000000"/>
          <w:sz w:val="24"/>
        </w:rPr>
        <w:t>附专业人员学历证明、相关资格证书</w:t>
      </w: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lang w:val="zh-CN"/>
        </w:rPr>
      </w:pPr>
      <w:r>
        <w:rPr>
          <w:rFonts w:hint="eastAsia" w:ascii="宋体" w:hAnsi="宋体"/>
          <w:color w:val="000000"/>
          <w:sz w:val="24"/>
          <w:lang w:val="zh-CN"/>
        </w:rPr>
        <w:t>投标人名称：（公章）</w:t>
      </w:r>
    </w:p>
    <w:p>
      <w:pPr>
        <w:rPr>
          <w:rFonts w:ascii="宋体" w:hAnsi="宋体"/>
          <w:color w:val="000000"/>
          <w:sz w:val="24"/>
          <w:lang w:val="zh-CN"/>
        </w:rPr>
      </w:pPr>
      <w:r>
        <w:rPr>
          <w:rFonts w:hint="eastAsia" w:ascii="宋体" w:hAnsi="宋体"/>
          <w:color w:val="000000"/>
          <w:sz w:val="24"/>
          <w:lang w:val="zh-CN"/>
        </w:rPr>
        <w:t>日期：</w:t>
      </w:r>
    </w:p>
    <w:p>
      <w:pPr>
        <w:pStyle w:val="39"/>
        <w:ind w:firstLine="420"/>
      </w:pPr>
    </w:p>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y="1"/>
      <w:ind w:right="360"/>
      <w:rPr>
        <w:rStyle w:val="45"/>
      </w:rPr>
    </w:pPr>
  </w:p>
  <w:p>
    <w:pPr>
      <w:pStyle w:val="26"/>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p>
  <w:p>
    <w:pPr>
      <w:pStyle w:val="2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971772"/>
      <w:docPartObj>
        <w:docPartGallery w:val="autotext"/>
      </w:docPartObj>
    </w:sdtPr>
    <w:sdtContent>
      <w:p>
        <w:pPr>
          <w:pStyle w:val="26"/>
          <w:tabs>
            <w:tab w:val="left" w:pos="4149"/>
            <w:tab w:val="left" w:pos="8016"/>
            <w:tab w:val="clear" w:pos="4153"/>
            <w:tab w:val="clear" w:pos="8306"/>
          </w:tabs>
          <w:jc w:val="center"/>
        </w:pPr>
        <w:r>
          <w:fldChar w:fldCharType="begin"/>
        </w:r>
        <w:r>
          <w:instrText xml:space="preserve">PAGE   \* MERGEFORMAT</w:instrText>
        </w:r>
        <w:r>
          <w:fldChar w:fldCharType="separate"/>
        </w:r>
        <w:r>
          <w:rPr>
            <w:lang w:val="zh-CN"/>
          </w:rPr>
          <w:t>12</w:t>
        </w:r>
        <w:r>
          <w:fldChar w:fldCharType="end"/>
        </w:r>
      </w:p>
    </w:sdtContent>
  </w:sdt>
  <w:p>
    <w:pPr>
      <w:widowControl w:val="0"/>
      <w:snapToGrid w:val="0"/>
      <w:spacing w:line="240" w:lineRule="aut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华文中宋" w:eastAsia="华文中宋"/>
      </w:rPr>
      <w:fldChar w:fldCharType="begin"/>
    </w:r>
    <w:r>
      <w:rPr>
        <w:rFonts w:ascii="华文中宋" w:eastAsia="华文中宋"/>
      </w:rPr>
      <w:instrText xml:space="preserve"> PAGE   \* MERGEFORMAT </w:instrText>
    </w:r>
    <w:r>
      <w:rPr>
        <w:rFonts w:ascii="华文中宋" w:eastAsia="华文中宋"/>
      </w:rPr>
      <w:fldChar w:fldCharType="separate"/>
    </w:r>
    <w:r>
      <w:rPr>
        <w:rFonts w:ascii="华文中宋" w:eastAsia="华文中宋"/>
        <w:lang w:val="zh-CN"/>
      </w:rPr>
      <w:t>4</w:t>
    </w:r>
    <w:r>
      <w:rPr>
        <w:rFonts w:ascii="华文中宋" w:eastAsia="华文中宋"/>
      </w:rPr>
      <w:fldChar w:fldCharType="end"/>
    </w:r>
  </w:p>
  <w:p>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6"/>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rPr>
        <w:rFonts w:ascii="黑体" w:hAnsi="宋体" w:eastAsia="黑体"/>
        <w:sz w:val="24"/>
        <w:szCs w:val="24"/>
        <w:u w:val="single"/>
      </w:rPr>
    </w:pPr>
    <w:r>
      <w:rPr>
        <w:rFonts w:ascii="黑体" w:hAnsi="宋体" w:eastAsia="黑体"/>
        <w:sz w:val="24"/>
        <w:szCs w:val="24"/>
        <w:u w:val="single"/>
      </w:rPr>
      <w:pict>
        <v:shape id="Text Box 2" o:spid="_x0000_s2049"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woc5SP0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vAlSOLA88Ee9j+Iz7sU0qdP7&#10;UHLQg+ewuGd3ikxMg79D9SsIhzctuI2+JsK+1VBzd5OUWTxJHXBCAln337DmMrCNmIH2DdkEyGII&#10;RufJHM6TSa0ods6m8/nF5UwKxW8f5xfjySyXgPKU7SnELxqtSEYliSef0WF3F2LqBspTSCrm8NZ0&#10;XZ5+5/5zcODg0Xl9jtmJS2p/ILLG+sBUCId94t/ERov0R4qed6mS4fcWSEvRfXUsR1q8k0EnY30y&#10;wClOrWSUYjBv4rCgW09m0zLyILjDa5asMZlN6mfo4ig070cmedzltIBP7znq3/9d/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8u1b2AAAAAsBAAAPAAAAAAAAAAEAIAAAACIAAABkcnMvZG93bnJl&#10;di54bWxQSwECFAAUAAAACACHTuJAwoc5SP0BAAAHBAAADgAAAAAAAAABACAAAAAnAQAAZHJzL2Uy&#10;b0RvYy54bWxQSwUGAAAAAAYABgBZAQAAlgUAAAAA&#10;">
          <v:path/>
          <v:fill on="f" focussize="0,0"/>
          <v:stroke on="f"/>
          <v:imagedata o:title=""/>
          <o:lock v:ext="edit" aspectratio="f"/>
          <v:textbox inset="0mm,0mm,0mm,0mm"/>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C8221"/>
    <w:multiLevelType w:val="singleLevel"/>
    <w:tmpl w:val="9FAC8221"/>
    <w:lvl w:ilvl="0" w:tentative="0">
      <w:start w:val="1"/>
      <w:numFmt w:val="decimal"/>
      <w:suff w:val="nothing"/>
      <w:lvlText w:val="%1、"/>
      <w:lvlJc w:val="left"/>
    </w:lvl>
  </w:abstractNum>
  <w:abstractNum w:abstractNumId="1">
    <w:nsid w:val="CFCD80EC"/>
    <w:multiLevelType w:val="singleLevel"/>
    <w:tmpl w:val="CFCD80EC"/>
    <w:lvl w:ilvl="0" w:tentative="0">
      <w:start w:val="2"/>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9AD18F7"/>
    <w:multiLevelType w:val="multilevel"/>
    <w:tmpl w:val="59AD18F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5"/>
  </w:num>
  <w:num w:numId="11">
    <w:abstractNumId w:val="11"/>
  </w:num>
  <w:num w:numId="12">
    <w:abstractNumId w:val="16"/>
  </w:num>
  <w:num w:numId="13">
    <w:abstractNumId w:val="13"/>
  </w:num>
  <w:num w:numId="14">
    <w:abstractNumId w:val="12"/>
  </w:num>
  <w:num w:numId="15">
    <w:abstractNumId w:val="1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ACTIVE" w:val="03年范本稿123.doc"/>
    <w:docVar w:name="commondata" w:val="eyJoZGlkIjoiZDY4NzhlMDZiOTEwZThjOGMwNTU1ZWRiYmI5YmI3YTkifQ=="/>
    <w:docVar w:name="KSO_WPS_MARK_KEY" w:val="6470d9e8-09a6-4e34-88da-ff95aba9e239"/>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EBD"/>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03"/>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9C"/>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B76"/>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2CE9"/>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99C"/>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C5"/>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3F"/>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42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93"/>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12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E8"/>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E04"/>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1"/>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2D"/>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552"/>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6E8"/>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08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0C0"/>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0"/>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74C"/>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32"/>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0C"/>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3EC"/>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9F5"/>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3E"/>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A5"/>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9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1B"/>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C07"/>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3C"/>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A1F"/>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AD7"/>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47"/>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E50CD4"/>
    <w:rsid w:val="02157810"/>
    <w:rsid w:val="021961D5"/>
    <w:rsid w:val="03305559"/>
    <w:rsid w:val="03CF1D81"/>
    <w:rsid w:val="03D54514"/>
    <w:rsid w:val="04B0382D"/>
    <w:rsid w:val="04D61DF9"/>
    <w:rsid w:val="04E76A39"/>
    <w:rsid w:val="05046312"/>
    <w:rsid w:val="050B015A"/>
    <w:rsid w:val="055D2EF5"/>
    <w:rsid w:val="067C2ABC"/>
    <w:rsid w:val="06B15458"/>
    <w:rsid w:val="06B36054"/>
    <w:rsid w:val="08470072"/>
    <w:rsid w:val="08E95A46"/>
    <w:rsid w:val="094176A5"/>
    <w:rsid w:val="099B68C7"/>
    <w:rsid w:val="09AB4840"/>
    <w:rsid w:val="0ACB4F8A"/>
    <w:rsid w:val="0ACC2CEB"/>
    <w:rsid w:val="0B660C1A"/>
    <w:rsid w:val="0B945B69"/>
    <w:rsid w:val="0BB377CC"/>
    <w:rsid w:val="0C111AB4"/>
    <w:rsid w:val="0C260F5E"/>
    <w:rsid w:val="0C3B4E06"/>
    <w:rsid w:val="0C744089"/>
    <w:rsid w:val="0CAC67E2"/>
    <w:rsid w:val="0D3C0DEC"/>
    <w:rsid w:val="0E1279E3"/>
    <w:rsid w:val="0E490DC3"/>
    <w:rsid w:val="0EA43C9D"/>
    <w:rsid w:val="0EC5208F"/>
    <w:rsid w:val="0F8B2F3A"/>
    <w:rsid w:val="10853E2D"/>
    <w:rsid w:val="11794B5C"/>
    <w:rsid w:val="11B5465B"/>
    <w:rsid w:val="1218482D"/>
    <w:rsid w:val="12210DDB"/>
    <w:rsid w:val="12C25655"/>
    <w:rsid w:val="1301382D"/>
    <w:rsid w:val="13053004"/>
    <w:rsid w:val="14196F70"/>
    <w:rsid w:val="145A2EDB"/>
    <w:rsid w:val="1477357E"/>
    <w:rsid w:val="15142DD8"/>
    <w:rsid w:val="1551513A"/>
    <w:rsid w:val="15597538"/>
    <w:rsid w:val="157E7641"/>
    <w:rsid w:val="15D333A3"/>
    <w:rsid w:val="162F2654"/>
    <w:rsid w:val="16615CB5"/>
    <w:rsid w:val="16E117E3"/>
    <w:rsid w:val="176A3A27"/>
    <w:rsid w:val="17F378CF"/>
    <w:rsid w:val="17F93E0B"/>
    <w:rsid w:val="1A3C7036"/>
    <w:rsid w:val="1A3F2538"/>
    <w:rsid w:val="1A570F43"/>
    <w:rsid w:val="1ADA3ED9"/>
    <w:rsid w:val="1AF023F8"/>
    <w:rsid w:val="1B193AF0"/>
    <w:rsid w:val="1C455CA5"/>
    <w:rsid w:val="1C67088B"/>
    <w:rsid w:val="1D2C69D2"/>
    <w:rsid w:val="1E3D78C9"/>
    <w:rsid w:val="1E4F6161"/>
    <w:rsid w:val="1EEE4272"/>
    <w:rsid w:val="1F02073C"/>
    <w:rsid w:val="1F1C2555"/>
    <w:rsid w:val="1FBF72D0"/>
    <w:rsid w:val="1FC63C3B"/>
    <w:rsid w:val="20582725"/>
    <w:rsid w:val="20796DDF"/>
    <w:rsid w:val="21654BDE"/>
    <w:rsid w:val="219F0689"/>
    <w:rsid w:val="21B94F2B"/>
    <w:rsid w:val="21BF509F"/>
    <w:rsid w:val="220A23E4"/>
    <w:rsid w:val="2249746C"/>
    <w:rsid w:val="23524113"/>
    <w:rsid w:val="23543315"/>
    <w:rsid w:val="2389037F"/>
    <w:rsid w:val="23923363"/>
    <w:rsid w:val="239E00B4"/>
    <w:rsid w:val="23DE17EF"/>
    <w:rsid w:val="23E64310"/>
    <w:rsid w:val="24150AFD"/>
    <w:rsid w:val="24E174C9"/>
    <w:rsid w:val="251E74A4"/>
    <w:rsid w:val="25FD7004"/>
    <w:rsid w:val="26203077"/>
    <w:rsid w:val="26555BF8"/>
    <w:rsid w:val="2677074C"/>
    <w:rsid w:val="26926505"/>
    <w:rsid w:val="26963E40"/>
    <w:rsid w:val="26BE169A"/>
    <w:rsid w:val="26CA27B2"/>
    <w:rsid w:val="26F50752"/>
    <w:rsid w:val="270B2E3E"/>
    <w:rsid w:val="2716514B"/>
    <w:rsid w:val="27433CA3"/>
    <w:rsid w:val="27843CE5"/>
    <w:rsid w:val="27B240CD"/>
    <w:rsid w:val="28F32B26"/>
    <w:rsid w:val="29957F18"/>
    <w:rsid w:val="2A1F45CD"/>
    <w:rsid w:val="2A3049B2"/>
    <w:rsid w:val="2A673F16"/>
    <w:rsid w:val="2AC2085D"/>
    <w:rsid w:val="2B823B67"/>
    <w:rsid w:val="2CEB4BC0"/>
    <w:rsid w:val="2D660EF7"/>
    <w:rsid w:val="2D6E2C02"/>
    <w:rsid w:val="2D8F1F5A"/>
    <w:rsid w:val="2E39347F"/>
    <w:rsid w:val="2E4C1D60"/>
    <w:rsid w:val="2F1A6BB0"/>
    <w:rsid w:val="2F983E1B"/>
    <w:rsid w:val="2FCA7487"/>
    <w:rsid w:val="2FDE374E"/>
    <w:rsid w:val="30622029"/>
    <w:rsid w:val="30800C21"/>
    <w:rsid w:val="308D0E5E"/>
    <w:rsid w:val="315A6669"/>
    <w:rsid w:val="32127A3F"/>
    <w:rsid w:val="324356F3"/>
    <w:rsid w:val="32891103"/>
    <w:rsid w:val="32923F98"/>
    <w:rsid w:val="32CD6EEC"/>
    <w:rsid w:val="32EB653A"/>
    <w:rsid w:val="33CD5020"/>
    <w:rsid w:val="33E379C3"/>
    <w:rsid w:val="345D3346"/>
    <w:rsid w:val="34713BFD"/>
    <w:rsid w:val="34C53F49"/>
    <w:rsid w:val="34E546E9"/>
    <w:rsid w:val="35347B11"/>
    <w:rsid w:val="35812566"/>
    <w:rsid w:val="359052AF"/>
    <w:rsid w:val="367C1B62"/>
    <w:rsid w:val="368F1387"/>
    <w:rsid w:val="3744095E"/>
    <w:rsid w:val="37B55E99"/>
    <w:rsid w:val="38A62912"/>
    <w:rsid w:val="38AB7E14"/>
    <w:rsid w:val="3AAF622B"/>
    <w:rsid w:val="3ACF3523"/>
    <w:rsid w:val="3B1B4B37"/>
    <w:rsid w:val="3BCB6780"/>
    <w:rsid w:val="3C5F238F"/>
    <w:rsid w:val="3C617371"/>
    <w:rsid w:val="3C9B4A65"/>
    <w:rsid w:val="3C9F66A5"/>
    <w:rsid w:val="3CE22137"/>
    <w:rsid w:val="3DF140B8"/>
    <w:rsid w:val="3E091E23"/>
    <w:rsid w:val="3EA515C9"/>
    <w:rsid w:val="404E15B7"/>
    <w:rsid w:val="40B13175"/>
    <w:rsid w:val="41A1407D"/>
    <w:rsid w:val="41C0641A"/>
    <w:rsid w:val="41EE565D"/>
    <w:rsid w:val="421F113C"/>
    <w:rsid w:val="422B5D33"/>
    <w:rsid w:val="42764AD5"/>
    <w:rsid w:val="429D124A"/>
    <w:rsid w:val="42CD0A98"/>
    <w:rsid w:val="42F44377"/>
    <w:rsid w:val="431A0C09"/>
    <w:rsid w:val="434B7D0F"/>
    <w:rsid w:val="43C616D5"/>
    <w:rsid w:val="44D21D79"/>
    <w:rsid w:val="451A46E7"/>
    <w:rsid w:val="45F545AD"/>
    <w:rsid w:val="460B0BFB"/>
    <w:rsid w:val="46882DD2"/>
    <w:rsid w:val="46E15FB5"/>
    <w:rsid w:val="47180F56"/>
    <w:rsid w:val="471A6376"/>
    <w:rsid w:val="472B7E48"/>
    <w:rsid w:val="474634EF"/>
    <w:rsid w:val="47915359"/>
    <w:rsid w:val="480E2158"/>
    <w:rsid w:val="483D7F83"/>
    <w:rsid w:val="48805CC6"/>
    <w:rsid w:val="48F2589C"/>
    <w:rsid w:val="48FB5623"/>
    <w:rsid w:val="490C2133"/>
    <w:rsid w:val="4A4F4589"/>
    <w:rsid w:val="4AFD3B31"/>
    <w:rsid w:val="4B5A4840"/>
    <w:rsid w:val="4B65373A"/>
    <w:rsid w:val="4B977429"/>
    <w:rsid w:val="4BCE691D"/>
    <w:rsid w:val="4C0910D8"/>
    <w:rsid w:val="4C4D4AF8"/>
    <w:rsid w:val="4CE23492"/>
    <w:rsid w:val="4CFF1BF5"/>
    <w:rsid w:val="4D00163A"/>
    <w:rsid w:val="4D231458"/>
    <w:rsid w:val="4E33358C"/>
    <w:rsid w:val="4EA32AA0"/>
    <w:rsid w:val="4F0F5BE3"/>
    <w:rsid w:val="4F876573"/>
    <w:rsid w:val="4FA54E4D"/>
    <w:rsid w:val="4FD14E8D"/>
    <w:rsid w:val="4FE466E5"/>
    <w:rsid w:val="503827BA"/>
    <w:rsid w:val="50404FC8"/>
    <w:rsid w:val="51212936"/>
    <w:rsid w:val="51502341"/>
    <w:rsid w:val="51881FED"/>
    <w:rsid w:val="51AE428B"/>
    <w:rsid w:val="52422029"/>
    <w:rsid w:val="52CC40DE"/>
    <w:rsid w:val="539D12EE"/>
    <w:rsid w:val="53EC1C20"/>
    <w:rsid w:val="547B6BCF"/>
    <w:rsid w:val="55040901"/>
    <w:rsid w:val="55E80D0A"/>
    <w:rsid w:val="56123607"/>
    <w:rsid w:val="5643722D"/>
    <w:rsid w:val="565F7902"/>
    <w:rsid w:val="56DF05DE"/>
    <w:rsid w:val="56F02C50"/>
    <w:rsid w:val="56F70118"/>
    <w:rsid w:val="5796795B"/>
    <w:rsid w:val="57E11A1E"/>
    <w:rsid w:val="57FC6189"/>
    <w:rsid w:val="58512E2D"/>
    <w:rsid w:val="59116B65"/>
    <w:rsid w:val="595B6AA6"/>
    <w:rsid w:val="5986796F"/>
    <w:rsid w:val="5A0B7823"/>
    <w:rsid w:val="5A852AA5"/>
    <w:rsid w:val="5B69102B"/>
    <w:rsid w:val="5B6C17D0"/>
    <w:rsid w:val="5D1F7DEB"/>
    <w:rsid w:val="5D2A3ED5"/>
    <w:rsid w:val="5E456F8D"/>
    <w:rsid w:val="5E4E2182"/>
    <w:rsid w:val="5EC7698C"/>
    <w:rsid w:val="5F073306"/>
    <w:rsid w:val="5F5F73B9"/>
    <w:rsid w:val="606F4F52"/>
    <w:rsid w:val="60C018E5"/>
    <w:rsid w:val="616552A7"/>
    <w:rsid w:val="624E2377"/>
    <w:rsid w:val="63471E49"/>
    <w:rsid w:val="63DE4CBB"/>
    <w:rsid w:val="63E8113D"/>
    <w:rsid w:val="642C622B"/>
    <w:rsid w:val="646D768E"/>
    <w:rsid w:val="65101EB0"/>
    <w:rsid w:val="65321667"/>
    <w:rsid w:val="65F44EF4"/>
    <w:rsid w:val="662B3498"/>
    <w:rsid w:val="66AF6F75"/>
    <w:rsid w:val="66FC119E"/>
    <w:rsid w:val="673F3B24"/>
    <w:rsid w:val="6838144E"/>
    <w:rsid w:val="68845FAE"/>
    <w:rsid w:val="68AA7398"/>
    <w:rsid w:val="68BF17AD"/>
    <w:rsid w:val="68EC149F"/>
    <w:rsid w:val="694903B8"/>
    <w:rsid w:val="6A0D5B9B"/>
    <w:rsid w:val="6A1264B0"/>
    <w:rsid w:val="6AA96620"/>
    <w:rsid w:val="6ADA0DA9"/>
    <w:rsid w:val="6AEE6FAB"/>
    <w:rsid w:val="6BBF791C"/>
    <w:rsid w:val="6CB90EF5"/>
    <w:rsid w:val="6D6E32C9"/>
    <w:rsid w:val="6E7D2524"/>
    <w:rsid w:val="6E95594A"/>
    <w:rsid w:val="6F277A96"/>
    <w:rsid w:val="6F5A56A7"/>
    <w:rsid w:val="6F97D24A"/>
    <w:rsid w:val="7062381E"/>
    <w:rsid w:val="707B2F14"/>
    <w:rsid w:val="717402AD"/>
    <w:rsid w:val="71B60324"/>
    <w:rsid w:val="71E909FE"/>
    <w:rsid w:val="72046C14"/>
    <w:rsid w:val="728959E5"/>
    <w:rsid w:val="72F64FEE"/>
    <w:rsid w:val="732B48D3"/>
    <w:rsid w:val="737E37E8"/>
    <w:rsid w:val="73A7438A"/>
    <w:rsid w:val="740145EC"/>
    <w:rsid w:val="742C597A"/>
    <w:rsid w:val="74886314"/>
    <w:rsid w:val="74BF53EA"/>
    <w:rsid w:val="74EE0377"/>
    <w:rsid w:val="75310AB1"/>
    <w:rsid w:val="75395CBA"/>
    <w:rsid w:val="75842AC9"/>
    <w:rsid w:val="764650E6"/>
    <w:rsid w:val="767A0CF0"/>
    <w:rsid w:val="767C665B"/>
    <w:rsid w:val="76C74EC6"/>
    <w:rsid w:val="77575522"/>
    <w:rsid w:val="77A34645"/>
    <w:rsid w:val="77A56AD2"/>
    <w:rsid w:val="78201E6E"/>
    <w:rsid w:val="782F44E1"/>
    <w:rsid w:val="79444E26"/>
    <w:rsid w:val="79532E9E"/>
    <w:rsid w:val="79D317C4"/>
    <w:rsid w:val="79E43DD8"/>
    <w:rsid w:val="7A2F22B2"/>
    <w:rsid w:val="7BB006DA"/>
    <w:rsid w:val="7BC506FF"/>
    <w:rsid w:val="7BD438AB"/>
    <w:rsid w:val="7BFF1BD0"/>
    <w:rsid w:val="7C237D85"/>
    <w:rsid w:val="7C491597"/>
    <w:rsid w:val="7CB50DA1"/>
    <w:rsid w:val="7CFC327A"/>
    <w:rsid w:val="7D1B1387"/>
    <w:rsid w:val="7D4438F5"/>
    <w:rsid w:val="7D5661EE"/>
    <w:rsid w:val="7E217C97"/>
    <w:rsid w:val="7EA53C58"/>
    <w:rsid w:val="7EC363D0"/>
    <w:rsid w:val="7EDC36DB"/>
    <w:rsid w:val="7EFD4DC3"/>
    <w:rsid w:val="7F1E197E"/>
    <w:rsid w:val="7F2B2114"/>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6"/>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8"/>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9"/>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0"/>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1"/>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4"/>
    <w:autoRedefine/>
    <w:qFormat/>
    <w:uiPriority w:val="0"/>
    <w:pPr>
      <w:autoSpaceDE w:val="0"/>
      <w:autoSpaceDN w:val="0"/>
      <w:adjustRightInd w:val="0"/>
      <w:ind w:firstLine="420"/>
      <w:jc w:val="left"/>
    </w:pPr>
    <w:rPr>
      <w:rFonts w:ascii="宋体"/>
      <w:sz w:val="24"/>
    </w:rPr>
  </w:style>
  <w:style w:type="paragraph" w:styleId="12">
    <w:name w:val="caption"/>
    <w:basedOn w:val="1"/>
    <w:next w:val="1"/>
    <w:autoRedefine/>
    <w:qFormat/>
    <w:uiPriority w:val="0"/>
    <w:pPr>
      <w:spacing w:line="480" w:lineRule="auto"/>
    </w:pPr>
    <w:rPr>
      <w:rFonts w:ascii="华文中宋" w:hAnsi="华文中宋" w:eastAsia="华文中宋"/>
      <w:sz w:val="36"/>
      <w:szCs w:val="20"/>
    </w:rPr>
  </w:style>
  <w:style w:type="paragraph" w:styleId="13">
    <w:name w:val="Document Map"/>
    <w:basedOn w:val="1"/>
    <w:link w:val="62"/>
    <w:autoRedefine/>
    <w:qFormat/>
    <w:uiPriority w:val="0"/>
    <w:pPr>
      <w:shd w:val="clear" w:color="auto" w:fill="000080"/>
    </w:pPr>
  </w:style>
  <w:style w:type="paragraph" w:styleId="14">
    <w:name w:val="annotation text"/>
    <w:basedOn w:val="1"/>
    <w:link w:val="63"/>
    <w:autoRedefine/>
    <w:qFormat/>
    <w:uiPriority w:val="99"/>
    <w:pPr>
      <w:jc w:val="left"/>
    </w:pPr>
  </w:style>
  <w:style w:type="paragraph" w:styleId="15">
    <w:name w:val="Body Text 3"/>
    <w:basedOn w:val="1"/>
    <w:link w:val="64"/>
    <w:autoRedefine/>
    <w:qFormat/>
    <w:uiPriority w:val="0"/>
    <w:pPr>
      <w:spacing w:after="120"/>
    </w:pPr>
    <w:rPr>
      <w:sz w:val="16"/>
      <w:szCs w:val="16"/>
    </w:rPr>
  </w:style>
  <w:style w:type="paragraph" w:styleId="16">
    <w:name w:val="Body Text"/>
    <w:basedOn w:val="1"/>
    <w:next w:val="1"/>
    <w:link w:val="65"/>
    <w:autoRedefine/>
    <w:qFormat/>
    <w:uiPriority w:val="0"/>
    <w:pPr>
      <w:tabs>
        <w:tab w:val="left" w:pos="567"/>
      </w:tabs>
      <w:spacing w:before="120" w:line="22" w:lineRule="atLeast"/>
    </w:pPr>
    <w:rPr>
      <w:rFonts w:ascii="宋体" w:hAnsi="宋体"/>
      <w:sz w:val="24"/>
    </w:rPr>
  </w:style>
  <w:style w:type="paragraph" w:styleId="17">
    <w:name w:val="Body Text Indent"/>
    <w:basedOn w:val="1"/>
    <w:next w:val="18"/>
    <w:link w:val="66"/>
    <w:autoRedefine/>
    <w:qFormat/>
    <w:uiPriority w:val="0"/>
    <w:pPr>
      <w:spacing w:line="360" w:lineRule="auto"/>
      <w:ind w:firstLine="570"/>
    </w:pPr>
    <w:rPr>
      <w:sz w:val="24"/>
    </w:rPr>
  </w:style>
  <w:style w:type="paragraph" w:customStyle="1" w:styleId="18">
    <w:name w:val="正文_0"/>
    <w:basedOn w:val="1"/>
    <w:autoRedefine/>
    <w:qFormat/>
    <w:uiPriority w:val="0"/>
    <w:pPr>
      <w:spacing w:line="240" w:lineRule="auto"/>
    </w:pPr>
    <w:rPr>
      <w:rFonts w:ascii="宋体" w:hAnsi="宋体" w:cs="宋体"/>
      <w:szCs w:val="21"/>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22">
    <w:name w:val="Plain Text"/>
    <w:basedOn w:val="1"/>
    <w:next w:val="1"/>
    <w:link w:val="67"/>
    <w:autoRedefine/>
    <w:qFormat/>
    <w:uiPriority w:val="99"/>
    <w:rPr>
      <w:rFonts w:hint="eastAsia" w:ascii="宋体" w:hAnsi="Courier New"/>
      <w:szCs w:val="20"/>
    </w:rPr>
  </w:style>
  <w:style w:type="paragraph" w:styleId="23">
    <w:name w:val="Date"/>
    <w:basedOn w:val="1"/>
    <w:next w:val="1"/>
    <w:link w:val="68"/>
    <w:autoRedefine/>
    <w:qFormat/>
    <w:uiPriority w:val="0"/>
    <w:pPr>
      <w:ind w:left="100" w:leftChars="2500"/>
    </w:pPr>
    <w:rPr>
      <w:rFonts w:ascii="仿宋_GB2312" w:hAnsi="宋体" w:eastAsia="仿宋_GB2312"/>
      <w:color w:val="000000"/>
      <w:sz w:val="24"/>
    </w:rPr>
  </w:style>
  <w:style w:type="paragraph" w:styleId="24">
    <w:name w:val="Body Text Indent 2"/>
    <w:basedOn w:val="1"/>
    <w:link w:val="69"/>
    <w:autoRedefine/>
    <w:qFormat/>
    <w:uiPriority w:val="0"/>
    <w:pPr>
      <w:ind w:firstLine="480" w:firstLineChars="200"/>
    </w:pPr>
    <w:rPr>
      <w:rFonts w:ascii="仿宋_GB2312" w:eastAsia="仿宋_GB2312"/>
      <w:sz w:val="24"/>
    </w:rPr>
  </w:style>
  <w:style w:type="paragraph" w:styleId="25">
    <w:name w:val="Balloon Text"/>
    <w:basedOn w:val="1"/>
    <w:link w:val="70"/>
    <w:autoRedefine/>
    <w:qFormat/>
    <w:uiPriority w:val="0"/>
    <w:rPr>
      <w:sz w:val="18"/>
      <w:szCs w:val="18"/>
    </w:rPr>
  </w:style>
  <w:style w:type="paragraph" w:styleId="26">
    <w:name w:val="footer"/>
    <w:basedOn w:val="1"/>
    <w:link w:val="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Body Text Indent 3"/>
    <w:basedOn w:val="1"/>
    <w:link w:val="73"/>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autoRedefine/>
    <w:qFormat/>
    <w:uiPriority w:val="0"/>
    <w:pPr>
      <w:ind w:left="3360"/>
      <w:jc w:val="left"/>
    </w:pPr>
    <w:rPr>
      <w:szCs w:val="20"/>
    </w:rPr>
  </w:style>
  <w:style w:type="paragraph" w:styleId="31">
    <w:name w:val="toc 2"/>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styleId="32">
    <w:name w:val="Body Text 2"/>
    <w:basedOn w:val="1"/>
    <w:autoRedefine/>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7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autoRedefine/>
    <w:qFormat/>
    <w:uiPriority w:val="0"/>
    <w:rPr>
      <w:szCs w:val="20"/>
    </w:rPr>
  </w:style>
  <w:style w:type="paragraph" w:styleId="36">
    <w:name w:val="Title"/>
    <w:basedOn w:val="1"/>
    <w:link w:val="75"/>
    <w:autoRedefine/>
    <w:qFormat/>
    <w:uiPriority w:val="0"/>
    <w:pPr>
      <w:jc w:val="center"/>
      <w:outlineLvl w:val="0"/>
    </w:pPr>
    <w:rPr>
      <w:b/>
      <w:sz w:val="32"/>
      <w:szCs w:val="20"/>
    </w:rPr>
  </w:style>
  <w:style w:type="paragraph" w:styleId="37">
    <w:name w:val="annotation subject"/>
    <w:basedOn w:val="14"/>
    <w:next w:val="14"/>
    <w:link w:val="76"/>
    <w:autoRedefine/>
    <w:qFormat/>
    <w:uiPriority w:val="0"/>
    <w:rPr>
      <w:b/>
      <w:bCs/>
    </w:rPr>
  </w:style>
  <w:style w:type="paragraph" w:styleId="38">
    <w:name w:val="Body Text First Indent"/>
    <w:basedOn w:val="16"/>
    <w:next w:val="1"/>
    <w:autoRedefine/>
    <w:qFormat/>
    <w:uiPriority w:val="99"/>
    <w:pPr>
      <w:spacing w:before="0" w:after="120" w:line="240" w:lineRule="auto"/>
      <w:ind w:firstLine="420" w:firstLineChars="100"/>
    </w:pPr>
    <w:rPr>
      <w:sz w:val="21"/>
    </w:rPr>
  </w:style>
  <w:style w:type="paragraph" w:styleId="39">
    <w:name w:val="Body Text First Indent 2"/>
    <w:basedOn w:val="17"/>
    <w:next w:val="1"/>
    <w:autoRedefine/>
    <w:unhideWhenUsed/>
    <w:qFormat/>
    <w:uiPriority w:val="99"/>
    <w:pPr>
      <w:spacing w:after="120"/>
      <w:ind w:left="420" w:leftChars="200" w:firstLine="200" w:firstLineChars="200"/>
    </w:pPr>
  </w:style>
  <w:style w:type="table" w:styleId="41">
    <w:name w:val="Table Grid"/>
    <w:basedOn w:val="4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Medium Grid 1 Accent 2"/>
    <w:basedOn w:val="40"/>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autoRedefine/>
    <w:qFormat/>
    <w:uiPriority w:val="22"/>
    <w:rPr>
      <w:b/>
      <w:bCs/>
    </w:rPr>
  </w:style>
  <w:style w:type="character" w:styleId="45">
    <w:name w:val="page number"/>
    <w:autoRedefine/>
    <w:qFormat/>
    <w:uiPriority w:val="0"/>
  </w:style>
  <w:style w:type="character" w:styleId="46">
    <w:name w:val="FollowedHyperlink"/>
    <w:autoRedefine/>
    <w:qFormat/>
    <w:uiPriority w:val="0"/>
    <w:rPr>
      <w:color w:val="800080"/>
      <w:u w:val="single"/>
    </w:rPr>
  </w:style>
  <w:style w:type="character" w:styleId="47">
    <w:name w:val="Emphasis"/>
    <w:autoRedefine/>
    <w:qFormat/>
    <w:uiPriority w:val="0"/>
    <w:rPr>
      <w:color w:val="CC0033"/>
    </w:rPr>
  </w:style>
  <w:style w:type="character" w:styleId="48">
    <w:name w:val="Hyperlink"/>
    <w:autoRedefine/>
    <w:qFormat/>
    <w:uiPriority w:val="99"/>
    <w:rPr>
      <w:color w:val="0000FF"/>
      <w:u w:val="single"/>
    </w:rPr>
  </w:style>
  <w:style w:type="character" w:styleId="49">
    <w:name w:val="annotation reference"/>
    <w:basedOn w:val="43"/>
    <w:autoRedefine/>
    <w:qFormat/>
    <w:uiPriority w:val="99"/>
    <w:rPr>
      <w:sz w:val="21"/>
      <w:szCs w:val="21"/>
    </w:rPr>
  </w:style>
  <w:style w:type="character" w:styleId="50">
    <w:name w:val="HTML Cite"/>
    <w:autoRedefine/>
    <w:qFormat/>
    <w:uiPriority w:val="0"/>
    <w:rPr>
      <w:i/>
      <w:iCs/>
    </w:rPr>
  </w:style>
  <w:style w:type="paragraph" w:customStyle="1" w:styleId="51">
    <w:name w:val="正文缩进1"/>
    <w:basedOn w:val="1"/>
    <w:link w:val="99"/>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52">
    <w:name w:val="标题 1 Char"/>
    <w:link w:val="2"/>
    <w:autoRedefine/>
    <w:qFormat/>
    <w:uiPriority w:val="0"/>
    <w:rPr>
      <w:rFonts w:ascii="宋体"/>
      <w:b/>
      <w:kern w:val="44"/>
      <w:sz w:val="32"/>
    </w:rPr>
  </w:style>
  <w:style w:type="character" w:customStyle="1" w:styleId="53">
    <w:name w:val="标题 2 Char1"/>
    <w:link w:val="3"/>
    <w:autoRedefine/>
    <w:qFormat/>
    <w:uiPriority w:val="0"/>
    <w:rPr>
      <w:rFonts w:ascii="Arial" w:hAnsi="Arial" w:eastAsia="黑体"/>
      <w:b/>
      <w:sz w:val="30"/>
      <w:lang w:val="en-US" w:eastAsia="zh-CN" w:bidi="ar-SA"/>
    </w:rPr>
  </w:style>
  <w:style w:type="character" w:customStyle="1" w:styleId="54">
    <w:name w:val="正文缩进 Char1"/>
    <w:link w:val="4"/>
    <w:autoRedefine/>
    <w:qFormat/>
    <w:uiPriority w:val="0"/>
    <w:rPr>
      <w:rFonts w:ascii="宋体" w:eastAsia="宋体"/>
      <w:kern w:val="2"/>
      <w:sz w:val="24"/>
      <w:szCs w:val="24"/>
      <w:lang w:val="en-US" w:eastAsia="zh-CN" w:bidi="ar-SA"/>
    </w:rPr>
  </w:style>
  <w:style w:type="character" w:customStyle="1" w:styleId="55">
    <w:name w:val="标题 3 Char1"/>
    <w:link w:val="5"/>
    <w:autoRedefine/>
    <w:qFormat/>
    <w:uiPriority w:val="0"/>
    <w:rPr>
      <w:rFonts w:ascii="宋体" w:eastAsia="宋体"/>
      <w:b/>
      <w:sz w:val="24"/>
      <w:u w:val="single"/>
      <w:lang w:val="en-US" w:eastAsia="zh-CN" w:bidi="ar-SA"/>
    </w:rPr>
  </w:style>
  <w:style w:type="character" w:customStyle="1" w:styleId="56">
    <w:name w:val="标题 4 Char"/>
    <w:link w:val="6"/>
    <w:autoRedefine/>
    <w:qFormat/>
    <w:uiPriority w:val="0"/>
    <w:rPr>
      <w:rFonts w:ascii="Arial" w:hAnsi="Arial" w:eastAsia="黑体"/>
      <w:b/>
      <w:sz w:val="28"/>
    </w:rPr>
  </w:style>
  <w:style w:type="character" w:customStyle="1" w:styleId="57">
    <w:name w:val="标题 5 Char"/>
    <w:link w:val="7"/>
    <w:autoRedefine/>
    <w:qFormat/>
    <w:uiPriority w:val="0"/>
    <w:rPr>
      <w:b/>
      <w:sz w:val="28"/>
    </w:rPr>
  </w:style>
  <w:style w:type="character" w:customStyle="1" w:styleId="58">
    <w:name w:val="标题 6 Char"/>
    <w:link w:val="8"/>
    <w:autoRedefine/>
    <w:qFormat/>
    <w:uiPriority w:val="0"/>
    <w:rPr>
      <w:rFonts w:ascii="Arial" w:hAnsi="Arial" w:eastAsia="黑体"/>
      <w:b/>
      <w:sz w:val="24"/>
    </w:rPr>
  </w:style>
  <w:style w:type="character" w:customStyle="1" w:styleId="59">
    <w:name w:val="标题 7 Char"/>
    <w:link w:val="9"/>
    <w:autoRedefine/>
    <w:qFormat/>
    <w:uiPriority w:val="0"/>
    <w:rPr>
      <w:b/>
      <w:sz w:val="24"/>
    </w:rPr>
  </w:style>
  <w:style w:type="character" w:customStyle="1" w:styleId="60">
    <w:name w:val="标题 8 Char"/>
    <w:link w:val="10"/>
    <w:autoRedefine/>
    <w:qFormat/>
    <w:uiPriority w:val="0"/>
    <w:rPr>
      <w:rFonts w:ascii="Arial" w:hAnsi="Arial" w:eastAsia="黑体"/>
      <w:sz w:val="24"/>
    </w:rPr>
  </w:style>
  <w:style w:type="character" w:customStyle="1" w:styleId="61">
    <w:name w:val="标题 9 Char"/>
    <w:link w:val="11"/>
    <w:autoRedefine/>
    <w:qFormat/>
    <w:uiPriority w:val="0"/>
    <w:rPr>
      <w:rFonts w:ascii="Arial" w:hAnsi="Arial" w:eastAsia="黑体"/>
      <w:sz w:val="21"/>
    </w:rPr>
  </w:style>
  <w:style w:type="character" w:customStyle="1" w:styleId="62">
    <w:name w:val="文档结构图 Char"/>
    <w:link w:val="13"/>
    <w:autoRedefine/>
    <w:qFormat/>
    <w:uiPriority w:val="0"/>
    <w:rPr>
      <w:kern w:val="2"/>
      <w:sz w:val="21"/>
      <w:szCs w:val="24"/>
      <w:shd w:val="clear" w:color="auto" w:fill="000080"/>
    </w:rPr>
  </w:style>
  <w:style w:type="character" w:customStyle="1" w:styleId="63">
    <w:name w:val="批注文字 Char1"/>
    <w:link w:val="14"/>
    <w:autoRedefine/>
    <w:qFormat/>
    <w:uiPriority w:val="99"/>
    <w:rPr>
      <w:kern w:val="2"/>
      <w:sz w:val="21"/>
      <w:szCs w:val="24"/>
    </w:rPr>
  </w:style>
  <w:style w:type="character" w:customStyle="1" w:styleId="64">
    <w:name w:val="正文文本 3 Char"/>
    <w:link w:val="15"/>
    <w:autoRedefine/>
    <w:qFormat/>
    <w:uiPriority w:val="0"/>
    <w:rPr>
      <w:kern w:val="2"/>
      <w:sz w:val="16"/>
      <w:szCs w:val="16"/>
    </w:rPr>
  </w:style>
  <w:style w:type="character" w:customStyle="1" w:styleId="65">
    <w:name w:val="正文文本 Char1"/>
    <w:link w:val="16"/>
    <w:autoRedefine/>
    <w:qFormat/>
    <w:uiPriority w:val="0"/>
    <w:rPr>
      <w:rFonts w:ascii="宋体" w:hAnsi="宋体"/>
      <w:kern w:val="2"/>
      <w:sz w:val="24"/>
      <w:szCs w:val="24"/>
    </w:rPr>
  </w:style>
  <w:style w:type="character" w:customStyle="1" w:styleId="66">
    <w:name w:val="正文文本缩进 Char2"/>
    <w:link w:val="17"/>
    <w:autoRedefine/>
    <w:qFormat/>
    <w:uiPriority w:val="0"/>
    <w:rPr>
      <w:rFonts w:eastAsia="宋体"/>
      <w:kern w:val="2"/>
      <w:sz w:val="24"/>
      <w:szCs w:val="24"/>
      <w:lang w:val="en-US" w:eastAsia="zh-CN" w:bidi="ar-SA"/>
    </w:rPr>
  </w:style>
  <w:style w:type="character" w:customStyle="1" w:styleId="67">
    <w:name w:val="纯文本 Char2"/>
    <w:link w:val="22"/>
    <w:autoRedefine/>
    <w:qFormat/>
    <w:uiPriority w:val="99"/>
    <w:rPr>
      <w:rFonts w:hint="eastAsia" w:ascii="宋体" w:hAnsi="Courier New" w:eastAsia="宋体" w:cs="宋体"/>
      <w:kern w:val="2"/>
      <w:sz w:val="21"/>
    </w:rPr>
  </w:style>
  <w:style w:type="character" w:customStyle="1" w:styleId="68">
    <w:name w:val="日期 Char"/>
    <w:link w:val="23"/>
    <w:autoRedefine/>
    <w:qFormat/>
    <w:uiPriority w:val="0"/>
    <w:rPr>
      <w:rFonts w:ascii="仿宋_GB2312" w:hAnsi="宋体" w:eastAsia="仿宋_GB2312"/>
      <w:color w:val="000000"/>
      <w:kern w:val="2"/>
      <w:sz w:val="24"/>
      <w:szCs w:val="24"/>
    </w:rPr>
  </w:style>
  <w:style w:type="character" w:customStyle="1" w:styleId="69">
    <w:name w:val="正文文本缩进 2 Char1"/>
    <w:link w:val="24"/>
    <w:autoRedefine/>
    <w:qFormat/>
    <w:uiPriority w:val="0"/>
    <w:rPr>
      <w:rFonts w:ascii="仿宋_GB2312" w:eastAsia="仿宋_GB2312"/>
      <w:kern w:val="2"/>
      <w:sz w:val="24"/>
      <w:szCs w:val="24"/>
    </w:rPr>
  </w:style>
  <w:style w:type="character" w:customStyle="1" w:styleId="70">
    <w:name w:val="批注框文本 Char"/>
    <w:link w:val="25"/>
    <w:autoRedefine/>
    <w:qFormat/>
    <w:uiPriority w:val="0"/>
    <w:rPr>
      <w:kern w:val="2"/>
      <w:sz w:val="18"/>
      <w:szCs w:val="18"/>
    </w:rPr>
  </w:style>
  <w:style w:type="character" w:customStyle="1" w:styleId="71">
    <w:name w:val="页脚 Char1"/>
    <w:link w:val="26"/>
    <w:autoRedefine/>
    <w:qFormat/>
    <w:uiPriority w:val="99"/>
    <w:rPr>
      <w:rFonts w:ascii="宋体" w:eastAsia="宋体"/>
      <w:sz w:val="18"/>
      <w:lang w:val="en-US" w:eastAsia="zh-CN" w:bidi="ar-SA"/>
    </w:rPr>
  </w:style>
  <w:style w:type="character" w:customStyle="1" w:styleId="72">
    <w:name w:val="页眉 Char1"/>
    <w:link w:val="27"/>
    <w:autoRedefine/>
    <w:qFormat/>
    <w:uiPriority w:val="0"/>
    <w:rPr>
      <w:rFonts w:eastAsia="宋体"/>
      <w:kern w:val="2"/>
      <w:sz w:val="18"/>
      <w:szCs w:val="18"/>
      <w:lang w:val="en-US" w:eastAsia="zh-CN" w:bidi="ar-SA"/>
    </w:rPr>
  </w:style>
  <w:style w:type="character" w:customStyle="1" w:styleId="73">
    <w:name w:val="正文文本缩进 3 Char"/>
    <w:link w:val="29"/>
    <w:autoRedefine/>
    <w:qFormat/>
    <w:uiPriority w:val="0"/>
    <w:rPr>
      <w:rFonts w:ascii="宋体"/>
      <w:sz w:val="24"/>
    </w:rPr>
  </w:style>
  <w:style w:type="character" w:customStyle="1" w:styleId="74">
    <w:name w:val="HTML 预设格式 Char"/>
    <w:link w:val="33"/>
    <w:autoRedefine/>
    <w:qFormat/>
    <w:uiPriority w:val="0"/>
    <w:rPr>
      <w:rFonts w:ascii="宋体" w:hAnsi="宋体" w:cs="宋体"/>
      <w:sz w:val="24"/>
      <w:szCs w:val="24"/>
    </w:rPr>
  </w:style>
  <w:style w:type="character" w:customStyle="1" w:styleId="75">
    <w:name w:val="标题 Char1"/>
    <w:link w:val="36"/>
    <w:autoRedefine/>
    <w:qFormat/>
    <w:uiPriority w:val="0"/>
    <w:rPr>
      <w:b/>
      <w:kern w:val="2"/>
      <w:sz w:val="32"/>
    </w:rPr>
  </w:style>
  <w:style w:type="character" w:customStyle="1" w:styleId="76">
    <w:name w:val="批注主题 Char"/>
    <w:link w:val="37"/>
    <w:autoRedefine/>
    <w:qFormat/>
    <w:uiPriority w:val="0"/>
    <w:rPr>
      <w:rFonts w:ascii="Times New Roman" w:hAnsi="Times New Roman" w:eastAsia="宋体" w:cs="Times New Roman"/>
      <w:b/>
      <w:bCs/>
      <w:kern w:val="2"/>
      <w:sz w:val="21"/>
      <w:szCs w:val="24"/>
      <w:lang w:val="en-US" w:eastAsia="zh-CN" w:bidi="ar-SA"/>
    </w:rPr>
  </w:style>
  <w:style w:type="paragraph" w:customStyle="1" w:styleId="77">
    <w:name w:val="目录 71"/>
    <w:basedOn w:val="1"/>
    <w:next w:val="1"/>
    <w:autoRedefine/>
    <w:qFormat/>
    <w:uiPriority w:val="0"/>
    <w:pPr>
      <w:ind w:left="2520" w:leftChars="1200"/>
    </w:pPr>
  </w:style>
  <w:style w:type="paragraph" w:customStyle="1" w:styleId="78">
    <w:name w:val="目录 51"/>
    <w:basedOn w:val="1"/>
    <w:next w:val="1"/>
    <w:autoRedefine/>
    <w:qFormat/>
    <w:uiPriority w:val="0"/>
    <w:pPr>
      <w:ind w:left="1680" w:leftChars="800"/>
    </w:pPr>
  </w:style>
  <w:style w:type="paragraph" w:customStyle="1" w:styleId="79">
    <w:name w:val="目录 31"/>
    <w:basedOn w:val="1"/>
    <w:next w:val="1"/>
    <w:autoRedefine/>
    <w:qFormat/>
    <w:uiPriority w:val="39"/>
    <w:pPr>
      <w:ind w:left="840" w:leftChars="400"/>
    </w:pPr>
  </w:style>
  <w:style w:type="paragraph" w:customStyle="1" w:styleId="80">
    <w:name w:val="目录 81"/>
    <w:basedOn w:val="1"/>
    <w:next w:val="1"/>
    <w:autoRedefine/>
    <w:qFormat/>
    <w:uiPriority w:val="0"/>
    <w:pPr>
      <w:ind w:left="2940" w:leftChars="1400"/>
    </w:pPr>
  </w:style>
  <w:style w:type="paragraph" w:customStyle="1" w:styleId="81">
    <w:name w:val="目录 11"/>
    <w:basedOn w:val="1"/>
    <w:next w:val="1"/>
    <w:autoRedefine/>
    <w:qFormat/>
    <w:uiPriority w:val="39"/>
    <w:pPr>
      <w:tabs>
        <w:tab w:val="left" w:pos="1050"/>
        <w:tab w:val="right" w:leader="dot" w:pos="8937"/>
      </w:tabs>
      <w:spacing w:line="300" w:lineRule="auto"/>
    </w:pPr>
    <w:rPr>
      <w:rFonts w:ascii="宋体" w:hAnsi="宋体"/>
      <w:b/>
      <w:sz w:val="24"/>
    </w:rPr>
  </w:style>
  <w:style w:type="paragraph" w:customStyle="1" w:styleId="82">
    <w:name w:val="目录 41"/>
    <w:basedOn w:val="1"/>
    <w:next w:val="1"/>
    <w:autoRedefine/>
    <w:qFormat/>
    <w:uiPriority w:val="0"/>
    <w:pPr>
      <w:ind w:left="1260" w:leftChars="600"/>
    </w:pPr>
  </w:style>
  <w:style w:type="paragraph" w:customStyle="1" w:styleId="83">
    <w:name w:val="目录 61"/>
    <w:basedOn w:val="1"/>
    <w:next w:val="1"/>
    <w:autoRedefine/>
    <w:qFormat/>
    <w:uiPriority w:val="0"/>
    <w:pPr>
      <w:ind w:left="2100" w:leftChars="1000"/>
    </w:pPr>
  </w:style>
  <w:style w:type="paragraph" w:customStyle="1" w:styleId="84">
    <w:name w:val="目录 21"/>
    <w:basedOn w:val="1"/>
    <w:next w:val="1"/>
    <w:autoRedefine/>
    <w:qFormat/>
    <w:uiPriority w:val="39"/>
    <w:pPr>
      <w:tabs>
        <w:tab w:val="right" w:leader="dot" w:pos="8937"/>
      </w:tabs>
      <w:spacing w:line="312" w:lineRule="auto"/>
      <w:ind w:left="420" w:leftChars="200"/>
    </w:pPr>
  </w:style>
  <w:style w:type="paragraph" w:customStyle="1" w:styleId="85">
    <w:name w:val="目录 91"/>
    <w:basedOn w:val="1"/>
    <w:next w:val="1"/>
    <w:autoRedefine/>
    <w:qFormat/>
    <w:uiPriority w:val="0"/>
    <w:pPr>
      <w:ind w:left="3360" w:leftChars="1600"/>
    </w:p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paragraph" w:customStyle="1" w:styleId="87">
    <w:name w:val="正文首行缩进 21"/>
    <w:basedOn w:val="17"/>
    <w:link w:val="88"/>
    <w:autoRedefine/>
    <w:qFormat/>
    <w:uiPriority w:val="0"/>
    <w:pPr>
      <w:spacing w:after="120" w:line="480" w:lineRule="exact"/>
      <w:ind w:left="420" w:leftChars="200" w:firstLine="420" w:firstLineChars="200"/>
    </w:pPr>
  </w:style>
  <w:style w:type="character" w:customStyle="1" w:styleId="88">
    <w:name w:val="正文首行缩进 2 Char1"/>
    <w:link w:val="87"/>
    <w:autoRedefine/>
    <w:qFormat/>
    <w:uiPriority w:val="0"/>
    <w:rPr>
      <w:rFonts w:eastAsia="宋体"/>
      <w:kern w:val="2"/>
      <w:sz w:val="24"/>
      <w:szCs w:val="24"/>
      <w:lang w:val="en-US" w:eastAsia="zh-CN" w:bidi="ar-SA"/>
    </w:rPr>
  </w:style>
  <w:style w:type="character" w:customStyle="1" w:styleId="89">
    <w:name w:val="c21"/>
    <w:autoRedefine/>
    <w:qFormat/>
    <w:uiPriority w:val="0"/>
    <w:rPr>
      <w:rFonts w:hint="default" w:ascii="ˎ̥" w:hAnsi="ˎ̥"/>
      <w:color w:val="000000"/>
      <w:sz w:val="20"/>
      <w:szCs w:val="20"/>
      <w:u w:val="none"/>
    </w:rPr>
  </w:style>
  <w:style w:type="character" w:customStyle="1" w:styleId="90">
    <w:name w:val="title4"/>
    <w:autoRedefine/>
    <w:qFormat/>
    <w:uiPriority w:val="0"/>
    <w:rPr>
      <w:b/>
      <w:bCs/>
      <w:color w:val="1D87B3"/>
      <w:sz w:val="15"/>
      <w:szCs w:val="15"/>
    </w:rPr>
  </w:style>
  <w:style w:type="character" w:customStyle="1" w:styleId="91">
    <w:name w:val="标题 2 Char Char"/>
    <w:autoRedefine/>
    <w:qFormat/>
    <w:uiPriority w:val="0"/>
    <w:rPr>
      <w:rFonts w:ascii="Arial" w:hAnsi="Arial" w:eastAsia="黑体"/>
      <w:b/>
      <w:bCs/>
      <w:kern w:val="2"/>
      <w:sz w:val="32"/>
      <w:szCs w:val="32"/>
      <w:lang w:val="en-US" w:eastAsia="zh-CN" w:bidi="ar-SA"/>
    </w:rPr>
  </w:style>
  <w:style w:type="character" w:customStyle="1" w:styleId="92">
    <w:name w:val="black1"/>
    <w:autoRedefine/>
    <w:qFormat/>
    <w:uiPriority w:val="0"/>
    <w:rPr>
      <w:color w:val="000000"/>
    </w:rPr>
  </w:style>
  <w:style w:type="character" w:customStyle="1" w:styleId="93">
    <w:name w:val="street-address"/>
    <w:autoRedefine/>
    <w:qFormat/>
    <w:uiPriority w:val="0"/>
  </w:style>
  <w:style w:type="character" w:customStyle="1" w:styleId="94">
    <w:name w:val="locality"/>
    <w:autoRedefine/>
    <w:qFormat/>
    <w:uiPriority w:val="0"/>
  </w:style>
  <w:style w:type="character" w:customStyle="1" w:styleId="95">
    <w:name w:val="正文文本缩进 Char1"/>
    <w:link w:val="96"/>
    <w:autoRedefine/>
    <w:qFormat/>
    <w:uiPriority w:val="0"/>
    <w:rPr>
      <w:rFonts w:ascii="宋体" w:hAnsi="宋体" w:eastAsia="宋体"/>
      <w:sz w:val="24"/>
      <w:szCs w:val="24"/>
      <w:lang w:bidi="ar-SA"/>
    </w:rPr>
  </w:style>
  <w:style w:type="paragraph" w:customStyle="1" w:styleId="96">
    <w:name w:val="正文文本缩进1"/>
    <w:basedOn w:val="1"/>
    <w:link w:val="95"/>
    <w:autoRedefine/>
    <w:qFormat/>
    <w:uiPriority w:val="0"/>
    <w:pPr>
      <w:spacing w:line="480" w:lineRule="exact"/>
      <w:ind w:firstLine="480" w:firstLineChars="200"/>
    </w:pPr>
    <w:rPr>
      <w:rFonts w:ascii="宋体" w:hAnsi="宋体"/>
      <w:kern w:val="0"/>
      <w:sz w:val="24"/>
    </w:rPr>
  </w:style>
  <w:style w:type="character" w:customStyle="1" w:styleId="97">
    <w:name w:val="Char Char11"/>
    <w:autoRedefine/>
    <w:qFormat/>
    <w:uiPriority w:val="0"/>
    <w:rPr>
      <w:rFonts w:ascii="宋体" w:eastAsia="宋体"/>
      <w:b/>
      <w:sz w:val="24"/>
      <w:u w:val="single"/>
      <w:lang w:val="en-US" w:eastAsia="zh-CN" w:bidi="ar-SA"/>
    </w:rPr>
  </w:style>
  <w:style w:type="character" w:customStyle="1" w:styleId="98">
    <w:name w:val="txt"/>
    <w:autoRedefine/>
    <w:qFormat/>
    <w:uiPriority w:val="0"/>
  </w:style>
  <w:style w:type="character" w:customStyle="1" w:styleId="99">
    <w:name w:val="正文缩进 Char Char"/>
    <w:link w:val="51"/>
    <w:autoRedefine/>
    <w:qFormat/>
    <w:uiPriority w:val="0"/>
    <w:rPr>
      <w:rFonts w:ascii="宋体" w:eastAsia="宋体"/>
      <w:snapToGrid w:val="0"/>
      <w:color w:val="000000"/>
      <w:kern w:val="28"/>
      <w:sz w:val="28"/>
      <w:lang w:bidi="ar-SA"/>
    </w:rPr>
  </w:style>
  <w:style w:type="character" w:customStyle="1" w:styleId="100">
    <w:name w:val="普通文字1 Char1"/>
    <w:autoRedefine/>
    <w:qFormat/>
    <w:uiPriority w:val="0"/>
    <w:rPr>
      <w:rFonts w:ascii="宋体" w:hAnsi="Courier New" w:eastAsia="宋体"/>
      <w:kern w:val="2"/>
      <w:sz w:val="21"/>
      <w:lang w:val="en-US" w:eastAsia="zh-CN" w:bidi="ar-SA"/>
    </w:rPr>
  </w:style>
  <w:style w:type="character" w:customStyle="1" w:styleId="101">
    <w:name w:val="chanpin1"/>
    <w:autoRedefine/>
    <w:qFormat/>
    <w:uiPriority w:val="0"/>
    <w:rPr>
      <w:rFonts w:hint="default" w:ascii="ˎ̥" w:hAnsi="ˎ̥"/>
      <w:color w:val="000000"/>
      <w:sz w:val="20"/>
      <w:szCs w:val="20"/>
      <w:u w:val="none"/>
    </w:rPr>
  </w:style>
  <w:style w:type="character" w:customStyle="1" w:styleId="102">
    <w:name w:val="列出段落 Char1"/>
    <w:link w:val="103"/>
    <w:autoRedefine/>
    <w:qFormat/>
    <w:uiPriority w:val="34"/>
    <w:rPr>
      <w:rFonts w:ascii="Calibri" w:hAnsi="Calibri" w:eastAsia="宋体"/>
      <w:kern w:val="2"/>
      <w:sz w:val="21"/>
      <w:szCs w:val="22"/>
      <w:lang w:val="en-US" w:eastAsia="zh-CN" w:bidi="ar-SA"/>
    </w:rPr>
  </w:style>
  <w:style w:type="paragraph" w:styleId="103">
    <w:name w:val="List Paragraph"/>
    <w:basedOn w:val="1"/>
    <w:link w:val="102"/>
    <w:autoRedefine/>
    <w:qFormat/>
    <w:uiPriority w:val="34"/>
    <w:pPr>
      <w:ind w:firstLine="420" w:firstLineChars="200"/>
    </w:pPr>
    <w:rPr>
      <w:rFonts w:ascii="Calibri" w:hAnsi="Calibri"/>
      <w:szCs w:val="22"/>
    </w:rPr>
  </w:style>
  <w:style w:type="character" w:customStyle="1" w:styleId="104">
    <w:name w:val="标题 3 Char Char"/>
    <w:autoRedefine/>
    <w:qFormat/>
    <w:uiPriority w:val="0"/>
    <w:rPr>
      <w:rFonts w:eastAsia="宋体"/>
      <w:b/>
      <w:bCs/>
      <w:kern w:val="2"/>
      <w:sz w:val="32"/>
      <w:szCs w:val="32"/>
      <w:lang w:val="en-US" w:eastAsia="zh-CN" w:bidi="ar-SA"/>
    </w:rPr>
  </w:style>
  <w:style w:type="character" w:customStyle="1" w:styleId="105">
    <w:name w:val="段1 Char"/>
    <w:autoRedefine/>
    <w:qFormat/>
    <w:uiPriority w:val="0"/>
    <w:rPr>
      <w:rFonts w:ascii="宋体" w:eastAsia="宋体"/>
      <w:sz w:val="24"/>
      <w:lang w:val="en-US" w:eastAsia="zh-CN" w:bidi="ar-SA"/>
    </w:rPr>
  </w:style>
  <w:style w:type="character" w:customStyle="1" w:styleId="106">
    <w:name w:val="chanpin拷贝"/>
    <w:autoRedefine/>
    <w:qFormat/>
    <w:uiPriority w:val="0"/>
  </w:style>
  <w:style w:type="character" w:customStyle="1" w:styleId="107">
    <w:name w:val="纯文本 Char1"/>
    <w:autoRedefine/>
    <w:qFormat/>
    <w:uiPriority w:val="0"/>
    <w:rPr>
      <w:rFonts w:ascii="宋体" w:hAnsi="Courier New" w:eastAsia="宋体"/>
      <w:kern w:val="2"/>
      <w:sz w:val="21"/>
      <w:lang w:val="en-US" w:eastAsia="zh-CN" w:bidi="ar-SA"/>
    </w:rPr>
  </w:style>
  <w:style w:type="character" w:customStyle="1" w:styleId="108">
    <w:name w:val="apple-style-span"/>
    <w:autoRedefine/>
    <w:qFormat/>
    <w:uiPriority w:val="0"/>
    <w:rPr>
      <w:rFonts w:cs="Times New Roman"/>
    </w:rPr>
  </w:style>
  <w:style w:type="paragraph" w:customStyle="1" w:styleId="109">
    <w:name w:val="二级条标题"/>
    <w:basedOn w:val="110"/>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autoRedefine/>
    <w:qFormat/>
    <w:uiPriority w:val="0"/>
    <w:pPr>
      <w:numPr>
        <w:ilvl w:val="1"/>
      </w:numPr>
      <w:tabs>
        <w:tab w:val="left" w:pos="360"/>
        <w:tab w:val="left" w:pos="840"/>
      </w:tabs>
      <w:ind w:left="0" w:hanging="840"/>
      <w:outlineLvl w:val="1"/>
    </w:pPr>
  </w:style>
  <w:style w:type="paragraph" w:customStyle="1" w:styleId="111">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autoRedefine/>
    <w:qFormat/>
    <w:uiPriority w:val="0"/>
    <w:rPr>
      <w:rFonts w:ascii="Tahoma" w:hAnsi="Tahoma"/>
      <w:sz w:val="24"/>
      <w:szCs w:val="20"/>
    </w:rPr>
  </w:style>
  <w:style w:type="paragraph" w:customStyle="1" w:styleId="114">
    <w:name w:val="Char3 Char Char Char"/>
    <w:basedOn w:val="1"/>
    <w:autoRedefine/>
    <w:qFormat/>
    <w:uiPriority w:val="0"/>
    <w:rPr>
      <w:rFonts w:ascii="Tahoma" w:hAnsi="Tahoma"/>
      <w:sz w:val="24"/>
      <w:szCs w:val="20"/>
    </w:rPr>
  </w:style>
  <w:style w:type="paragraph" w:customStyle="1" w:styleId="11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autoRedefine/>
    <w:qFormat/>
    <w:uiPriority w:val="0"/>
    <w:pPr>
      <w:numPr>
        <w:numId w:val="2"/>
      </w:numPr>
    </w:pPr>
  </w:style>
  <w:style w:type="paragraph" w:customStyle="1" w:styleId="11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autoRedefine/>
    <w:qFormat/>
    <w:uiPriority w:val="0"/>
    <w:pPr>
      <w:adjustRightInd w:val="0"/>
      <w:snapToGrid w:val="0"/>
      <w:spacing w:line="0" w:lineRule="atLeast"/>
      <w:jc w:val="center"/>
    </w:pPr>
    <w:rPr>
      <w:sz w:val="24"/>
      <w:szCs w:val="20"/>
    </w:rPr>
  </w:style>
  <w:style w:type="paragraph" w:customStyle="1" w:styleId="119">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autoRedefine/>
    <w:qFormat/>
    <w:uiPriority w:val="0"/>
    <w:rPr>
      <w:rFonts w:ascii="Tahoma" w:hAnsi="Tahoma"/>
      <w:sz w:val="24"/>
      <w:szCs w:val="20"/>
    </w:rPr>
  </w:style>
  <w:style w:type="paragraph" w:customStyle="1" w:styleId="12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autoRedefine/>
    <w:qFormat/>
    <w:uiPriority w:val="0"/>
    <w:pPr>
      <w:widowControl/>
      <w:spacing w:before="100" w:beforeAutospacing="1" w:after="100" w:afterAutospacing="1"/>
      <w:jc w:val="left"/>
    </w:pPr>
    <w:rPr>
      <w:kern w:val="0"/>
      <w:sz w:val="36"/>
      <w:szCs w:val="36"/>
    </w:rPr>
  </w:style>
  <w:style w:type="paragraph" w:customStyle="1" w:styleId="136">
    <w:name w:val="Char"/>
    <w:basedOn w:val="1"/>
    <w:autoRedefine/>
    <w:qFormat/>
    <w:uiPriority w:val="0"/>
    <w:pPr>
      <w:tabs>
        <w:tab w:val="left" w:pos="360"/>
      </w:tabs>
    </w:pPr>
    <w:rPr>
      <w:sz w:val="24"/>
    </w:rPr>
  </w:style>
  <w:style w:type="paragraph" w:customStyle="1" w:styleId="137">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3"/>
    <w:autoRedefine/>
    <w:qFormat/>
    <w:uiPriority w:val="0"/>
    <w:rPr>
      <w:rFonts w:ascii="Tahoma" w:hAnsi="Tahoma"/>
      <w:sz w:val="24"/>
    </w:rPr>
  </w:style>
  <w:style w:type="paragraph" w:customStyle="1" w:styleId="1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5">
    <w:name w:val="Char1 Char Char Char1"/>
    <w:basedOn w:val="1"/>
    <w:autoRedefine/>
    <w:qFormat/>
    <w:uiPriority w:val="0"/>
    <w:rPr>
      <w:rFonts w:ascii="Tahoma" w:hAnsi="Tahoma" w:cs="仿宋_GB2312"/>
      <w:sz w:val="24"/>
      <w:szCs w:val="28"/>
    </w:rPr>
  </w:style>
  <w:style w:type="paragraph" w:customStyle="1" w:styleId="146">
    <w:name w:val="四级条标题"/>
    <w:basedOn w:val="147"/>
    <w:next w:val="1"/>
    <w:autoRedefine/>
    <w:qFormat/>
    <w:uiPriority w:val="0"/>
    <w:pPr>
      <w:numPr>
        <w:ilvl w:val="4"/>
      </w:numPr>
      <w:tabs>
        <w:tab w:val="left" w:pos="360"/>
        <w:tab w:val="left" w:pos="840"/>
      </w:tabs>
      <w:ind w:left="0" w:hanging="840"/>
      <w:outlineLvl w:val="4"/>
    </w:pPr>
  </w:style>
  <w:style w:type="paragraph" w:customStyle="1" w:styleId="147">
    <w:name w:val="三级条标题"/>
    <w:basedOn w:val="109"/>
    <w:next w:val="1"/>
    <w:autoRedefine/>
    <w:qFormat/>
    <w:uiPriority w:val="0"/>
    <w:pPr>
      <w:numPr>
        <w:ilvl w:val="3"/>
        <w:numId w:val="1"/>
      </w:numPr>
      <w:ind w:left="0" w:hanging="840"/>
      <w:outlineLvl w:val="3"/>
    </w:pPr>
  </w:style>
  <w:style w:type="paragraph" w:customStyle="1" w:styleId="148">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autoRedefine/>
    <w:qFormat/>
    <w:uiPriority w:val="0"/>
    <w:pPr>
      <w:ind w:firstLine="420" w:firstLineChars="200"/>
    </w:pPr>
    <w:rPr>
      <w:rFonts w:ascii="Calibri" w:hAnsi="Calibri"/>
      <w:szCs w:val="22"/>
    </w:rPr>
  </w:style>
  <w:style w:type="paragraph" w:customStyle="1" w:styleId="151">
    <w:name w:val="项目符号1"/>
    <w:basedOn w:val="152"/>
    <w:autoRedefine/>
    <w:qFormat/>
    <w:uiPriority w:val="0"/>
    <w:pPr>
      <w:ind w:left="-25" w:firstLine="0"/>
    </w:pPr>
  </w:style>
  <w:style w:type="paragraph" w:customStyle="1" w:styleId="152">
    <w:name w:val="正文文本样式"/>
    <w:basedOn w:val="1"/>
    <w:autoRedefine/>
    <w:qFormat/>
    <w:uiPriority w:val="0"/>
    <w:pPr>
      <w:spacing w:line="360" w:lineRule="auto"/>
      <w:ind w:firstLine="482"/>
    </w:pPr>
    <w:rPr>
      <w:rFonts w:cs="宋体"/>
      <w:sz w:val="24"/>
      <w:szCs w:val="20"/>
    </w:rPr>
  </w:style>
  <w:style w:type="paragraph" w:customStyle="1" w:styleId="15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autoRedefine/>
    <w:qFormat/>
    <w:uiPriority w:val="0"/>
    <w:pPr>
      <w:numPr>
        <w:ilvl w:val="5"/>
      </w:numPr>
      <w:ind w:left="0" w:hanging="840"/>
      <w:outlineLvl w:val="5"/>
    </w:pPr>
  </w:style>
  <w:style w:type="paragraph" w:customStyle="1" w:styleId="15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autoRedefine/>
    <w:qFormat/>
    <w:uiPriority w:val="0"/>
    <w:pPr>
      <w:snapToGrid w:val="0"/>
      <w:spacing w:before="120" w:after="120" w:line="180" w:lineRule="auto"/>
    </w:pPr>
    <w:rPr>
      <w:rFonts w:ascii="Arial" w:hAnsi="Arial"/>
      <w:szCs w:val="20"/>
    </w:rPr>
  </w:style>
  <w:style w:type="paragraph" w:customStyle="1" w:styleId="15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autoRedefine/>
    <w:qFormat/>
    <w:uiPriority w:val="0"/>
    <w:rPr>
      <w:rFonts w:ascii="Tahoma" w:hAnsi="Tahoma"/>
      <w:sz w:val="24"/>
      <w:szCs w:val="20"/>
    </w:rPr>
  </w:style>
  <w:style w:type="paragraph" w:customStyle="1" w:styleId="16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autoRedefine/>
    <w:qFormat/>
    <w:uiPriority w:val="0"/>
    <w:pPr>
      <w:numPr>
        <w:ilvl w:val="0"/>
        <w:numId w:val="5"/>
      </w:numPr>
      <w:spacing w:before="120"/>
    </w:pPr>
    <w:rPr>
      <w:rFonts w:ascii="宋体"/>
      <w:sz w:val="28"/>
      <w:szCs w:val="20"/>
    </w:rPr>
  </w:style>
  <w:style w:type="paragraph" w:customStyle="1" w:styleId="16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autoRedefine/>
    <w:qFormat/>
    <w:uiPriority w:val="0"/>
    <w:rPr>
      <w:rFonts w:ascii="Tahoma" w:hAnsi="Tahoma"/>
      <w:sz w:val="24"/>
      <w:szCs w:val="20"/>
    </w:rPr>
  </w:style>
  <w:style w:type="paragraph" w:customStyle="1" w:styleId="165">
    <w:name w:val="Char Char Char Char Char Char Char Char Char Char"/>
    <w:basedOn w:val="1"/>
    <w:autoRedefine/>
    <w:qFormat/>
    <w:uiPriority w:val="0"/>
  </w:style>
  <w:style w:type="paragraph" w:customStyle="1" w:styleId="166">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autoRedefine/>
    <w:qFormat/>
    <w:uiPriority w:val="0"/>
    <w:pPr>
      <w:tabs>
        <w:tab w:val="left" w:pos="360"/>
      </w:tabs>
    </w:pPr>
    <w:rPr>
      <w:sz w:val="24"/>
    </w:rPr>
  </w:style>
  <w:style w:type="paragraph" w:customStyle="1" w:styleId="16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autoRedefine/>
    <w:qFormat/>
    <w:uiPriority w:val="0"/>
    <w:rPr>
      <w:rFonts w:ascii="Arial" w:hAnsi="Arial" w:cs="Arial"/>
      <w:szCs w:val="21"/>
    </w:rPr>
  </w:style>
  <w:style w:type="paragraph" w:customStyle="1" w:styleId="17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autoRedefine/>
    <w:qFormat/>
    <w:uiPriority w:val="0"/>
    <w:rPr>
      <w:rFonts w:ascii="Tahoma" w:hAnsi="Tahoma"/>
      <w:sz w:val="24"/>
      <w:szCs w:val="20"/>
    </w:rPr>
  </w:style>
  <w:style w:type="paragraph" w:customStyle="1" w:styleId="17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autoRedefine/>
    <w:qFormat/>
    <w:uiPriority w:val="0"/>
    <w:pPr>
      <w:autoSpaceDE w:val="0"/>
      <w:autoSpaceDN w:val="0"/>
      <w:adjustRightInd w:val="0"/>
      <w:jc w:val="left"/>
    </w:pPr>
    <w:rPr>
      <w:kern w:val="0"/>
      <w:sz w:val="24"/>
    </w:rPr>
  </w:style>
  <w:style w:type="paragraph" w:customStyle="1" w:styleId="178">
    <w:name w:val="Char Char Char1"/>
    <w:basedOn w:val="1"/>
    <w:autoRedefine/>
    <w:qFormat/>
    <w:uiPriority w:val="0"/>
    <w:rPr>
      <w:rFonts w:ascii="Tahoma" w:hAnsi="Tahoma"/>
      <w:sz w:val="24"/>
      <w:szCs w:val="20"/>
    </w:rPr>
  </w:style>
  <w:style w:type="paragraph" w:customStyle="1" w:styleId="17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5"/>
    <w:autoRedefine/>
    <w:qFormat/>
    <w:uiPriority w:val="0"/>
    <w:pPr>
      <w:spacing w:line="360" w:lineRule="auto"/>
      <w:jc w:val="center"/>
    </w:pPr>
    <w:rPr>
      <w:sz w:val="24"/>
    </w:rPr>
  </w:style>
  <w:style w:type="paragraph" w:customStyle="1" w:styleId="18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autoRedefine/>
    <w:qFormat/>
    <w:uiPriority w:val="0"/>
    <w:pPr>
      <w:widowControl/>
      <w:jc w:val="left"/>
    </w:pPr>
    <w:rPr>
      <w:rFonts w:ascii="楷体_GB2312" w:eastAsia="楷体_GB2312" w:cs="Arial"/>
      <w:kern w:val="0"/>
      <w:sz w:val="24"/>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autoRedefine/>
    <w:qFormat/>
    <w:uiPriority w:val="0"/>
    <w:rPr>
      <w:rFonts w:ascii="Tahoma" w:hAnsi="Tahoma"/>
      <w:sz w:val="24"/>
      <w:szCs w:val="20"/>
    </w:rPr>
  </w:style>
  <w:style w:type="paragraph" w:customStyle="1" w:styleId="18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autoRedefine/>
    <w:qFormat/>
    <w:uiPriority w:val="0"/>
    <w:pPr>
      <w:ind w:firstLine="420" w:firstLineChars="200"/>
    </w:pPr>
    <w:rPr>
      <w:rFonts w:ascii="Calibri" w:hAnsi="Calibri"/>
      <w:szCs w:val="22"/>
    </w:rPr>
  </w:style>
  <w:style w:type="paragraph" w:customStyle="1" w:styleId="189">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autoRedefine/>
    <w:qFormat/>
    <w:uiPriority w:val="0"/>
    <w:rPr>
      <w:rFonts w:ascii="Tahoma" w:hAnsi="Tahoma"/>
      <w:sz w:val="24"/>
      <w:szCs w:val="20"/>
    </w:rPr>
  </w:style>
  <w:style w:type="paragraph" w:customStyle="1" w:styleId="191">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autoRedefine/>
    <w:qFormat/>
    <w:uiPriority w:val="0"/>
    <w:pPr>
      <w:numPr>
        <w:ilvl w:val="0"/>
        <w:numId w:val="6"/>
      </w:numPr>
    </w:pPr>
  </w:style>
  <w:style w:type="paragraph" w:customStyle="1" w:styleId="193">
    <w:name w:val="Char21"/>
    <w:basedOn w:val="1"/>
    <w:autoRedefine/>
    <w:qFormat/>
    <w:uiPriority w:val="0"/>
    <w:rPr>
      <w:rFonts w:ascii="Tahoma" w:hAnsi="Tahoma"/>
      <w:sz w:val="24"/>
      <w:szCs w:val="20"/>
    </w:rPr>
  </w:style>
  <w:style w:type="paragraph" w:customStyle="1" w:styleId="194">
    <w:name w:val="表格文字"/>
    <w:basedOn w:val="17"/>
    <w:autoRedefine/>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autoRedefine/>
    <w:qFormat/>
    <w:uiPriority w:val="0"/>
    <w:rPr>
      <w:rFonts w:ascii="宋体" w:hAnsi="宋体" w:cs="Courier New"/>
      <w:sz w:val="32"/>
      <w:szCs w:val="32"/>
    </w:rPr>
  </w:style>
  <w:style w:type="paragraph" w:customStyle="1" w:styleId="196">
    <w:name w:val="正文文本样式 加粗"/>
    <w:basedOn w:val="152"/>
    <w:autoRedefine/>
    <w:qFormat/>
    <w:uiPriority w:val="0"/>
    <w:rPr>
      <w:b/>
    </w:rPr>
  </w:style>
  <w:style w:type="paragraph" w:customStyle="1" w:styleId="197">
    <w:name w:val="Char2 Char Char Char Char Char Char"/>
    <w:basedOn w:val="1"/>
    <w:autoRedefine/>
    <w:qFormat/>
    <w:uiPriority w:val="0"/>
    <w:pPr>
      <w:widowControl/>
      <w:spacing w:line="400" w:lineRule="exact"/>
      <w:jc w:val="center"/>
    </w:pPr>
  </w:style>
  <w:style w:type="paragraph" w:customStyle="1" w:styleId="198">
    <w:name w:val="Char Char4"/>
    <w:basedOn w:val="1"/>
    <w:autoRedefine/>
    <w:qFormat/>
    <w:uiPriority w:val="0"/>
    <w:pPr>
      <w:widowControl/>
      <w:spacing w:line="400" w:lineRule="exact"/>
      <w:jc w:val="center"/>
    </w:pPr>
  </w:style>
  <w:style w:type="paragraph" w:customStyle="1" w:styleId="199">
    <w:name w:val="Char3 Char Char Char1"/>
    <w:basedOn w:val="1"/>
    <w:autoRedefine/>
    <w:qFormat/>
    <w:uiPriority w:val="0"/>
    <w:rPr>
      <w:rFonts w:ascii="Tahoma" w:hAnsi="Tahoma"/>
      <w:sz w:val="24"/>
      <w:szCs w:val="20"/>
    </w:rPr>
  </w:style>
  <w:style w:type="paragraph" w:styleId="20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autoRedefine/>
    <w:qFormat/>
    <w:uiPriority w:val="0"/>
    <w:rPr>
      <w:kern w:val="2"/>
      <w:sz w:val="21"/>
      <w:szCs w:val="24"/>
      <w:lang w:val="zh-CN" w:eastAsia="zh-CN" w:bidi="ar-SA"/>
    </w:rPr>
  </w:style>
  <w:style w:type="paragraph" w:customStyle="1" w:styleId="203">
    <w:name w:val="1"/>
    <w:link w:val="202"/>
    <w:autoRedefine/>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autoRedefine/>
    <w:qFormat/>
    <w:uiPriority w:val="0"/>
    <w:pPr>
      <w:adjustRightInd w:val="0"/>
      <w:snapToGrid w:val="0"/>
      <w:spacing w:after="50" w:line="360" w:lineRule="auto"/>
    </w:pPr>
    <w:rPr>
      <w:sz w:val="24"/>
    </w:rPr>
  </w:style>
  <w:style w:type="paragraph" w:customStyle="1" w:styleId="205">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autoRedefine/>
    <w:qFormat/>
    <w:uiPriority w:val="0"/>
    <w:pPr>
      <w:adjustRightInd w:val="0"/>
      <w:snapToGrid w:val="0"/>
      <w:jc w:val="left"/>
    </w:pPr>
    <w:rPr>
      <w:rFonts w:ascii="宋体" w:hAnsi="宋体"/>
      <w:color w:val="000000"/>
      <w:szCs w:val="21"/>
    </w:rPr>
  </w:style>
  <w:style w:type="character" w:customStyle="1" w:styleId="207">
    <w:name w:val="正文表格 Char"/>
    <w:link w:val="206"/>
    <w:autoRedefine/>
    <w:qFormat/>
    <w:uiPriority w:val="0"/>
    <w:rPr>
      <w:rFonts w:ascii="宋体" w:hAnsi="宋体"/>
      <w:color w:val="000000"/>
      <w:kern w:val="2"/>
      <w:sz w:val="21"/>
      <w:szCs w:val="21"/>
    </w:rPr>
  </w:style>
  <w:style w:type="paragraph" w:customStyle="1" w:styleId="208">
    <w:name w:val="正文重点"/>
    <w:basedOn w:val="1"/>
    <w:link w:val="209"/>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autoRedefine/>
    <w:qFormat/>
    <w:uiPriority w:val="0"/>
    <w:rPr>
      <w:b/>
      <w:sz w:val="24"/>
    </w:rPr>
  </w:style>
  <w:style w:type="paragraph" w:customStyle="1" w:styleId="210">
    <w:name w:val="标题1-附件"/>
    <w:basedOn w:val="2"/>
    <w:autoRedefine/>
    <w:qFormat/>
    <w:uiPriority w:val="0"/>
    <w:pPr>
      <w:jc w:val="left"/>
    </w:pPr>
    <w:rPr>
      <w:sz w:val="24"/>
      <w:szCs w:val="24"/>
    </w:rPr>
  </w:style>
  <w:style w:type="paragraph" w:customStyle="1" w:styleId="211">
    <w:name w:val="正文小标题"/>
    <w:basedOn w:val="1"/>
    <w:next w:val="4"/>
    <w:link w:val="212"/>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2">
    <w:name w:val="正文小标题 Char"/>
    <w:link w:val="211"/>
    <w:autoRedefine/>
    <w:qFormat/>
    <w:uiPriority w:val="0"/>
    <w:rPr>
      <w:rFonts w:ascii="宋体" w:hAnsi="宋体"/>
      <w:b/>
      <w:i/>
      <w:color w:val="FF0000"/>
      <w:kern w:val="2"/>
      <w:sz w:val="24"/>
    </w:rPr>
  </w:style>
  <w:style w:type="paragraph" w:customStyle="1" w:styleId="213">
    <w:name w:val="正文大标题"/>
    <w:basedOn w:val="211"/>
    <w:next w:val="4"/>
    <w:link w:val="214"/>
    <w:autoRedefine/>
    <w:qFormat/>
    <w:uiPriority w:val="0"/>
    <w:pPr>
      <w:jc w:val="center"/>
    </w:pPr>
    <w:rPr>
      <w:i w:val="0"/>
      <w:color w:val="000000"/>
      <w:sz w:val="28"/>
      <w:szCs w:val="21"/>
    </w:rPr>
  </w:style>
  <w:style w:type="character" w:customStyle="1" w:styleId="214">
    <w:name w:val="正文大标题 Char"/>
    <w:link w:val="213"/>
    <w:autoRedefine/>
    <w:qFormat/>
    <w:uiPriority w:val="0"/>
    <w:rPr>
      <w:rFonts w:ascii="宋体" w:hAnsi="宋体"/>
      <w:b/>
      <w:color w:val="000000"/>
      <w:kern w:val="2"/>
      <w:sz w:val="28"/>
      <w:szCs w:val="21"/>
    </w:rPr>
  </w:style>
  <w:style w:type="paragraph" w:customStyle="1" w:styleId="215">
    <w:name w:val="注释"/>
    <w:basedOn w:val="1"/>
    <w:link w:val="216"/>
    <w:autoRedefine/>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autoRedefine/>
    <w:qFormat/>
    <w:uiPriority w:val="0"/>
    <w:rPr>
      <w:rFonts w:ascii="宋体" w:hAnsi="宋体"/>
      <w:kern w:val="2"/>
      <w:sz w:val="21"/>
      <w:szCs w:val="21"/>
    </w:rPr>
  </w:style>
  <w:style w:type="paragraph" w:customStyle="1" w:styleId="217">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21">
    <w:name w:val="表格1"/>
    <w:basedOn w:val="1"/>
    <w:autoRedefine/>
    <w:qFormat/>
    <w:uiPriority w:val="0"/>
    <w:pPr>
      <w:ind w:firstLine="480" w:firstLineChars="200"/>
      <w:jc w:val="center"/>
    </w:pPr>
    <w:rPr>
      <w:sz w:val="24"/>
      <w:szCs w:val="20"/>
    </w:rPr>
  </w:style>
  <w:style w:type="character" w:customStyle="1" w:styleId="222">
    <w:name w:val="纯文本 字符1"/>
    <w:autoRedefine/>
    <w:qFormat/>
    <w:uiPriority w:val="0"/>
    <w:rPr>
      <w:rFonts w:ascii="宋体" w:hAnsi="Courier New"/>
    </w:rPr>
  </w:style>
  <w:style w:type="character" w:customStyle="1" w:styleId="223">
    <w:name w:val="bjh-p"/>
    <w:autoRedefine/>
    <w:qFormat/>
    <w:uiPriority w:val="0"/>
  </w:style>
  <w:style w:type="paragraph" w:customStyle="1" w:styleId="224">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autoRedefine/>
    <w:qFormat/>
    <w:locked/>
    <w:uiPriority w:val="0"/>
    <w:rPr>
      <w:rFonts w:ascii="宋体" w:hAnsi="宋体"/>
      <w:sz w:val="24"/>
      <w:szCs w:val="24"/>
      <w:lang w:val="en-GB"/>
    </w:rPr>
  </w:style>
  <w:style w:type="paragraph" w:customStyle="1" w:styleId="226">
    <w:name w:val="正文格式"/>
    <w:basedOn w:val="1"/>
    <w:link w:val="225"/>
    <w:autoRedefine/>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autoRedefine/>
    <w:qFormat/>
    <w:uiPriority w:val="0"/>
    <w:rPr>
      <w:rFonts w:ascii="宋体" w:eastAsia="宋体"/>
      <w:b/>
      <w:sz w:val="24"/>
      <w:u w:val="single"/>
      <w:lang w:val="en-US" w:eastAsia="zh-CN" w:bidi="ar-SA"/>
    </w:rPr>
  </w:style>
  <w:style w:type="character" w:customStyle="1" w:styleId="228">
    <w:name w:val="正文缩进 Char"/>
    <w:autoRedefine/>
    <w:qFormat/>
    <w:uiPriority w:val="0"/>
    <w:rPr>
      <w:rFonts w:ascii="宋体" w:eastAsia="宋体"/>
      <w:kern w:val="2"/>
      <w:sz w:val="24"/>
      <w:szCs w:val="24"/>
      <w:lang w:val="en-US" w:eastAsia="zh-CN" w:bidi="ar-SA"/>
    </w:rPr>
  </w:style>
  <w:style w:type="character" w:customStyle="1" w:styleId="229">
    <w:name w:val="Char Char111"/>
    <w:autoRedefine/>
    <w:qFormat/>
    <w:uiPriority w:val="0"/>
    <w:rPr>
      <w:rFonts w:ascii="宋体" w:eastAsia="宋体"/>
      <w:b/>
      <w:sz w:val="24"/>
      <w:u w:val="single"/>
      <w:lang w:val="en-US" w:eastAsia="zh-CN" w:bidi="ar-SA"/>
    </w:rPr>
  </w:style>
  <w:style w:type="character" w:customStyle="1" w:styleId="230">
    <w:name w:val="正文文本缩进 Char"/>
    <w:autoRedefine/>
    <w:qFormat/>
    <w:uiPriority w:val="0"/>
    <w:rPr>
      <w:rFonts w:eastAsia="宋体"/>
      <w:kern w:val="2"/>
      <w:sz w:val="24"/>
      <w:szCs w:val="24"/>
      <w:lang w:val="en-US" w:eastAsia="zh-CN" w:bidi="ar-SA"/>
    </w:rPr>
  </w:style>
  <w:style w:type="character" w:customStyle="1" w:styleId="231">
    <w:name w:val="列出段落 Char"/>
    <w:autoRedefine/>
    <w:qFormat/>
    <w:uiPriority w:val="0"/>
    <w:rPr>
      <w:rFonts w:ascii="Calibri" w:hAnsi="Calibri" w:eastAsia="宋体"/>
      <w:kern w:val="2"/>
      <w:sz w:val="21"/>
      <w:szCs w:val="22"/>
      <w:lang w:val="en-US" w:eastAsia="zh-CN" w:bidi="ar-SA"/>
    </w:rPr>
  </w:style>
  <w:style w:type="character" w:customStyle="1" w:styleId="232">
    <w:name w:val="页眉 Char"/>
    <w:autoRedefine/>
    <w:qFormat/>
    <w:uiPriority w:val="99"/>
    <w:rPr>
      <w:rFonts w:eastAsia="宋体"/>
      <w:kern w:val="2"/>
      <w:sz w:val="18"/>
      <w:szCs w:val="18"/>
      <w:lang w:val="en-US" w:eastAsia="zh-CN" w:bidi="ar-SA"/>
    </w:rPr>
  </w:style>
  <w:style w:type="character" w:customStyle="1" w:styleId="233">
    <w:name w:val="标题 2 Char"/>
    <w:autoRedefine/>
    <w:qFormat/>
    <w:uiPriority w:val="0"/>
    <w:rPr>
      <w:rFonts w:ascii="Arial" w:hAnsi="Arial" w:eastAsia="黑体"/>
      <w:b/>
      <w:sz w:val="30"/>
      <w:lang w:val="en-US" w:eastAsia="zh-CN" w:bidi="ar-SA"/>
    </w:rPr>
  </w:style>
  <w:style w:type="paragraph" w:customStyle="1" w:styleId="234">
    <w:name w:val="字元 字元2"/>
    <w:basedOn w:val="1"/>
    <w:autoRedefine/>
    <w:qFormat/>
    <w:uiPriority w:val="0"/>
    <w:rPr>
      <w:rFonts w:ascii="Tahoma" w:hAnsi="Tahoma"/>
      <w:sz w:val="24"/>
      <w:szCs w:val="20"/>
    </w:rPr>
  </w:style>
  <w:style w:type="paragraph" w:customStyle="1" w:styleId="235">
    <w:name w:val="Char3 Char Char Char2"/>
    <w:basedOn w:val="1"/>
    <w:autoRedefine/>
    <w:qFormat/>
    <w:uiPriority w:val="0"/>
    <w:rPr>
      <w:rFonts w:ascii="Tahoma" w:hAnsi="Tahoma"/>
      <w:sz w:val="24"/>
      <w:szCs w:val="20"/>
    </w:rPr>
  </w:style>
  <w:style w:type="paragraph" w:customStyle="1" w:styleId="236">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7">
    <w:name w:val="Char3"/>
    <w:basedOn w:val="1"/>
    <w:autoRedefine/>
    <w:qFormat/>
    <w:uiPriority w:val="0"/>
    <w:pPr>
      <w:tabs>
        <w:tab w:val="left" w:pos="360"/>
      </w:tabs>
    </w:pPr>
    <w:rPr>
      <w:sz w:val="24"/>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autoRedefine/>
    <w:qFormat/>
    <w:uiPriority w:val="0"/>
    <w:pPr>
      <w:ind w:firstLine="420" w:firstLineChars="200"/>
    </w:pPr>
    <w:rPr>
      <w:rFonts w:ascii="Calibri" w:hAnsi="Calibri"/>
      <w:szCs w:val="22"/>
    </w:rPr>
  </w:style>
  <w:style w:type="paragraph" w:customStyle="1" w:styleId="241">
    <w:name w:val="Char Char Char1 Char2"/>
    <w:basedOn w:val="1"/>
    <w:autoRedefine/>
    <w:qFormat/>
    <w:uiPriority w:val="0"/>
    <w:rPr>
      <w:rFonts w:ascii="Tahoma" w:hAnsi="Tahoma"/>
      <w:sz w:val="24"/>
      <w:szCs w:val="20"/>
    </w:rPr>
  </w:style>
  <w:style w:type="paragraph" w:customStyle="1" w:styleId="242">
    <w:name w:val="Char Char Char2"/>
    <w:basedOn w:val="1"/>
    <w:autoRedefine/>
    <w:qFormat/>
    <w:uiPriority w:val="0"/>
    <w:rPr>
      <w:rFonts w:ascii="Tahoma" w:hAnsi="Tahoma"/>
      <w:sz w:val="24"/>
      <w:szCs w:val="20"/>
    </w:rPr>
  </w:style>
  <w:style w:type="paragraph" w:customStyle="1" w:styleId="24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autoRedefine/>
    <w:qFormat/>
    <w:uiPriority w:val="0"/>
    <w:rPr>
      <w:rFonts w:ascii="Tahoma" w:hAnsi="Tahoma"/>
      <w:sz w:val="24"/>
      <w:szCs w:val="20"/>
    </w:rPr>
  </w:style>
  <w:style w:type="paragraph" w:customStyle="1" w:styleId="247">
    <w:name w:val="Char Char Char Char Char Char Char Char Char Char2"/>
    <w:basedOn w:val="1"/>
    <w:autoRedefine/>
    <w:qFormat/>
    <w:uiPriority w:val="0"/>
    <w:rPr>
      <w:rFonts w:ascii="宋体" w:hAnsi="宋体" w:cs="Courier New"/>
      <w:sz w:val="32"/>
      <w:szCs w:val="32"/>
    </w:rPr>
  </w:style>
  <w:style w:type="paragraph" w:customStyle="1" w:styleId="248">
    <w:name w:val="Char2 Char Char Char Char Char Char1"/>
    <w:basedOn w:val="1"/>
    <w:autoRedefine/>
    <w:qFormat/>
    <w:uiPriority w:val="0"/>
    <w:pPr>
      <w:widowControl/>
      <w:spacing w:line="400" w:lineRule="exact"/>
      <w:jc w:val="center"/>
    </w:pPr>
  </w:style>
  <w:style w:type="character" w:customStyle="1" w:styleId="249">
    <w:name w:val="页脚 Char"/>
    <w:autoRedefine/>
    <w:qFormat/>
    <w:uiPriority w:val="0"/>
    <w:rPr>
      <w:rFonts w:ascii="宋体" w:eastAsia="宋体"/>
      <w:sz w:val="18"/>
      <w:lang w:val="en-US" w:eastAsia="zh-CN" w:bidi="ar-SA"/>
    </w:rPr>
  </w:style>
  <w:style w:type="paragraph" w:customStyle="1" w:styleId="250">
    <w:name w:val="Char Char41"/>
    <w:basedOn w:val="1"/>
    <w:autoRedefine/>
    <w:qFormat/>
    <w:uiPriority w:val="0"/>
    <w:pPr>
      <w:widowControl/>
      <w:spacing w:line="400" w:lineRule="exact"/>
      <w:jc w:val="center"/>
    </w:pPr>
  </w:style>
  <w:style w:type="character" w:customStyle="1" w:styleId="251">
    <w:name w:val="批注文字 Char"/>
    <w:autoRedefine/>
    <w:qFormat/>
    <w:uiPriority w:val="0"/>
    <w:rPr>
      <w:kern w:val="2"/>
      <w:sz w:val="21"/>
      <w:szCs w:val="24"/>
    </w:rPr>
  </w:style>
  <w:style w:type="character" w:customStyle="1" w:styleId="252">
    <w:name w:val="标题 Char"/>
    <w:autoRedefine/>
    <w:qFormat/>
    <w:uiPriority w:val="0"/>
    <w:rPr>
      <w:b/>
      <w:kern w:val="2"/>
      <w:sz w:val="32"/>
    </w:rPr>
  </w:style>
  <w:style w:type="paragraph" w:customStyle="1" w:styleId="253">
    <w:name w:val="图例"/>
    <w:basedOn w:val="1"/>
    <w:autoRedefine/>
    <w:qFormat/>
    <w:uiPriority w:val="0"/>
    <w:pPr>
      <w:spacing w:before="120" w:after="120" w:line="360" w:lineRule="auto"/>
      <w:jc w:val="center"/>
    </w:pPr>
    <w:rPr>
      <w:rFonts w:eastAsia="仿宋_GB2312"/>
      <w:b/>
      <w:sz w:val="24"/>
      <w:szCs w:val="20"/>
    </w:rPr>
  </w:style>
  <w:style w:type="table" w:customStyle="1" w:styleId="254">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autoRedefine/>
    <w:qFormat/>
    <w:uiPriority w:val="99"/>
    <w:rPr>
      <w:kern w:val="2"/>
      <w:sz w:val="21"/>
      <w:szCs w:val="24"/>
    </w:rPr>
  </w:style>
  <w:style w:type="character" w:customStyle="1" w:styleId="257">
    <w:name w:val="纯文本 Char"/>
    <w:autoRedefine/>
    <w:qFormat/>
    <w:uiPriority w:val="0"/>
    <w:rPr>
      <w:rFonts w:ascii="宋体" w:hAnsi="Courier New"/>
      <w:kern w:val="2"/>
      <w:sz w:val="21"/>
    </w:rPr>
  </w:style>
  <w:style w:type="character" w:customStyle="1" w:styleId="258">
    <w:name w:val="正文文本 Char"/>
    <w:autoRedefine/>
    <w:qFormat/>
    <w:uiPriority w:val="0"/>
    <w:rPr>
      <w:rFonts w:ascii="宋体" w:hAnsi="宋体"/>
      <w:kern w:val="2"/>
      <w:sz w:val="24"/>
      <w:szCs w:val="24"/>
    </w:rPr>
  </w:style>
  <w:style w:type="character" w:customStyle="1" w:styleId="259">
    <w:name w:val="正文文本缩进 2 Char"/>
    <w:autoRedefine/>
    <w:qFormat/>
    <w:uiPriority w:val="99"/>
    <w:rPr>
      <w:rFonts w:ascii="仿宋_GB2312" w:eastAsia="仿宋_GB2312"/>
      <w:kern w:val="2"/>
      <w:sz w:val="24"/>
      <w:szCs w:val="24"/>
    </w:rPr>
  </w:style>
  <w:style w:type="character" w:customStyle="1" w:styleId="260">
    <w:name w:val="style11"/>
    <w:autoRedefine/>
    <w:qFormat/>
    <w:uiPriority w:val="0"/>
    <w:rPr>
      <w:color w:val="000000"/>
      <w:sz w:val="18"/>
      <w:szCs w:val="18"/>
    </w:rPr>
  </w:style>
  <w:style w:type="character" w:customStyle="1" w:styleId="261">
    <w:name w:val="标题 1 字符"/>
    <w:autoRedefine/>
    <w:qFormat/>
    <w:uiPriority w:val="0"/>
    <w:rPr>
      <w:rFonts w:ascii="宋体"/>
      <w:b/>
      <w:kern w:val="44"/>
      <w:sz w:val="32"/>
    </w:rPr>
  </w:style>
  <w:style w:type="character" w:customStyle="1" w:styleId="262">
    <w:name w:val="标题 2 字符"/>
    <w:autoRedefine/>
    <w:qFormat/>
    <w:uiPriority w:val="0"/>
    <w:rPr>
      <w:rFonts w:ascii="Arial" w:hAnsi="Arial" w:eastAsia="黑体"/>
      <w:b/>
      <w:sz w:val="30"/>
      <w:lang w:val="en-US" w:eastAsia="zh-CN" w:bidi="ar-SA"/>
    </w:rPr>
  </w:style>
  <w:style w:type="character" w:customStyle="1" w:styleId="263">
    <w:name w:val="正文缩进 字符"/>
    <w:autoRedefine/>
    <w:qFormat/>
    <w:uiPriority w:val="0"/>
    <w:rPr>
      <w:rFonts w:ascii="宋体" w:eastAsia="宋体"/>
      <w:kern w:val="2"/>
      <w:sz w:val="24"/>
      <w:szCs w:val="24"/>
      <w:lang w:val="en-US" w:eastAsia="zh-CN" w:bidi="ar-SA"/>
    </w:rPr>
  </w:style>
  <w:style w:type="character" w:customStyle="1" w:styleId="264">
    <w:name w:val="标题 3 字符"/>
    <w:autoRedefine/>
    <w:qFormat/>
    <w:uiPriority w:val="0"/>
    <w:rPr>
      <w:rFonts w:ascii="宋体" w:eastAsia="宋体"/>
      <w:b/>
      <w:sz w:val="24"/>
      <w:u w:val="single"/>
      <w:lang w:val="en-US" w:eastAsia="zh-CN" w:bidi="ar-SA"/>
    </w:rPr>
  </w:style>
  <w:style w:type="character" w:customStyle="1" w:styleId="265">
    <w:name w:val="标题 4 字符"/>
    <w:autoRedefine/>
    <w:qFormat/>
    <w:uiPriority w:val="0"/>
    <w:rPr>
      <w:rFonts w:ascii="Arial" w:hAnsi="Arial" w:eastAsia="黑体"/>
      <w:b/>
      <w:sz w:val="28"/>
    </w:rPr>
  </w:style>
  <w:style w:type="character" w:customStyle="1" w:styleId="266">
    <w:name w:val="标题 5 字符"/>
    <w:autoRedefine/>
    <w:qFormat/>
    <w:uiPriority w:val="0"/>
    <w:rPr>
      <w:b/>
      <w:sz w:val="28"/>
    </w:rPr>
  </w:style>
  <w:style w:type="character" w:customStyle="1" w:styleId="267">
    <w:name w:val="标题 6 字符"/>
    <w:autoRedefine/>
    <w:qFormat/>
    <w:uiPriority w:val="0"/>
    <w:rPr>
      <w:rFonts w:ascii="Arial" w:hAnsi="Arial" w:eastAsia="黑体"/>
      <w:b/>
      <w:sz w:val="24"/>
    </w:rPr>
  </w:style>
  <w:style w:type="character" w:customStyle="1" w:styleId="268">
    <w:name w:val="标题 7 字符"/>
    <w:autoRedefine/>
    <w:qFormat/>
    <w:uiPriority w:val="0"/>
    <w:rPr>
      <w:b/>
      <w:sz w:val="24"/>
    </w:rPr>
  </w:style>
  <w:style w:type="character" w:customStyle="1" w:styleId="269">
    <w:name w:val="标题 8 字符"/>
    <w:autoRedefine/>
    <w:qFormat/>
    <w:uiPriority w:val="0"/>
    <w:rPr>
      <w:rFonts w:ascii="Arial" w:hAnsi="Arial" w:eastAsia="黑体"/>
      <w:sz w:val="24"/>
    </w:rPr>
  </w:style>
  <w:style w:type="character" w:customStyle="1" w:styleId="270">
    <w:name w:val="标题 9 字符"/>
    <w:autoRedefine/>
    <w:qFormat/>
    <w:uiPriority w:val="0"/>
    <w:rPr>
      <w:rFonts w:ascii="Arial" w:hAnsi="Arial" w:eastAsia="黑体"/>
      <w:sz w:val="21"/>
    </w:rPr>
  </w:style>
  <w:style w:type="character" w:customStyle="1" w:styleId="271">
    <w:name w:val="文档结构图 字符"/>
    <w:autoRedefine/>
    <w:qFormat/>
    <w:uiPriority w:val="0"/>
    <w:rPr>
      <w:kern w:val="2"/>
      <w:sz w:val="21"/>
      <w:szCs w:val="24"/>
      <w:shd w:val="clear" w:color="auto" w:fill="000080"/>
    </w:rPr>
  </w:style>
  <w:style w:type="character" w:customStyle="1" w:styleId="272">
    <w:name w:val="批注文字 字符1"/>
    <w:autoRedefine/>
    <w:qFormat/>
    <w:uiPriority w:val="99"/>
    <w:rPr>
      <w:kern w:val="2"/>
      <w:sz w:val="21"/>
      <w:szCs w:val="24"/>
    </w:rPr>
  </w:style>
  <w:style w:type="character" w:customStyle="1" w:styleId="273">
    <w:name w:val="正文文本 3 字符"/>
    <w:autoRedefine/>
    <w:qFormat/>
    <w:uiPriority w:val="0"/>
    <w:rPr>
      <w:kern w:val="2"/>
      <w:sz w:val="16"/>
      <w:szCs w:val="16"/>
    </w:rPr>
  </w:style>
  <w:style w:type="character" w:customStyle="1" w:styleId="274">
    <w:name w:val="正文文本 字符"/>
    <w:autoRedefine/>
    <w:qFormat/>
    <w:uiPriority w:val="0"/>
    <w:rPr>
      <w:rFonts w:ascii="宋体" w:hAnsi="宋体"/>
      <w:kern w:val="2"/>
      <w:sz w:val="24"/>
      <w:szCs w:val="24"/>
    </w:rPr>
  </w:style>
  <w:style w:type="character" w:customStyle="1" w:styleId="275">
    <w:name w:val="正文文本缩进 字符"/>
    <w:autoRedefine/>
    <w:qFormat/>
    <w:uiPriority w:val="0"/>
    <w:rPr>
      <w:rFonts w:eastAsia="宋体"/>
      <w:kern w:val="2"/>
      <w:sz w:val="24"/>
      <w:szCs w:val="24"/>
      <w:lang w:val="en-US" w:eastAsia="zh-CN" w:bidi="ar-SA"/>
    </w:rPr>
  </w:style>
  <w:style w:type="character" w:customStyle="1" w:styleId="276">
    <w:name w:val="纯文本 字符2"/>
    <w:autoRedefine/>
    <w:qFormat/>
    <w:uiPriority w:val="0"/>
    <w:rPr>
      <w:rFonts w:hint="eastAsia" w:ascii="宋体" w:hAnsi="Courier New" w:eastAsia="宋体" w:cs="宋体"/>
      <w:kern w:val="2"/>
      <w:sz w:val="21"/>
    </w:rPr>
  </w:style>
  <w:style w:type="character" w:customStyle="1" w:styleId="277">
    <w:name w:val="日期 字符"/>
    <w:autoRedefine/>
    <w:qFormat/>
    <w:uiPriority w:val="0"/>
    <w:rPr>
      <w:rFonts w:ascii="仿宋_GB2312" w:hAnsi="宋体" w:eastAsia="仿宋_GB2312"/>
      <w:color w:val="000000"/>
      <w:kern w:val="2"/>
      <w:sz w:val="24"/>
      <w:szCs w:val="24"/>
    </w:rPr>
  </w:style>
  <w:style w:type="character" w:customStyle="1" w:styleId="278">
    <w:name w:val="正文文本缩进 2 字符"/>
    <w:autoRedefine/>
    <w:qFormat/>
    <w:uiPriority w:val="0"/>
    <w:rPr>
      <w:rFonts w:ascii="仿宋_GB2312" w:eastAsia="仿宋_GB2312"/>
      <w:kern w:val="2"/>
      <w:sz w:val="24"/>
      <w:szCs w:val="24"/>
    </w:rPr>
  </w:style>
  <w:style w:type="character" w:customStyle="1" w:styleId="279">
    <w:name w:val="批注框文本 字符"/>
    <w:autoRedefine/>
    <w:qFormat/>
    <w:uiPriority w:val="0"/>
    <w:rPr>
      <w:kern w:val="2"/>
      <w:sz w:val="18"/>
      <w:szCs w:val="18"/>
    </w:rPr>
  </w:style>
  <w:style w:type="character" w:customStyle="1" w:styleId="280">
    <w:name w:val="页脚 字符"/>
    <w:autoRedefine/>
    <w:qFormat/>
    <w:uiPriority w:val="99"/>
    <w:rPr>
      <w:rFonts w:ascii="宋体" w:eastAsia="宋体"/>
      <w:sz w:val="18"/>
      <w:lang w:val="en-US" w:eastAsia="zh-CN" w:bidi="ar-SA"/>
    </w:rPr>
  </w:style>
  <w:style w:type="character" w:customStyle="1" w:styleId="281">
    <w:name w:val="页眉 字符"/>
    <w:autoRedefine/>
    <w:qFormat/>
    <w:uiPriority w:val="0"/>
    <w:rPr>
      <w:rFonts w:eastAsia="宋体"/>
      <w:kern w:val="2"/>
      <w:sz w:val="18"/>
      <w:szCs w:val="18"/>
      <w:lang w:val="en-US" w:eastAsia="zh-CN" w:bidi="ar-SA"/>
    </w:rPr>
  </w:style>
  <w:style w:type="character" w:customStyle="1" w:styleId="282">
    <w:name w:val="正文文本缩进 3 字符"/>
    <w:autoRedefine/>
    <w:qFormat/>
    <w:uiPriority w:val="0"/>
    <w:rPr>
      <w:rFonts w:ascii="宋体"/>
      <w:sz w:val="24"/>
    </w:rPr>
  </w:style>
  <w:style w:type="character" w:customStyle="1" w:styleId="283">
    <w:name w:val="HTML 预设格式 字符"/>
    <w:autoRedefine/>
    <w:qFormat/>
    <w:uiPriority w:val="0"/>
    <w:rPr>
      <w:rFonts w:ascii="宋体" w:hAnsi="宋体" w:cs="宋体"/>
      <w:sz w:val="24"/>
      <w:szCs w:val="24"/>
    </w:rPr>
  </w:style>
  <w:style w:type="character" w:customStyle="1" w:styleId="284">
    <w:name w:val="标题 字符"/>
    <w:autoRedefine/>
    <w:qFormat/>
    <w:uiPriority w:val="0"/>
    <w:rPr>
      <w:b/>
      <w:kern w:val="2"/>
      <w:sz w:val="32"/>
    </w:rPr>
  </w:style>
  <w:style w:type="character" w:customStyle="1" w:styleId="285">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autoRedefine/>
    <w:qFormat/>
    <w:uiPriority w:val="0"/>
    <w:rPr>
      <w:rFonts w:eastAsia="宋体"/>
      <w:kern w:val="2"/>
      <w:sz w:val="24"/>
      <w:szCs w:val="24"/>
      <w:lang w:val="en-US" w:eastAsia="zh-CN" w:bidi="ar-SA"/>
    </w:rPr>
  </w:style>
  <w:style w:type="paragraph" w:customStyle="1" w:styleId="287">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autoRedefine/>
    <w:qFormat/>
    <w:uiPriority w:val="99"/>
    <w:pPr>
      <w:adjustRightInd w:val="0"/>
      <w:jc w:val="left"/>
    </w:pPr>
    <w:rPr>
      <w:rFonts w:ascii="宋体" w:hAnsi="Courier New" w:eastAsia="等线"/>
      <w:sz w:val="24"/>
      <w:szCs w:val="20"/>
    </w:rPr>
  </w:style>
  <w:style w:type="paragraph" w:customStyle="1" w:styleId="289">
    <w:name w:val="TOC 标题1"/>
    <w:basedOn w:val="2"/>
    <w:next w:val="1"/>
    <w:autoRedefine/>
    <w:unhideWhenUsed/>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character" w:customStyle="1" w:styleId="290">
    <w:name w:val="font21"/>
    <w:basedOn w:val="43"/>
    <w:autoRedefine/>
    <w:qFormat/>
    <w:uiPriority w:val="99"/>
    <w:rPr>
      <w:rFonts w:ascii="宋体" w:hAnsi="宋体" w:eastAsia="宋体" w:cs="宋体"/>
      <w:color w:val="000000"/>
      <w:sz w:val="18"/>
      <w:szCs w:val="18"/>
      <w:u w:val="none"/>
    </w:rPr>
  </w:style>
  <w:style w:type="character" w:customStyle="1" w:styleId="291">
    <w:name w:val="font41"/>
    <w:basedOn w:val="43"/>
    <w:autoRedefine/>
    <w:qFormat/>
    <w:uiPriority w:val="99"/>
    <w:rPr>
      <w:rFonts w:ascii="宋体" w:hAnsi="宋体" w:eastAsia="宋体" w:cs="宋体"/>
      <w:color w:val="000000"/>
      <w:sz w:val="18"/>
      <w:szCs w:val="18"/>
      <w:u w:val="none"/>
    </w:rPr>
  </w:style>
  <w:style w:type="character" w:customStyle="1" w:styleId="292">
    <w:name w:val="font122"/>
    <w:basedOn w:val="43"/>
    <w:autoRedefine/>
    <w:qFormat/>
    <w:uiPriority w:val="99"/>
    <w:rPr>
      <w:rFonts w:ascii="微软雅黑" w:hAnsi="微软雅黑" w:eastAsia="微软雅黑" w:cs="微软雅黑"/>
      <w:b/>
      <w:bCs/>
      <w:color w:val="000000"/>
      <w:sz w:val="18"/>
      <w:szCs w:val="18"/>
      <w:u w:val="none"/>
    </w:rPr>
  </w:style>
  <w:style w:type="character" w:customStyle="1" w:styleId="293">
    <w:name w:val="font81"/>
    <w:basedOn w:val="43"/>
    <w:autoRedefine/>
    <w:qFormat/>
    <w:uiPriority w:val="99"/>
    <w:rPr>
      <w:rFonts w:ascii="宋体" w:hAnsi="宋体" w:eastAsia="宋体" w:cs="宋体"/>
      <w:b/>
      <w:bCs/>
      <w:color w:val="000000"/>
      <w:sz w:val="18"/>
      <w:szCs w:val="18"/>
      <w:u w:val="none"/>
    </w:rPr>
  </w:style>
  <w:style w:type="character" w:customStyle="1" w:styleId="294">
    <w:name w:val="font131"/>
    <w:basedOn w:val="43"/>
    <w:autoRedefine/>
    <w:qFormat/>
    <w:uiPriority w:val="99"/>
    <w:rPr>
      <w:rFonts w:ascii="Calibri" w:hAnsi="Calibri" w:cs="Calibri"/>
      <w:color w:val="FF0000"/>
      <w:sz w:val="18"/>
      <w:szCs w:val="18"/>
      <w:u w:val="none"/>
    </w:rPr>
  </w:style>
  <w:style w:type="character" w:customStyle="1" w:styleId="295">
    <w:name w:val="font101"/>
    <w:basedOn w:val="43"/>
    <w:autoRedefine/>
    <w:qFormat/>
    <w:uiPriority w:val="99"/>
    <w:rPr>
      <w:rFonts w:ascii="宋体" w:hAnsi="宋体" w:eastAsia="宋体" w:cs="宋体"/>
      <w:color w:val="FF0000"/>
      <w:sz w:val="18"/>
      <w:szCs w:val="18"/>
      <w:u w:val="none"/>
    </w:rPr>
  </w:style>
  <w:style w:type="character" w:customStyle="1" w:styleId="296">
    <w:name w:val="font91"/>
    <w:basedOn w:val="43"/>
    <w:autoRedefine/>
    <w:qFormat/>
    <w:uiPriority w:val="99"/>
    <w:rPr>
      <w:rFonts w:ascii="宋体" w:hAnsi="宋体" w:eastAsia="宋体" w:cs="宋体"/>
      <w:color w:val="FF0000"/>
      <w:sz w:val="18"/>
      <w:szCs w:val="18"/>
      <w:u w:val="none"/>
    </w:rPr>
  </w:style>
  <w:style w:type="character" w:customStyle="1" w:styleId="297">
    <w:name w:val="font31"/>
    <w:basedOn w:val="43"/>
    <w:autoRedefine/>
    <w:qFormat/>
    <w:uiPriority w:val="99"/>
    <w:rPr>
      <w:rFonts w:ascii="宋体" w:hAnsi="宋体" w:eastAsia="宋体" w:cs="宋体"/>
      <w:color w:val="000000"/>
      <w:sz w:val="18"/>
      <w:szCs w:val="18"/>
      <w:u w:val="none"/>
    </w:rPr>
  </w:style>
  <w:style w:type="character" w:customStyle="1" w:styleId="298">
    <w:name w:val="font141"/>
    <w:basedOn w:val="43"/>
    <w:autoRedefine/>
    <w:qFormat/>
    <w:uiPriority w:val="99"/>
    <w:rPr>
      <w:rFonts w:ascii="Arial" w:hAnsi="Arial" w:cs="Arial"/>
      <w:color w:val="000000"/>
      <w:sz w:val="18"/>
      <w:szCs w:val="18"/>
      <w:u w:val="none"/>
    </w:rPr>
  </w:style>
  <w:style w:type="character" w:customStyle="1" w:styleId="299">
    <w:name w:val="font51"/>
    <w:basedOn w:val="43"/>
    <w:autoRedefine/>
    <w:qFormat/>
    <w:uiPriority w:val="0"/>
    <w:rPr>
      <w:rFonts w:ascii="Calibri" w:hAnsi="Calibri" w:cs="Calibri"/>
      <w:color w:val="000000"/>
      <w:sz w:val="20"/>
      <w:szCs w:val="20"/>
      <w:u w:val="none"/>
    </w:rPr>
  </w:style>
  <w:style w:type="character" w:customStyle="1" w:styleId="300">
    <w:name w:val="apple-converted-space"/>
    <w:basedOn w:val="43"/>
    <w:autoRedefine/>
    <w:qFormat/>
    <w:uiPriority w:val="0"/>
  </w:style>
  <w:style w:type="paragraph" w:customStyle="1" w:styleId="301">
    <w:name w:val="正文文字缩进 2"/>
    <w:basedOn w:val="1"/>
    <w:autoRedefine/>
    <w:qFormat/>
    <w:uiPriority w:val="0"/>
    <w:pPr>
      <w:spacing w:line="351" w:lineRule="atLeast"/>
      <w:ind w:firstLine="481"/>
      <w:textAlignment w:val="baseline"/>
    </w:pPr>
    <w:rPr>
      <w:rFonts w:ascii="仿宋_GB2312" w:eastAsia="仿宋_GB2312"/>
      <w:color w:val="000000"/>
      <w:sz w:val="24"/>
      <w:u w:color="000000"/>
    </w:rPr>
  </w:style>
  <w:style w:type="paragraph" w:customStyle="1" w:styleId="302">
    <w:name w:val="正文文字缩进 3"/>
    <w:basedOn w:val="1"/>
    <w:autoRedefine/>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3">
    <w:name w:val="普通文字"/>
    <w:basedOn w:val="1"/>
    <w:autoRedefine/>
    <w:qFormat/>
    <w:uiPriority w:val="0"/>
    <w:pPr>
      <w:spacing w:line="351" w:lineRule="atLeast"/>
      <w:ind w:firstLine="419"/>
      <w:textAlignment w:val="baseline"/>
    </w:pPr>
    <w:rPr>
      <w:rFonts w:ascii="宋体"/>
      <w:color w:val="000000"/>
      <w:u w:color="000000"/>
    </w:rPr>
  </w:style>
  <w:style w:type="paragraph" w:customStyle="1" w:styleId="304">
    <w:name w:val="Char1 Char Char Char Char Char Char"/>
    <w:basedOn w:val="1"/>
    <w:autoRedefine/>
    <w:qFormat/>
    <w:uiPriority w:val="0"/>
    <w:rPr>
      <w:rFonts w:ascii="Tahoma" w:hAnsi="Tahoma"/>
      <w:szCs w:val="20"/>
    </w:rPr>
  </w:style>
  <w:style w:type="character" w:customStyle="1" w:styleId="305">
    <w:name w:val="未处理的提及9"/>
    <w:basedOn w:val="43"/>
    <w:autoRedefine/>
    <w:qFormat/>
    <w:uiPriority w:val="99"/>
    <w:rPr>
      <w:color w:val="605E5C"/>
      <w:shd w:val="clear" w:color="auto" w:fill="E1DFDD"/>
    </w:rPr>
  </w:style>
  <w:style w:type="paragraph" w:customStyle="1" w:styleId="30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07">
    <w:name w:val="cf01"/>
    <w:basedOn w:val="43"/>
    <w:autoRedefine/>
    <w:qFormat/>
    <w:uiPriority w:val="0"/>
    <w:rPr>
      <w:rFonts w:hint="eastAsia" w:ascii="Microsoft YaHei UI" w:hAnsi="Microsoft YaHei UI" w:eastAsia="Microsoft YaHei UI"/>
      <w:sz w:val="18"/>
      <w:szCs w:val="18"/>
    </w:rPr>
  </w:style>
  <w:style w:type="paragraph" w:customStyle="1" w:styleId="308">
    <w:name w:val="_Style 1"/>
    <w:basedOn w:val="1"/>
    <w:autoRedefine/>
    <w:qFormat/>
    <w:uiPriority w:val="0"/>
    <w:pPr>
      <w:ind w:firstLine="420" w:firstLineChars="200"/>
    </w:pPr>
    <w:rPr>
      <w:rFonts w:ascii="Calibri" w:hAnsi="Calibri"/>
      <w:szCs w:val="22"/>
    </w:rPr>
  </w:style>
  <w:style w:type="character" w:customStyle="1" w:styleId="309">
    <w:name w:val="NormalCharacter"/>
    <w:autoRedefine/>
    <w:qFormat/>
    <w:uiPriority w:val="0"/>
  </w:style>
  <w:style w:type="paragraph" w:customStyle="1" w:styleId="310">
    <w:name w:val="正文1"/>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94</Pages>
  <Words>41778</Words>
  <Characters>45187</Characters>
  <Lines>392</Lines>
  <Paragraphs>110</Paragraphs>
  <TotalTime>12</TotalTime>
  <ScaleCrop>false</ScaleCrop>
  <LinksUpToDate>false</LinksUpToDate>
  <CharactersWithSpaces>46428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2022-04-26T08:24:00Z</dcterms:created>
  <dc:creator>尹皓</dc:creator>
  <cp:lastModifiedBy>周若晴</cp:lastModifiedBy>
  <cp:lastPrinted>2020-04-02T03:13:00Z</cp:lastPrinted>
  <dcterms:modified xsi:type="dcterms:W3CDTF">2024-06-07T02:35:52Z</dcterms:modified>
  <dc:title>02年杜范本稿</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57812C008C974D349969F6804166D94E</vt:lpwstr>
  </property>
</Properties>
</file>