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B127F">
      <w:pPr>
        <w:spacing w:before="480" w:beforeLines="200" w:after="480" w:afterLines="200"/>
        <w:jc w:val="center"/>
        <w:rPr>
          <w:rFonts w:hint="eastAsia" w:ascii="宋体" w:hAnsi="宋体"/>
          <w:b/>
          <w:spacing w:val="-20"/>
          <w:sz w:val="24"/>
        </w:rPr>
      </w:pPr>
    </w:p>
    <w:p w14:paraId="7D16E302">
      <w:pPr>
        <w:spacing w:before="480" w:beforeLines="200" w:after="480" w:afterLines="200" w:line="300" w:lineRule="auto"/>
        <w:jc w:val="center"/>
        <w:rPr>
          <w:rFonts w:hint="eastAsia" w:ascii="宋体" w:hAnsi="宋体"/>
          <w:b/>
          <w:spacing w:val="-20"/>
          <w:sz w:val="48"/>
          <w:szCs w:val="48"/>
        </w:rPr>
      </w:pPr>
      <w:r>
        <w:rPr>
          <w:rFonts w:hint="eastAsia" w:ascii="宋体" w:hAnsi="宋体"/>
          <w:b/>
          <w:spacing w:val="-20"/>
          <w:sz w:val="48"/>
          <w:szCs w:val="48"/>
        </w:rPr>
        <w:t>久凌大厦南楼五层改造工程</w:t>
      </w:r>
    </w:p>
    <w:p w14:paraId="616F181F">
      <w:pPr>
        <w:spacing w:before="480" w:beforeLines="200" w:after="480" w:afterLines="200" w:line="560" w:lineRule="exact"/>
        <w:jc w:val="center"/>
        <w:rPr>
          <w:rFonts w:hint="eastAsia" w:ascii="宋体" w:hAnsi="宋体"/>
          <w:b/>
          <w:sz w:val="52"/>
          <w:szCs w:val="52"/>
        </w:rPr>
      </w:pPr>
    </w:p>
    <w:p w14:paraId="7DFD40D7">
      <w:pPr>
        <w:jc w:val="center"/>
        <w:rPr>
          <w:rFonts w:hint="eastAsia" w:ascii="宋体" w:hAnsi="宋体"/>
          <w:b/>
          <w:sz w:val="72"/>
          <w:szCs w:val="72"/>
        </w:rPr>
      </w:pPr>
      <w:r>
        <w:rPr>
          <w:rFonts w:hint="eastAsia" w:ascii="宋体" w:hAnsi="宋体"/>
          <w:b/>
          <w:sz w:val="72"/>
          <w:szCs w:val="72"/>
        </w:rPr>
        <w:t>竞争性磋商文件</w:t>
      </w:r>
    </w:p>
    <w:p w14:paraId="12B02DD0">
      <w:pPr>
        <w:spacing w:line="560" w:lineRule="exact"/>
        <w:jc w:val="center"/>
        <w:rPr>
          <w:rFonts w:hint="eastAsia" w:ascii="宋体" w:hAnsi="宋体"/>
          <w:b/>
          <w:sz w:val="52"/>
        </w:rPr>
      </w:pPr>
    </w:p>
    <w:p w14:paraId="4CFDF0CE">
      <w:pPr>
        <w:spacing w:line="360" w:lineRule="auto"/>
        <w:jc w:val="center"/>
        <w:rPr>
          <w:rFonts w:hint="eastAsia" w:ascii="宋体" w:hAnsi="宋体"/>
          <w:b/>
          <w:bCs/>
          <w:sz w:val="32"/>
          <w:szCs w:val="32"/>
        </w:rPr>
      </w:pPr>
      <w:r>
        <w:rPr>
          <w:rFonts w:hint="eastAsia" w:ascii="宋体" w:hAnsi="宋体"/>
          <w:b/>
          <w:bCs/>
          <w:kern w:val="0"/>
          <w:sz w:val="32"/>
          <w:szCs w:val="32"/>
        </w:rPr>
        <w:t>采购项目</w:t>
      </w:r>
      <w:r>
        <w:rPr>
          <w:rFonts w:ascii="宋体" w:hAnsi="宋体"/>
          <w:b/>
          <w:bCs/>
          <w:kern w:val="0"/>
          <w:sz w:val="32"/>
          <w:szCs w:val="32"/>
        </w:rPr>
        <w:t>编号</w:t>
      </w:r>
      <w:r>
        <w:rPr>
          <w:rFonts w:hint="eastAsia" w:ascii="宋体" w:hAnsi="宋体"/>
          <w:b/>
          <w:bCs/>
          <w:sz w:val="32"/>
          <w:szCs w:val="32"/>
        </w:rPr>
        <w:t>：</w:t>
      </w:r>
      <w:r>
        <w:rPr>
          <w:rFonts w:ascii="宋体" w:hAnsi="宋体"/>
          <w:b/>
          <w:bCs/>
          <w:sz w:val="32"/>
          <w:szCs w:val="32"/>
        </w:rPr>
        <w:t>BMCC-GC24-0076</w:t>
      </w:r>
    </w:p>
    <w:p w14:paraId="06714474">
      <w:pPr>
        <w:spacing w:line="360" w:lineRule="auto"/>
        <w:ind w:firstLine="1619" w:firstLineChars="504"/>
        <w:rPr>
          <w:rFonts w:hint="eastAsia" w:ascii="宋体" w:hAnsi="宋体"/>
          <w:b/>
          <w:bCs/>
          <w:sz w:val="32"/>
          <w:szCs w:val="32"/>
        </w:rPr>
      </w:pPr>
    </w:p>
    <w:p w14:paraId="65B8E806">
      <w:pPr>
        <w:spacing w:line="360" w:lineRule="auto"/>
        <w:ind w:firstLine="1619" w:firstLineChars="504"/>
        <w:rPr>
          <w:rFonts w:hint="eastAsia" w:ascii="宋体" w:hAnsi="宋体" w:cs="宋体"/>
          <w:b/>
          <w:kern w:val="0"/>
          <w:sz w:val="32"/>
          <w:szCs w:val="32"/>
        </w:rPr>
      </w:pPr>
    </w:p>
    <w:p w14:paraId="450BF111">
      <w:pPr>
        <w:tabs>
          <w:tab w:val="left" w:pos="6840"/>
        </w:tabs>
        <w:spacing w:line="360" w:lineRule="auto"/>
        <w:jc w:val="center"/>
        <w:rPr>
          <w:rFonts w:hint="eastAsia" w:ascii="宋体" w:hAnsi="宋体"/>
          <w:b/>
          <w:bCs/>
          <w:sz w:val="32"/>
          <w:szCs w:val="32"/>
        </w:rPr>
      </w:pPr>
      <w:r>
        <w:rPr>
          <w:rFonts w:hint="eastAsia" w:ascii="宋体" w:hAnsi="宋体"/>
          <w:b/>
          <w:bCs/>
          <w:sz w:val="32"/>
          <w:szCs w:val="32"/>
        </w:rPr>
        <w:t>采   购   人：北京外国语大学同文教育发展培训中心</w:t>
      </w:r>
    </w:p>
    <w:p w14:paraId="1C8F7869">
      <w:pPr>
        <w:tabs>
          <w:tab w:val="left" w:pos="6840"/>
        </w:tabs>
        <w:spacing w:line="360" w:lineRule="auto"/>
        <w:jc w:val="center"/>
        <w:rPr>
          <w:rFonts w:hint="eastAsia" w:ascii="宋体" w:hAnsi="宋体"/>
          <w:b/>
          <w:bCs/>
          <w:sz w:val="32"/>
          <w:szCs w:val="32"/>
        </w:rPr>
      </w:pPr>
    </w:p>
    <w:p w14:paraId="3FBE0190">
      <w:pPr>
        <w:spacing w:line="360" w:lineRule="auto"/>
        <w:ind w:firstLine="283" w:firstLineChars="88"/>
        <w:rPr>
          <w:rFonts w:hint="eastAsia" w:ascii="宋体" w:hAnsi="宋体"/>
          <w:b/>
          <w:bCs/>
          <w:sz w:val="32"/>
          <w:szCs w:val="32"/>
        </w:rPr>
      </w:pPr>
      <w:r>
        <w:rPr>
          <w:rFonts w:hint="eastAsia" w:ascii="宋体" w:hAnsi="宋体"/>
          <w:b/>
          <w:bCs/>
          <w:sz w:val="32"/>
          <w:szCs w:val="32"/>
        </w:rPr>
        <w:t>采购代理机构：北京明德致信咨询有限公司</w:t>
      </w:r>
      <w:bookmarkStart w:id="2765" w:name="_GoBack"/>
      <w:bookmarkEnd w:id="2765"/>
    </w:p>
    <w:p w14:paraId="0FD74977">
      <w:pPr>
        <w:spacing w:line="480" w:lineRule="auto"/>
        <w:ind w:left="-1" w:leftChars="-1" w:hanging="1"/>
        <w:jc w:val="center"/>
        <w:rPr>
          <w:rFonts w:hint="eastAsia" w:ascii="宋体" w:hAnsi="宋体"/>
          <w:b/>
          <w:bCs/>
          <w:sz w:val="32"/>
          <w:szCs w:val="32"/>
        </w:rPr>
      </w:pPr>
      <w:r>
        <w:rPr>
          <w:rFonts w:hint="eastAsia" w:ascii="宋体" w:hAnsi="宋体"/>
          <w:b/>
          <w:bCs/>
          <w:sz w:val="32"/>
          <w:szCs w:val="32"/>
        </w:rPr>
        <w:t>2024年9月</w:t>
      </w:r>
    </w:p>
    <w:p w14:paraId="50D5D713">
      <w:pPr>
        <w:widowControl/>
        <w:jc w:val="left"/>
        <w:rPr>
          <w:rFonts w:hint="eastAsia" w:ascii="宋体" w:hAnsi="宋体"/>
          <w:b/>
          <w:sz w:val="32"/>
          <w:szCs w:val="32"/>
        </w:rPr>
      </w:pPr>
      <w:r>
        <w:rPr>
          <w:rFonts w:ascii="宋体" w:hAnsi="宋体"/>
          <w:b/>
          <w:sz w:val="52"/>
        </w:rPr>
        <w:drawing>
          <wp:anchor distT="0" distB="0" distL="114300" distR="114300" simplePos="0" relativeHeight="251659264" behindDoc="1" locked="0" layoutInCell="1" allowOverlap="1">
            <wp:simplePos x="0" y="0"/>
            <wp:positionH relativeFrom="column">
              <wp:posOffset>965200</wp:posOffset>
            </wp:positionH>
            <wp:positionV relativeFrom="paragraph">
              <wp:posOffset>85725</wp:posOffset>
            </wp:positionV>
            <wp:extent cx="3435350" cy="2419350"/>
            <wp:effectExtent l="0" t="0" r="0" b="0"/>
            <wp:wrapNone/>
            <wp:docPr id="776020441" name="图片 1" descr="说明: 明德致信-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020441" name="图片 1" descr="说明: 明德致信-LOGO-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3435350" cy="2419350"/>
                    </a:xfrm>
                    <a:prstGeom prst="rect">
                      <a:avLst/>
                    </a:prstGeom>
                    <a:noFill/>
                    <a:ln>
                      <a:noFill/>
                    </a:ln>
                  </pic:spPr>
                </pic:pic>
              </a:graphicData>
            </a:graphic>
          </wp:anchor>
        </w:drawing>
      </w:r>
      <w:r>
        <w:rPr>
          <w:rFonts w:ascii="宋体" w:hAnsi="宋体"/>
          <w:b/>
          <w:sz w:val="32"/>
          <w:szCs w:val="32"/>
        </w:rPr>
        <w:br w:type="page"/>
      </w:r>
    </w:p>
    <w:p w14:paraId="07F4C0A7">
      <w:pPr>
        <w:spacing w:line="440" w:lineRule="exact"/>
        <w:jc w:val="center"/>
        <w:rPr>
          <w:rFonts w:hint="eastAsia" w:ascii="宋体" w:hAnsi="宋体"/>
          <w:b/>
          <w:sz w:val="32"/>
          <w:szCs w:val="32"/>
        </w:rPr>
      </w:pPr>
    </w:p>
    <w:p w14:paraId="542BF822">
      <w:pPr>
        <w:spacing w:line="440" w:lineRule="exact"/>
        <w:jc w:val="center"/>
        <w:rPr>
          <w:rFonts w:hint="eastAsia" w:ascii="宋体" w:hAnsi="宋体"/>
          <w:b/>
          <w:sz w:val="32"/>
          <w:szCs w:val="32"/>
        </w:rPr>
      </w:pPr>
      <w:r>
        <w:rPr>
          <w:rFonts w:hint="eastAsia" w:ascii="宋体" w:hAnsi="宋体"/>
          <w:b/>
          <w:sz w:val="32"/>
          <w:szCs w:val="32"/>
        </w:rPr>
        <w:t>目    录</w:t>
      </w:r>
    </w:p>
    <w:p w14:paraId="35DB1894">
      <w:pPr>
        <w:spacing w:line="440" w:lineRule="exact"/>
        <w:jc w:val="center"/>
        <w:rPr>
          <w:rFonts w:hint="eastAsia" w:ascii="宋体" w:hAnsi="宋体"/>
          <w:b/>
          <w:sz w:val="32"/>
          <w:szCs w:val="32"/>
        </w:rPr>
      </w:pPr>
    </w:p>
    <w:p w14:paraId="314AB2A5">
      <w:pPr>
        <w:spacing w:line="440" w:lineRule="exact"/>
        <w:jc w:val="center"/>
        <w:rPr>
          <w:rFonts w:hint="eastAsia" w:ascii="宋体" w:hAnsi="宋体"/>
          <w:b/>
          <w:sz w:val="32"/>
          <w:szCs w:val="32"/>
        </w:rPr>
      </w:pPr>
    </w:p>
    <w:p w14:paraId="1B11621A">
      <w:pPr>
        <w:pStyle w:val="55"/>
        <w:rPr>
          <w:rFonts w:hint="eastAsia" w:asciiTheme="minorHAnsi" w:hAnsiTheme="minorHAnsi" w:eastAsiaTheme="minorEastAsia" w:cstheme="minorBidi"/>
          <w:b w:val="0"/>
          <w:sz w:val="21"/>
          <w:szCs w:val="22"/>
          <w14:ligatures w14:val="standardContextual"/>
        </w:rPr>
      </w:pPr>
      <w:r>
        <w:rPr>
          <w:rFonts w:ascii="宋体" w:eastAsia="宋体"/>
          <w:b w:val="0"/>
        </w:rPr>
        <w:fldChar w:fldCharType="begin"/>
      </w:r>
      <w:r>
        <w:rPr>
          <w:rFonts w:ascii="宋体" w:eastAsia="宋体"/>
          <w:b w:val="0"/>
        </w:rPr>
        <w:instrText xml:space="preserve"> </w:instrText>
      </w:r>
      <w:r>
        <w:rPr>
          <w:rFonts w:hint="eastAsia" w:ascii="宋体" w:eastAsia="宋体"/>
          <w:b w:val="0"/>
        </w:rPr>
        <w:instrText xml:space="preserve">TOC \o "1-3" \h \z \u</w:instrText>
      </w:r>
      <w:r>
        <w:rPr>
          <w:rFonts w:ascii="宋体" w:eastAsia="宋体"/>
          <w:b w:val="0"/>
        </w:rPr>
        <w:instrText xml:space="preserve"> </w:instrText>
      </w:r>
      <w:r>
        <w:rPr>
          <w:rFonts w:ascii="宋体" w:eastAsia="宋体"/>
          <w:b w:val="0"/>
        </w:rPr>
        <w:fldChar w:fldCharType="separate"/>
      </w:r>
      <w:r>
        <w:fldChar w:fldCharType="begin"/>
      </w:r>
      <w:r>
        <w:instrText xml:space="preserve"> HYPERLINK \l "_Toc142385477" </w:instrText>
      </w:r>
      <w:r>
        <w:fldChar w:fldCharType="separate"/>
      </w:r>
      <w:r>
        <w:rPr>
          <w:rStyle w:val="93"/>
        </w:rPr>
        <w:t>第一章 竞争性磋商公告</w:t>
      </w:r>
      <w:r>
        <w:tab/>
      </w:r>
      <w:r>
        <w:fldChar w:fldCharType="begin"/>
      </w:r>
      <w:r>
        <w:instrText xml:space="preserve"> PAGEREF _Toc142385477 \h </w:instrText>
      </w:r>
      <w:r>
        <w:fldChar w:fldCharType="separate"/>
      </w:r>
      <w:r>
        <w:t>3</w:t>
      </w:r>
      <w:r>
        <w:fldChar w:fldCharType="end"/>
      </w:r>
      <w:r>
        <w:fldChar w:fldCharType="end"/>
      </w:r>
    </w:p>
    <w:p w14:paraId="14CE4C50">
      <w:pPr>
        <w:pStyle w:val="55"/>
        <w:rPr>
          <w:rFonts w:hint="eastAsia" w:asciiTheme="minorHAnsi" w:hAnsiTheme="minorHAnsi" w:eastAsiaTheme="minorEastAsia" w:cstheme="minorBidi"/>
          <w:b w:val="0"/>
          <w:sz w:val="21"/>
          <w:szCs w:val="22"/>
          <w14:ligatures w14:val="standardContextual"/>
        </w:rPr>
      </w:pPr>
      <w:r>
        <w:fldChar w:fldCharType="begin"/>
      </w:r>
      <w:r>
        <w:instrText xml:space="preserve"> HYPERLINK \l "_Toc142385485" </w:instrText>
      </w:r>
      <w:r>
        <w:fldChar w:fldCharType="separate"/>
      </w:r>
      <w:r>
        <w:rPr>
          <w:rStyle w:val="93"/>
        </w:rPr>
        <w:t>第二章 供应商须知前附表</w:t>
      </w:r>
      <w:r>
        <w:tab/>
      </w:r>
      <w:r>
        <w:fldChar w:fldCharType="begin"/>
      </w:r>
      <w:r>
        <w:instrText xml:space="preserve"> PAGEREF _Toc142385485 \h </w:instrText>
      </w:r>
      <w:r>
        <w:fldChar w:fldCharType="separate"/>
      </w:r>
      <w:r>
        <w:t>7</w:t>
      </w:r>
      <w:r>
        <w:fldChar w:fldCharType="end"/>
      </w:r>
      <w:r>
        <w:fldChar w:fldCharType="end"/>
      </w:r>
    </w:p>
    <w:p w14:paraId="49525A53">
      <w:pPr>
        <w:pStyle w:val="55"/>
        <w:rPr>
          <w:rFonts w:hint="eastAsia" w:asciiTheme="minorHAnsi" w:hAnsiTheme="minorHAnsi" w:eastAsiaTheme="minorEastAsia" w:cstheme="minorBidi"/>
          <w:b w:val="0"/>
          <w:sz w:val="21"/>
          <w:szCs w:val="22"/>
          <w14:ligatures w14:val="standardContextual"/>
        </w:rPr>
      </w:pPr>
      <w:r>
        <w:fldChar w:fldCharType="begin"/>
      </w:r>
      <w:r>
        <w:instrText xml:space="preserve"> HYPERLINK \l "_Toc142385486" </w:instrText>
      </w:r>
      <w:r>
        <w:fldChar w:fldCharType="separate"/>
      </w:r>
      <w:r>
        <w:rPr>
          <w:rStyle w:val="93"/>
        </w:rPr>
        <w:t>第三章 供应商须知</w:t>
      </w:r>
      <w:r>
        <w:tab/>
      </w:r>
      <w:r>
        <w:fldChar w:fldCharType="begin"/>
      </w:r>
      <w:r>
        <w:instrText xml:space="preserve"> PAGEREF _Toc142385486 \h </w:instrText>
      </w:r>
      <w:r>
        <w:fldChar w:fldCharType="separate"/>
      </w:r>
      <w:r>
        <w:t>10</w:t>
      </w:r>
      <w:r>
        <w:fldChar w:fldCharType="end"/>
      </w:r>
      <w:r>
        <w:fldChar w:fldCharType="end"/>
      </w:r>
    </w:p>
    <w:p w14:paraId="4D8F75A6">
      <w:pPr>
        <w:pStyle w:val="55"/>
        <w:rPr>
          <w:rFonts w:hint="eastAsia" w:asciiTheme="minorHAnsi" w:hAnsiTheme="minorHAnsi" w:eastAsiaTheme="minorEastAsia" w:cstheme="minorBidi"/>
          <w:b w:val="0"/>
          <w:sz w:val="21"/>
          <w:szCs w:val="22"/>
          <w14:ligatures w14:val="standardContextual"/>
        </w:rPr>
      </w:pPr>
      <w:r>
        <w:fldChar w:fldCharType="begin"/>
      </w:r>
      <w:r>
        <w:instrText xml:space="preserve"> HYPERLINK \l "_Toc142385523" </w:instrText>
      </w:r>
      <w:r>
        <w:fldChar w:fldCharType="separate"/>
      </w:r>
      <w:r>
        <w:rPr>
          <w:rStyle w:val="93"/>
        </w:rPr>
        <w:t>第四章 技术标准和要求</w:t>
      </w:r>
      <w:r>
        <w:tab/>
      </w:r>
      <w:r>
        <w:fldChar w:fldCharType="begin"/>
      </w:r>
      <w:r>
        <w:instrText xml:space="preserve"> PAGEREF _Toc142385523 \h </w:instrText>
      </w:r>
      <w:r>
        <w:fldChar w:fldCharType="separate"/>
      </w:r>
      <w:r>
        <w:t>28</w:t>
      </w:r>
      <w:r>
        <w:fldChar w:fldCharType="end"/>
      </w:r>
      <w:r>
        <w:fldChar w:fldCharType="end"/>
      </w:r>
    </w:p>
    <w:p w14:paraId="13A14590">
      <w:pPr>
        <w:pStyle w:val="55"/>
        <w:rPr>
          <w:rFonts w:hint="eastAsia" w:asciiTheme="minorHAnsi" w:hAnsiTheme="minorHAnsi" w:eastAsiaTheme="minorEastAsia" w:cstheme="minorBidi"/>
          <w:b w:val="0"/>
          <w:sz w:val="21"/>
          <w:szCs w:val="22"/>
          <w14:ligatures w14:val="standardContextual"/>
        </w:rPr>
      </w:pPr>
      <w:r>
        <w:fldChar w:fldCharType="begin"/>
      </w:r>
      <w:r>
        <w:instrText xml:space="preserve"> HYPERLINK \l "_Toc142385524" </w:instrText>
      </w:r>
      <w:r>
        <w:fldChar w:fldCharType="separate"/>
      </w:r>
      <w:r>
        <w:rPr>
          <w:rStyle w:val="93"/>
        </w:rPr>
        <w:t>第五章 合同格式</w:t>
      </w:r>
      <w:r>
        <w:tab/>
      </w:r>
      <w:r>
        <w:fldChar w:fldCharType="begin"/>
      </w:r>
      <w:r>
        <w:instrText xml:space="preserve"> PAGEREF _Toc142385524 \h </w:instrText>
      </w:r>
      <w:r>
        <w:fldChar w:fldCharType="separate"/>
      </w:r>
      <w:r>
        <w:t>32</w:t>
      </w:r>
      <w:r>
        <w:fldChar w:fldCharType="end"/>
      </w:r>
      <w:r>
        <w:fldChar w:fldCharType="end"/>
      </w:r>
    </w:p>
    <w:p w14:paraId="6D5FBBC0">
      <w:pPr>
        <w:pStyle w:val="55"/>
        <w:rPr>
          <w:rFonts w:hint="eastAsia" w:asciiTheme="minorHAnsi" w:hAnsiTheme="minorHAnsi" w:eastAsiaTheme="minorEastAsia" w:cstheme="minorBidi"/>
          <w:b w:val="0"/>
          <w:sz w:val="21"/>
          <w:szCs w:val="22"/>
          <w14:ligatures w14:val="standardContextual"/>
        </w:rPr>
      </w:pPr>
      <w:r>
        <w:fldChar w:fldCharType="begin"/>
      </w:r>
      <w:r>
        <w:instrText xml:space="preserve"> HYPERLINK \l "_Toc142385784" </w:instrText>
      </w:r>
      <w:r>
        <w:fldChar w:fldCharType="separate"/>
      </w:r>
      <w:r>
        <w:rPr>
          <w:rStyle w:val="93"/>
        </w:rPr>
        <w:t>第六章 工程量清单及图纸（另附）</w:t>
      </w:r>
      <w:r>
        <w:tab/>
      </w:r>
      <w:r>
        <w:fldChar w:fldCharType="begin"/>
      </w:r>
      <w:r>
        <w:instrText xml:space="preserve"> PAGEREF _Toc142385784 \h </w:instrText>
      </w:r>
      <w:r>
        <w:fldChar w:fldCharType="separate"/>
      </w:r>
      <w:r>
        <w:t>120</w:t>
      </w:r>
      <w:r>
        <w:fldChar w:fldCharType="end"/>
      </w:r>
      <w:r>
        <w:fldChar w:fldCharType="end"/>
      </w:r>
    </w:p>
    <w:p w14:paraId="2FA5F5A0">
      <w:pPr>
        <w:pStyle w:val="55"/>
        <w:rPr>
          <w:rFonts w:hint="eastAsia" w:asciiTheme="minorHAnsi" w:hAnsiTheme="minorHAnsi" w:eastAsiaTheme="minorEastAsia" w:cstheme="minorBidi"/>
          <w:b w:val="0"/>
          <w:sz w:val="21"/>
          <w:szCs w:val="22"/>
          <w14:ligatures w14:val="standardContextual"/>
        </w:rPr>
      </w:pPr>
      <w:r>
        <w:fldChar w:fldCharType="begin"/>
      </w:r>
      <w:r>
        <w:instrText xml:space="preserve"> HYPERLINK \l "_Toc142385795" </w:instrText>
      </w:r>
      <w:r>
        <w:fldChar w:fldCharType="separate"/>
      </w:r>
      <w:r>
        <w:rPr>
          <w:rStyle w:val="93"/>
        </w:rPr>
        <w:t>第七章 附件——响应文件格式</w:t>
      </w:r>
      <w:r>
        <w:tab/>
      </w:r>
      <w:r>
        <w:fldChar w:fldCharType="begin"/>
      </w:r>
      <w:r>
        <w:instrText xml:space="preserve"> PAGEREF _Toc142385795 \h </w:instrText>
      </w:r>
      <w:r>
        <w:fldChar w:fldCharType="separate"/>
      </w:r>
      <w:r>
        <w:t>132</w:t>
      </w:r>
      <w:r>
        <w:fldChar w:fldCharType="end"/>
      </w:r>
      <w:r>
        <w:fldChar w:fldCharType="end"/>
      </w:r>
    </w:p>
    <w:p w14:paraId="375876A4">
      <w:pPr>
        <w:spacing w:line="440" w:lineRule="exact"/>
        <w:rPr>
          <w:rFonts w:hint="eastAsia" w:ascii="宋体" w:hAnsi="宋体"/>
          <w:b/>
          <w:sz w:val="24"/>
        </w:rPr>
        <w:sectPr>
          <w:footerReference r:id="rId5" w:type="first"/>
          <w:headerReference r:id="rId3" w:type="default"/>
          <w:footerReference r:id="rId4" w:type="default"/>
          <w:pgSz w:w="11906" w:h="16838"/>
          <w:pgMar w:top="1440" w:right="1797" w:bottom="1440" w:left="1797" w:header="851" w:footer="992" w:gutter="0"/>
          <w:pgNumType w:start="1"/>
          <w:cols w:space="720" w:num="1"/>
          <w:docGrid w:linePitch="312" w:charSpace="0"/>
        </w:sectPr>
      </w:pPr>
      <w:r>
        <w:rPr>
          <w:rFonts w:ascii="宋体" w:hAnsi="宋体"/>
          <w:b/>
          <w:sz w:val="24"/>
        </w:rPr>
        <w:fldChar w:fldCharType="end"/>
      </w:r>
    </w:p>
    <w:p w14:paraId="1B80DC6D">
      <w:pPr>
        <w:pStyle w:val="3"/>
        <w:tabs>
          <w:tab w:val="left" w:pos="0"/>
          <w:tab w:val="left" w:pos="3165"/>
          <w:tab w:val="center" w:pos="4153"/>
        </w:tabs>
        <w:spacing w:before="0" w:after="0" w:line="360" w:lineRule="auto"/>
        <w:rPr>
          <w:rFonts w:hint="eastAsia" w:ascii="华文中宋" w:hAnsi="华文中宋" w:eastAsia="华文中宋"/>
          <w:szCs w:val="32"/>
        </w:rPr>
      </w:pPr>
      <w:bookmarkStart w:id="0" w:name="_Toc142385477"/>
      <w:bookmarkStart w:id="1" w:name="_Hlk139621169"/>
      <w:r>
        <w:rPr>
          <w:rFonts w:hint="eastAsia" w:hAnsi="宋体"/>
          <w:szCs w:val="32"/>
        </w:rPr>
        <w:t>第一章 竞争性磋商公告</w:t>
      </w:r>
      <w:bookmarkEnd w:id="0"/>
    </w:p>
    <w:p w14:paraId="4B1B0AD6">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sz w:val="24"/>
        </w:rPr>
      </w:pPr>
      <w:r>
        <w:rPr>
          <w:rFonts w:hint="eastAsia" w:ascii="宋体" w:hAnsi="宋体"/>
          <w:sz w:val="24"/>
        </w:rPr>
        <w:t>项目概况</w:t>
      </w:r>
    </w:p>
    <w:p w14:paraId="677B8543">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sz w:val="24"/>
        </w:rPr>
      </w:pPr>
      <w:r>
        <w:rPr>
          <w:rFonts w:hint="eastAsia" w:ascii="宋体" w:hAnsi="宋体"/>
          <w:sz w:val="24"/>
          <w:u w:val="single"/>
        </w:rPr>
        <w:t>久凌大厦南楼五层改造工程</w:t>
      </w:r>
      <w:r>
        <w:rPr>
          <w:rFonts w:hint="eastAsia" w:ascii="宋体" w:hAnsi="宋体"/>
          <w:sz w:val="24"/>
        </w:rPr>
        <w:t>项目的潜在供应商应在</w:t>
      </w:r>
      <w:r>
        <w:rPr>
          <w:rFonts w:hint="eastAsia" w:ascii="宋体" w:hAnsi="宋体"/>
          <w:sz w:val="24"/>
          <w:u w:val="single"/>
        </w:rPr>
        <w:t>线上报名（具体方式详见“其他补充事宜”）</w:t>
      </w:r>
      <w:r>
        <w:rPr>
          <w:rFonts w:hint="eastAsia" w:ascii="宋体" w:hAnsi="宋体"/>
          <w:sz w:val="24"/>
        </w:rPr>
        <w:t>获取磋商文件，并于</w:t>
      </w:r>
      <w:r>
        <w:rPr>
          <w:rFonts w:hint="eastAsia" w:ascii="宋体" w:hAnsi="宋体"/>
          <w:sz w:val="24"/>
          <w:u w:val="single"/>
        </w:rPr>
        <w:t>2024</w:t>
      </w:r>
      <w:r>
        <w:rPr>
          <w:rFonts w:hint="eastAsia" w:ascii="宋体" w:hAnsi="宋体"/>
          <w:bCs/>
          <w:sz w:val="24"/>
          <w:u w:val="single"/>
        </w:rPr>
        <w:t>年10月10日9点30分</w:t>
      </w:r>
      <w:r>
        <w:rPr>
          <w:rFonts w:hint="eastAsia" w:ascii="宋体" w:hAnsi="宋体"/>
          <w:bCs/>
          <w:sz w:val="24"/>
        </w:rPr>
        <w:t>（北京时间）前递交响应</w:t>
      </w:r>
      <w:r>
        <w:rPr>
          <w:rFonts w:ascii="宋体" w:hAnsi="宋体"/>
          <w:bCs/>
          <w:sz w:val="24"/>
        </w:rPr>
        <w:t>文件</w:t>
      </w:r>
      <w:r>
        <w:rPr>
          <w:rFonts w:hint="eastAsia" w:ascii="宋体" w:hAnsi="宋体"/>
          <w:sz w:val="24"/>
        </w:rPr>
        <w:t>。</w:t>
      </w:r>
    </w:p>
    <w:p w14:paraId="0903FD3F">
      <w:pPr>
        <w:pStyle w:val="4"/>
        <w:spacing w:line="360" w:lineRule="auto"/>
        <w:jc w:val="left"/>
        <w:rPr>
          <w:rFonts w:hint="eastAsia" w:ascii="宋体" w:hAnsi="宋体" w:eastAsia="宋体" w:cs="宋体"/>
          <w:sz w:val="24"/>
          <w:szCs w:val="24"/>
        </w:rPr>
      </w:pPr>
      <w:bookmarkStart w:id="2" w:name="_Toc35393621"/>
      <w:bookmarkStart w:id="3" w:name="_Toc28359002"/>
      <w:bookmarkStart w:id="4" w:name="_Toc142385478"/>
      <w:bookmarkStart w:id="5" w:name="_Toc28359079"/>
      <w:bookmarkStart w:id="6" w:name="_Toc35393790"/>
      <w:bookmarkStart w:id="7" w:name="_Hlk24379207"/>
      <w:r>
        <w:rPr>
          <w:rFonts w:hint="eastAsia" w:ascii="宋体" w:hAnsi="宋体" w:eastAsia="宋体" w:cs="宋体"/>
          <w:sz w:val="24"/>
          <w:szCs w:val="24"/>
        </w:rPr>
        <w:t>一、项目基本情况</w:t>
      </w:r>
      <w:bookmarkEnd w:id="2"/>
      <w:bookmarkEnd w:id="3"/>
      <w:bookmarkEnd w:id="4"/>
      <w:bookmarkEnd w:id="5"/>
      <w:bookmarkEnd w:id="6"/>
    </w:p>
    <w:p w14:paraId="791707BD">
      <w:pPr>
        <w:spacing w:line="360" w:lineRule="auto"/>
        <w:ind w:firstLine="540"/>
        <w:rPr>
          <w:rFonts w:hint="eastAsia" w:ascii="宋体" w:hAnsi="宋体" w:cs="宋体"/>
          <w:sz w:val="24"/>
        </w:rPr>
      </w:pPr>
      <w:r>
        <w:rPr>
          <w:rFonts w:hint="eastAsia" w:ascii="宋体" w:hAnsi="宋体" w:cs="宋体"/>
          <w:sz w:val="24"/>
        </w:rPr>
        <w:t>项目编号：</w:t>
      </w:r>
      <w:r>
        <w:rPr>
          <w:rFonts w:ascii="宋体" w:hAnsi="宋体" w:cs="宋体"/>
          <w:sz w:val="24"/>
        </w:rPr>
        <w:t>BMCC-GC24-0076</w:t>
      </w:r>
    </w:p>
    <w:p w14:paraId="0390E429">
      <w:pPr>
        <w:spacing w:line="360" w:lineRule="auto"/>
        <w:ind w:firstLine="540"/>
        <w:rPr>
          <w:rFonts w:hint="eastAsia" w:ascii="宋体" w:hAnsi="宋体" w:cs="宋体"/>
          <w:sz w:val="24"/>
        </w:rPr>
      </w:pPr>
      <w:r>
        <w:rPr>
          <w:rFonts w:hint="eastAsia" w:ascii="宋体" w:hAnsi="宋体" w:cs="宋体"/>
          <w:sz w:val="24"/>
        </w:rPr>
        <w:t>项目名称：久凌大厦南楼五层改造工程</w:t>
      </w:r>
    </w:p>
    <w:p w14:paraId="0571B29E">
      <w:pPr>
        <w:spacing w:line="360" w:lineRule="auto"/>
        <w:ind w:firstLine="540"/>
        <w:rPr>
          <w:rFonts w:hint="eastAsia" w:ascii="宋体" w:hAnsi="宋体" w:cs="宋体"/>
          <w:sz w:val="24"/>
        </w:rPr>
      </w:pPr>
      <w:r>
        <w:rPr>
          <w:rFonts w:hint="eastAsia" w:ascii="宋体" w:hAnsi="宋体" w:cs="宋体"/>
          <w:sz w:val="24"/>
        </w:rPr>
        <w:t>预算金额：</w:t>
      </w:r>
      <w:bookmarkStart w:id="8" w:name="_Hlk177979598"/>
      <w:r>
        <w:rPr>
          <w:rFonts w:ascii="宋体" w:hAnsi="宋体" w:cs="宋体"/>
          <w:sz w:val="24"/>
        </w:rPr>
        <w:t>742135.63</w:t>
      </w:r>
      <w:bookmarkEnd w:id="8"/>
      <w:r>
        <w:rPr>
          <w:rFonts w:hint="eastAsia" w:ascii="宋体" w:hAnsi="宋体" w:cs="宋体"/>
          <w:sz w:val="24"/>
        </w:rPr>
        <w:t>元</w:t>
      </w:r>
    </w:p>
    <w:bookmarkEnd w:id="7"/>
    <w:p w14:paraId="1E5F8715">
      <w:pPr>
        <w:spacing w:line="360" w:lineRule="auto"/>
        <w:ind w:firstLine="540"/>
        <w:rPr>
          <w:rFonts w:hint="eastAsia" w:ascii="宋体" w:hAnsi="宋体" w:cs="宋体"/>
          <w:sz w:val="24"/>
        </w:rPr>
      </w:pPr>
      <w:r>
        <w:rPr>
          <w:rFonts w:hint="eastAsia" w:ascii="宋体" w:hAnsi="宋体" w:cs="宋体"/>
          <w:sz w:val="24"/>
        </w:rPr>
        <w:t>最高限价：</w:t>
      </w:r>
      <w:r>
        <w:rPr>
          <w:rFonts w:ascii="宋体" w:hAnsi="宋体" w:cs="宋体"/>
          <w:sz w:val="24"/>
        </w:rPr>
        <w:t>742135.63</w:t>
      </w:r>
      <w:r>
        <w:rPr>
          <w:rFonts w:hint="eastAsia" w:ascii="宋体" w:hAnsi="宋体" w:cs="宋体"/>
          <w:sz w:val="24"/>
        </w:rPr>
        <w:t>元</w:t>
      </w:r>
    </w:p>
    <w:p w14:paraId="51CDF3D7">
      <w:pPr>
        <w:spacing w:line="360" w:lineRule="auto"/>
        <w:ind w:firstLine="540"/>
        <w:rPr>
          <w:rFonts w:hint="eastAsia" w:ascii="宋体" w:hAnsi="宋体" w:cs="宋体"/>
          <w:sz w:val="24"/>
        </w:rPr>
      </w:pPr>
      <w:r>
        <w:rPr>
          <w:rFonts w:hint="eastAsia" w:ascii="宋体" w:hAnsi="宋体" w:cs="宋体"/>
          <w:sz w:val="24"/>
        </w:rPr>
        <w:t>采购需求：本项目包括但不限于电气工程、给排水工程、建筑工程、弱电工程、通风空调工程、消防工程、室内装修工程等工程量清单及图纸所示范围内的全部工作内容。项目具体要求见磋商文件。</w:t>
      </w:r>
    </w:p>
    <w:p w14:paraId="65105652">
      <w:pPr>
        <w:spacing w:line="360" w:lineRule="auto"/>
        <w:ind w:firstLine="540"/>
        <w:rPr>
          <w:rFonts w:hint="eastAsia" w:ascii="宋体" w:hAnsi="宋体" w:cs="宋体"/>
          <w:sz w:val="24"/>
        </w:rPr>
      </w:pPr>
      <w:r>
        <w:rPr>
          <w:rFonts w:hint="eastAsia" w:ascii="宋体" w:hAnsi="宋体" w:cs="宋体"/>
          <w:sz w:val="24"/>
        </w:rPr>
        <w:t>合同履行期限：2</w:t>
      </w:r>
      <w:r>
        <w:rPr>
          <w:rFonts w:ascii="宋体" w:hAnsi="宋体" w:cs="宋体"/>
          <w:sz w:val="24"/>
        </w:rPr>
        <w:t>0</w:t>
      </w:r>
      <w:r>
        <w:rPr>
          <w:rFonts w:hint="eastAsia" w:ascii="宋体" w:hAnsi="宋体" w:cs="宋体"/>
          <w:sz w:val="24"/>
        </w:rPr>
        <w:t>日历天</w:t>
      </w:r>
    </w:p>
    <w:p w14:paraId="3ECC721D">
      <w:pPr>
        <w:spacing w:line="360" w:lineRule="auto"/>
        <w:ind w:firstLine="540"/>
        <w:rPr>
          <w:rFonts w:hint="eastAsia" w:ascii="宋体" w:hAnsi="宋体" w:cs="宋体"/>
          <w:sz w:val="24"/>
        </w:rPr>
      </w:pPr>
      <w:r>
        <w:rPr>
          <w:rFonts w:hint="eastAsia" w:ascii="宋体" w:hAnsi="宋体" w:cs="宋体"/>
          <w:sz w:val="24"/>
        </w:rPr>
        <w:t>本项目不接受联合体投标。</w:t>
      </w:r>
    </w:p>
    <w:p w14:paraId="444292B5">
      <w:pPr>
        <w:pStyle w:val="4"/>
        <w:spacing w:line="360" w:lineRule="auto"/>
        <w:jc w:val="left"/>
        <w:rPr>
          <w:rFonts w:hint="eastAsia" w:ascii="宋体" w:hAnsi="宋体" w:eastAsia="宋体" w:cs="宋体"/>
          <w:sz w:val="24"/>
          <w:szCs w:val="24"/>
        </w:rPr>
      </w:pPr>
      <w:bookmarkStart w:id="9" w:name="_Toc35393622"/>
      <w:bookmarkStart w:id="10" w:name="_Toc35393791"/>
      <w:bookmarkStart w:id="11" w:name="_Toc28359080"/>
      <w:bookmarkStart w:id="12" w:name="_Toc28359003"/>
      <w:bookmarkStart w:id="13" w:name="_Toc142385479"/>
      <w:r>
        <w:rPr>
          <w:rFonts w:hint="eastAsia" w:ascii="宋体" w:hAnsi="宋体" w:eastAsia="宋体" w:cs="宋体"/>
          <w:sz w:val="24"/>
          <w:szCs w:val="24"/>
        </w:rPr>
        <w:t>二、申请人的资格要求：</w:t>
      </w:r>
      <w:bookmarkEnd w:id="9"/>
      <w:bookmarkEnd w:id="10"/>
      <w:bookmarkEnd w:id="11"/>
      <w:bookmarkEnd w:id="12"/>
      <w:bookmarkEnd w:id="13"/>
    </w:p>
    <w:p w14:paraId="4903113B">
      <w:pPr>
        <w:spacing w:line="360" w:lineRule="auto"/>
        <w:ind w:firstLine="540"/>
        <w:rPr>
          <w:rFonts w:hint="eastAsia" w:ascii="宋体" w:hAnsi="宋体" w:cs="宋体"/>
          <w:sz w:val="24"/>
        </w:rPr>
      </w:pPr>
      <w:bookmarkStart w:id="14" w:name="_Toc28359081"/>
      <w:bookmarkStart w:id="15" w:name="_Toc28359004"/>
      <w:r>
        <w:rPr>
          <w:rFonts w:hint="eastAsia" w:ascii="宋体" w:hAnsi="宋体" w:cs="宋体"/>
          <w:sz w:val="24"/>
        </w:rPr>
        <w:t>1.满足《中华人民共和国政府采购法》第二十二条规定；</w:t>
      </w:r>
    </w:p>
    <w:p w14:paraId="4D08F149">
      <w:pPr>
        <w:spacing w:line="360" w:lineRule="auto"/>
        <w:ind w:firstLine="540"/>
        <w:rPr>
          <w:rFonts w:hint="eastAsia" w:ascii="宋体" w:hAnsi="宋体" w:cs="宋体"/>
          <w:sz w:val="24"/>
        </w:rPr>
      </w:pPr>
      <w:r>
        <w:rPr>
          <w:rFonts w:hint="eastAsia" w:ascii="宋体" w:hAnsi="宋体" w:cs="宋体"/>
          <w:sz w:val="24"/>
        </w:rPr>
        <w:t>2.落实政府采购政策需满足的资格要求：</w:t>
      </w:r>
      <w:r>
        <w:rPr>
          <w:rFonts w:hint="eastAsia" w:ascii="宋体" w:hAnsi="宋体" w:cs="宋体"/>
          <w:sz w:val="24"/>
          <w:u w:val="single"/>
        </w:rPr>
        <w:t>本项目为专门面向中小企业的政府采购项目，工程的施工单位必须全部为符合政策要求的中小企业。投标人（供应商）须提供文件规定的“中小企业声明函”。</w:t>
      </w:r>
    </w:p>
    <w:p w14:paraId="6B1D54F5">
      <w:pPr>
        <w:spacing w:line="360" w:lineRule="auto"/>
        <w:ind w:firstLine="540"/>
        <w:rPr>
          <w:rFonts w:hint="eastAsia" w:ascii="宋体" w:hAnsi="宋体" w:cs="宋体"/>
          <w:sz w:val="24"/>
        </w:rPr>
      </w:pPr>
      <w:r>
        <w:rPr>
          <w:rFonts w:hint="eastAsia" w:ascii="宋体" w:hAnsi="宋体" w:cs="宋体"/>
          <w:sz w:val="24"/>
        </w:rPr>
        <w:t>3.本项目的特定资格要求：</w:t>
      </w:r>
    </w:p>
    <w:p w14:paraId="51A69338">
      <w:pPr>
        <w:spacing w:line="360" w:lineRule="auto"/>
        <w:ind w:firstLine="540"/>
        <w:rPr>
          <w:rFonts w:hint="eastAsia" w:ascii="宋体" w:hAnsi="宋体" w:cs="宋体"/>
          <w:sz w:val="24"/>
        </w:rPr>
      </w:pPr>
      <w:r>
        <w:rPr>
          <w:rFonts w:hint="eastAsia" w:ascii="宋体" w:hAnsi="宋体" w:cs="宋体"/>
          <w:sz w:val="24"/>
        </w:rPr>
        <w:t>1）供应商应具有独立承担民事责任的能力。</w:t>
      </w:r>
    </w:p>
    <w:p w14:paraId="7E6A9DFC">
      <w:pPr>
        <w:spacing w:line="360" w:lineRule="auto"/>
        <w:ind w:firstLine="540"/>
        <w:rPr>
          <w:rFonts w:hint="eastAsia" w:ascii="宋体" w:hAnsi="宋体" w:cs="宋体"/>
          <w:sz w:val="24"/>
        </w:rPr>
      </w:pPr>
      <w:r>
        <w:rPr>
          <w:rFonts w:hint="eastAsia" w:ascii="宋体" w:hAnsi="宋体" w:cs="宋体"/>
          <w:sz w:val="24"/>
        </w:rPr>
        <w:t>2）供应商应具有良好的商业信誉和健全的财务会计制度。</w:t>
      </w:r>
    </w:p>
    <w:p w14:paraId="5B3BDA29">
      <w:pPr>
        <w:spacing w:line="360" w:lineRule="auto"/>
        <w:ind w:firstLine="540"/>
        <w:rPr>
          <w:rFonts w:hint="eastAsia" w:ascii="宋体" w:hAnsi="宋体" w:cs="宋体"/>
          <w:sz w:val="24"/>
        </w:rPr>
      </w:pPr>
      <w:r>
        <w:rPr>
          <w:rFonts w:hint="eastAsia" w:ascii="宋体" w:hAnsi="宋体" w:cs="宋体"/>
          <w:sz w:val="24"/>
        </w:rPr>
        <w:t>3）供应商应具有履行合同所必需的设备和专业技术能力。</w:t>
      </w:r>
    </w:p>
    <w:p w14:paraId="222D3C6D">
      <w:pPr>
        <w:spacing w:line="360" w:lineRule="auto"/>
        <w:ind w:firstLine="540"/>
        <w:rPr>
          <w:rFonts w:hint="eastAsia" w:ascii="宋体" w:hAnsi="宋体" w:cs="宋体"/>
          <w:sz w:val="24"/>
        </w:rPr>
      </w:pPr>
      <w:r>
        <w:rPr>
          <w:rFonts w:hint="eastAsia" w:ascii="宋体" w:hAnsi="宋体" w:cs="宋体"/>
          <w:sz w:val="24"/>
        </w:rPr>
        <w:t>4）供应商应有依法缴纳税收和社会保障资金的良好记录。</w:t>
      </w:r>
    </w:p>
    <w:p w14:paraId="3C73D9CB">
      <w:pPr>
        <w:spacing w:line="360" w:lineRule="auto"/>
        <w:ind w:firstLine="540"/>
        <w:rPr>
          <w:rFonts w:hint="eastAsia" w:ascii="宋体" w:hAnsi="宋体" w:cs="宋体"/>
          <w:sz w:val="24"/>
        </w:rPr>
      </w:pPr>
      <w:r>
        <w:rPr>
          <w:rFonts w:hint="eastAsia" w:ascii="宋体" w:hAnsi="宋体" w:cs="宋体"/>
          <w:sz w:val="24"/>
        </w:rPr>
        <w:t>5）供应商应参加采购活动前三年内，在经营活动中没有重大违法记录。</w:t>
      </w:r>
    </w:p>
    <w:p w14:paraId="4377236D">
      <w:pPr>
        <w:spacing w:line="360" w:lineRule="auto"/>
        <w:ind w:firstLine="540"/>
        <w:rPr>
          <w:rFonts w:hint="eastAsia" w:ascii="宋体" w:hAnsi="宋体" w:cs="宋体"/>
          <w:sz w:val="24"/>
        </w:rPr>
      </w:pPr>
      <w:r>
        <w:rPr>
          <w:rFonts w:hint="eastAsia" w:ascii="宋体" w:hAnsi="宋体" w:cs="宋体"/>
          <w:sz w:val="24"/>
        </w:rPr>
        <w:t>6）供应商应符合法律、行政法规规定的其他条件。</w:t>
      </w:r>
    </w:p>
    <w:p w14:paraId="4C96EEE7">
      <w:pPr>
        <w:spacing w:line="360" w:lineRule="auto"/>
        <w:ind w:firstLine="540"/>
        <w:rPr>
          <w:rFonts w:hint="eastAsia" w:ascii="宋体" w:hAnsi="宋体" w:cs="宋体"/>
          <w:sz w:val="24"/>
        </w:rPr>
      </w:pPr>
      <w:r>
        <w:rPr>
          <w:rFonts w:hint="eastAsia" w:ascii="宋体" w:hAnsi="宋体" w:cs="宋体"/>
          <w:sz w:val="24"/>
        </w:rPr>
        <w:t>7）供应商须具备建筑工程施工总承包三级（含）以上资质和有效的安全生产许可证。</w:t>
      </w:r>
    </w:p>
    <w:p w14:paraId="5557F9BF">
      <w:pPr>
        <w:spacing w:line="360" w:lineRule="auto"/>
        <w:ind w:firstLine="540"/>
        <w:rPr>
          <w:rFonts w:hint="eastAsia" w:ascii="宋体" w:hAnsi="宋体" w:cs="宋体"/>
          <w:sz w:val="24"/>
        </w:rPr>
      </w:pPr>
      <w:r>
        <w:rPr>
          <w:rFonts w:hint="eastAsia" w:ascii="宋体" w:hAnsi="宋体" w:cs="宋体"/>
          <w:sz w:val="24"/>
        </w:rPr>
        <w:t>8） 拟派项目经理须具备建筑工程专业二级（含）以上注册建造师执业资格，具备有效的安全生产考核合格证书（B本），外地来京建筑企业在办理进京备案时，应当一并办理注册建造师备案手续，已办理备案的外地来京建筑企业注册建造师方可在本市行政区域内开展执业活动。</w:t>
      </w:r>
    </w:p>
    <w:p w14:paraId="2B14E875">
      <w:pPr>
        <w:spacing w:line="360" w:lineRule="auto"/>
        <w:ind w:firstLine="540"/>
        <w:rPr>
          <w:rFonts w:hint="eastAsia" w:ascii="宋体" w:hAnsi="宋体" w:cs="宋体"/>
          <w:sz w:val="24"/>
        </w:rPr>
      </w:pPr>
      <w:r>
        <w:rPr>
          <w:rFonts w:hint="eastAsia" w:ascii="宋体" w:hAnsi="宋体" w:cs="宋体"/>
          <w:sz w:val="24"/>
        </w:rPr>
        <w:t>9）单位负责人为同一人或者存在直接控股、管理关系的不同供应商，不得同时参加本项目的磋商。</w:t>
      </w:r>
    </w:p>
    <w:p w14:paraId="414F89A6">
      <w:pPr>
        <w:spacing w:line="360" w:lineRule="auto"/>
        <w:ind w:firstLine="540"/>
        <w:rPr>
          <w:rFonts w:hint="eastAsia" w:ascii="宋体" w:hAnsi="宋体" w:cs="宋体"/>
          <w:sz w:val="24"/>
        </w:rPr>
      </w:pPr>
      <w:r>
        <w:rPr>
          <w:rFonts w:hint="eastAsia" w:ascii="宋体" w:hAnsi="宋体" w:cs="宋体"/>
          <w:sz w:val="24"/>
        </w:rPr>
        <w:t>10）为本项目提供整体设计、规范编制或者项目管理、监理、检测等服务的供应商，不得再参加本项目的磋商。</w:t>
      </w:r>
    </w:p>
    <w:p w14:paraId="2AF6D213">
      <w:pPr>
        <w:spacing w:line="360" w:lineRule="auto"/>
        <w:ind w:firstLine="540"/>
        <w:rPr>
          <w:rFonts w:hint="eastAsia" w:ascii="宋体" w:hAnsi="宋体" w:cs="宋体"/>
          <w:sz w:val="24"/>
        </w:rPr>
      </w:pPr>
      <w:r>
        <w:rPr>
          <w:rFonts w:hint="eastAsia" w:ascii="宋体" w:hAnsi="宋体" w:cs="宋体"/>
          <w:sz w:val="24"/>
        </w:rPr>
        <w:t>11）供应商不得为“信用中国”网站（www.creditchina.gov.cn）中列入失信被执行人和重大税收违法失信主体的供应商，不得为中国政府采购网（www.ccgp.gov.cn）政府采购严重违法失信行为记录名单中被财政部门禁止参加政府采购活动的供应商（处罚决定规定的时间和地域范围内）。</w:t>
      </w:r>
    </w:p>
    <w:p w14:paraId="59E5FF36">
      <w:pPr>
        <w:spacing w:line="360" w:lineRule="auto"/>
        <w:ind w:firstLine="540"/>
        <w:rPr>
          <w:rFonts w:hint="eastAsia" w:ascii="宋体" w:hAnsi="宋体" w:cs="宋体"/>
          <w:sz w:val="24"/>
        </w:rPr>
      </w:pPr>
      <w:r>
        <w:rPr>
          <w:rFonts w:hint="eastAsia" w:ascii="宋体" w:hAnsi="宋体" w:cs="宋体"/>
          <w:sz w:val="24"/>
        </w:rPr>
        <w:t>12）本项目不接受联合体磋商。</w:t>
      </w:r>
    </w:p>
    <w:p w14:paraId="2B749B16">
      <w:pPr>
        <w:spacing w:line="360" w:lineRule="auto"/>
        <w:ind w:firstLine="540"/>
        <w:rPr>
          <w:rFonts w:hint="eastAsia" w:ascii="宋体" w:hAnsi="宋体" w:cs="宋体"/>
          <w:sz w:val="24"/>
        </w:rPr>
      </w:pPr>
      <w:r>
        <w:rPr>
          <w:rFonts w:hint="eastAsia" w:ascii="宋体" w:hAnsi="宋体" w:cs="宋体"/>
          <w:sz w:val="24"/>
        </w:rPr>
        <w:t>13）供应商必须向采购代理机构购买磋商文件并登记备案，否则没有资格参加本次磋商。</w:t>
      </w:r>
    </w:p>
    <w:p w14:paraId="23608CC8">
      <w:pPr>
        <w:pStyle w:val="4"/>
        <w:spacing w:line="360" w:lineRule="auto"/>
        <w:jc w:val="left"/>
        <w:rPr>
          <w:rFonts w:hint="eastAsia" w:ascii="宋体" w:hAnsi="宋体" w:eastAsia="宋体" w:cs="宋体"/>
          <w:sz w:val="24"/>
          <w:szCs w:val="24"/>
        </w:rPr>
      </w:pPr>
      <w:bookmarkStart w:id="16" w:name="_Toc35393623"/>
      <w:bookmarkStart w:id="17" w:name="_Toc35393792"/>
      <w:bookmarkStart w:id="18" w:name="_Toc142385480"/>
      <w:r>
        <w:rPr>
          <w:rFonts w:hint="eastAsia" w:ascii="宋体" w:hAnsi="宋体" w:eastAsia="宋体" w:cs="宋体"/>
          <w:sz w:val="24"/>
          <w:szCs w:val="24"/>
        </w:rPr>
        <w:t>三、获取磋商文件</w:t>
      </w:r>
      <w:bookmarkEnd w:id="14"/>
      <w:bookmarkEnd w:id="15"/>
      <w:bookmarkEnd w:id="16"/>
      <w:bookmarkEnd w:id="17"/>
      <w:bookmarkEnd w:id="18"/>
    </w:p>
    <w:p w14:paraId="4A05A893">
      <w:pPr>
        <w:spacing w:line="360" w:lineRule="auto"/>
        <w:ind w:firstLine="540"/>
        <w:rPr>
          <w:rFonts w:hint="eastAsia" w:ascii="宋体" w:hAnsi="宋体" w:cs="宋体"/>
          <w:sz w:val="24"/>
        </w:rPr>
      </w:pPr>
      <w:r>
        <w:rPr>
          <w:rFonts w:hint="eastAsia" w:ascii="宋体" w:hAnsi="宋体" w:cs="宋体"/>
          <w:sz w:val="24"/>
        </w:rPr>
        <w:t>时间：</w:t>
      </w:r>
      <w:r>
        <w:rPr>
          <w:rFonts w:hint="eastAsia" w:ascii="宋体" w:hAnsi="宋体" w:cs="宋体"/>
          <w:sz w:val="24"/>
          <w:highlight w:val="none"/>
          <w:u w:val="single"/>
        </w:rPr>
        <w:t>2024年9月25日</w:t>
      </w:r>
      <w:r>
        <w:rPr>
          <w:rFonts w:hint="eastAsia" w:ascii="宋体" w:hAnsi="宋体" w:cs="宋体"/>
          <w:sz w:val="24"/>
          <w:highlight w:val="none"/>
        </w:rPr>
        <w:t>至</w:t>
      </w:r>
      <w:r>
        <w:rPr>
          <w:rFonts w:hint="eastAsia" w:ascii="宋体" w:hAnsi="宋体" w:cs="宋体"/>
          <w:sz w:val="24"/>
          <w:highlight w:val="none"/>
          <w:u w:val="single"/>
        </w:rPr>
        <w:t>2024年9月30日</w:t>
      </w:r>
      <w:r>
        <w:rPr>
          <w:rFonts w:hint="eastAsia" w:ascii="宋体" w:hAnsi="宋体" w:cs="宋体"/>
          <w:sz w:val="24"/>
          <w:highlight w:val="none"/>
        </w:rPr>
        <w:t>，每天上午</w:t>
      </w:r>
      <w:r>
        <w:rPr>
          <w:rFonts w:hint="eastAsia" w:ascii="宋体" w:hAnsi="宋体" w:cs="宋体"/>
          <w:sz w:val="24"/>
          <w:highlight w:val="none"/>
          <w:u w:val="single"/>
        </w:rPr>
        <w:t>9:00</w:t>
      </w:r>
      <w:r>
        <w:rPr>
          <w:rFonts w:hint="eastAsia" w:ascii="宋体" w:hAnsi="宋体" w:cs="宋体"/>
          <w:sz w:val="24"/>
          <w:highlight w:val="none"/>
        </w:rPr>
        <w:t>至</w:t>
      </w:r>
      <w:r>
        <w:rPr>
          <w:rFonts w:hint="eastAsia" w:ascii="宋体" w:hAnsi="宋体" w:cs="宋体"/>
          <w:sz w:val="24"/>
          <w:highlight w:val="none"/>
          <w:u w:val="single"/>
        </w:rPr>
        <w:t>11:30</w:t>
      </w:r>
      <w:r>
        <w:rPr>
          <w:rFonts w:hint="eastAsia" w:ascii="宋体" w:hAnsi="宋体" w:cs="宋体"/>
          <w:sz w:val="24"/>
          <w:highlight w:val="none"/>
        </w:rPr>
        <w:t>，下午</w:t>
      </w:r>
      <w:r>
        <w:rPr>
          <w:rFonts w:hint="eastAsia" w:ascii="宋体" w:hAnsi="宋体" w:cs="宋体"/>
          <w:sz w:val="24"/>
          <w:highlight w:val="none"/>
          <w:u w:val="single"/>
        </w:rPr>
        <w:t>13:00</w:t>
      </w:r>
      <w:r>
        <w:rPr>
          <w:rFonts w:hint="eastAsia" w:ascii="宋体" w:hAnsi="宋体" w:cs="宋体"/>
          <w:sz w:val="24"/>
          <w:highlight w:val="none"/>
        </w:rPr>
        <w:t>至</w:t>
      </w:r>
      <w:r>
        <w:rPr>
          <w:rFonts w:hint="eastAsia" w:ascii="宋体" w:hAnsi="宋体" w:cs="宋体"/>
          <w:sz w:val="24"/>
          <w:highlight w:val="none"/>
          <w:u w:val="single"/>
        </w:rPr>
        <w:t>17:00</w:t>
      </w:r>
      <w:r>
        <w:rPr>
          <w:rFonts w:hint="eastAsia" w:ascii="宋体" w:hAnsi="宋体" w:cs="宋体"/>
          <w:sz w:val="24"/>
          <w:highlight w:val="none"/>
        </w:rPr>
        <w:t>（</w:t>
      </w:r>
      <w:r>
        <w:rPr>
          <w:rFonts w:hint="eastAsia" w:ascii="宋体" w:hAnsi="宋体" w:cs="宋体"/>
          <w:sz w:val="24"/>
        </w:rPr>
        <w:t>北京时间，法定节假日除外）</w:t>
      </w:r>
    </w:p>
    <w:p w14:paraId="5E71ABA3">
      <w:pPr>
        <w:spacing w:line="360" w:lineRule="auto"/>
        <w:ind w:firstLine="540"/>
        <w:rPr>
          <w:rFonts w:ascii="宋体" w:hAnsi="宋体" w:cs="宋体"/>
          <w:sz w:val="24"/>
          <w:u w:val="single"/>
        </w:rPr>
      </w:pPr>
      <w:bookmarkStart w:id="19" w:name="_Toc28359005"/>
      <w:bookmarkStart w:id="20" w:name="_Toc28359082"/>
      <w:bookmarkStart w:id="21" w:name="_Toc35393793"/>
      <w:bookmarkStart w:id="22" w:name="_Toc35393624"/>
      <w:r>
        <w:rPr>
          <w:rFonts w:hint="eastAsia" w:ascii="宋体" w:hAnsi="宋体" w:cs="宋体"/>
          <w:sz w:val="24"/>
        </w:rPr>
        <w:t>地点：北京明德致信咨询有限公司官网（http://www.zbbmcc.com）（具体方式详见“其他补充事宜”）。</w:t>
      </w:r>
    </w:p>
    <w:p w14:paraId="49D26202">
      <w:pPr>
        <w:spacing w:line="360" w:lineRule="auto"/>
        <w:ind w:firstLine="540"/>
        <w:rPr>
          <w:rFonts w:ascii="宋体" w:hAnsi="宋体" w:cs="宋体"/>
          <w:sz w:val="24"/>
          <w:u w:val="single"/>
        </w:rPr>
      </w:pPr>
      <w:r>
        <w:rPr>
          <w:rFonts w:hint="eastAsia" w:ascii="宋体" w:hAnsi="宋体" w:cs="宋体"/>
          <w:sz w:val="24"/>
        </w:rPr>
        <w:t>方式：只接受电汇或网银购买（注：汇款时必须备注BMCC-GC24-00</w:t>
      </w:r>
      <w:r>
        <w:rPr>
          <w:rFonts w:hint="eastAsia" w:ascii="宋体" w:hAnsi="宋体" w:cs="宋体"/>
          <w:sz w:val="24"/>
          <w:lang w:val="en-US" w:eastAsia="zh-CN"/>
        </w:rPr>
        <w:t>76</w:t>
      </w:r>
      <w:r>
        <w:rPr>
          <w:rFonts w:hint="eastAsia" w:ascii="宋体" w:hAnsi="宋体" w:cs="宋体"/>
          <w:sz w:val="24"/>
        </w:rPr>
        <w:t>报名费，电汇或网银须于“获取文件截止时间”前到账）。</w:t>
      </w:r>
    </w:p>
    <w:p w14:paraId="7ABD1C0F">
      <w:pPr>
        <w:spacing w:line="360" w:lineRule="auto"/>
        <w:ind w:firstLine="540"/>
        <w:rPr>
          <w:rFonts w:hint="eastAsia" w:ascii="宋体" w:hAnsi="宋体" w:cs="宋体"/>
          <w:sz w:val="24"/>
        </w:rPr>
      </w:pPr>
      <w:r>
        <w:rPr>
          <w:rFonts w:hint="eastAsia" w:ascii="宋体" w:hAnsi="宋体" w:cs="宋体"/>
          <w:sz w:val="24"/>
        </w:rPr>
        <w:t>售价：500元/本，售后不退。</w:t>
      </w:r>
    </w:p>
    <w:p w14:paraId="43EA673B">
      <w:pPr>
        <w:pStyle w:val="4"/>
        <w:spacing w:line="360" w:lineRule="auto"/>
        <w:jc w:val="left"/>
        <w:rPr>
          <w:rFonts w:hint="eastAsia" w:ascii="宋体" w:hAnsi="宋体" w:eastAsia="宋体" w:cs="宋体"/>
          <w:sz w:val="24"/>
          <w:szCs w:val="24"/>
        </w:rPr>
      </w:pPr>
      <w:bookmarkStart w:id="23" w:name="_Toc142385481"/>
      <w:r>
        <w:rPr>
          <w:rFonts w:hint="eastAsia" w:ascii="宋体" w:hAnsi="宋体" w:eastAsia="宋体" w:cs="宋体"/>
          <w:sz w:val="24"/>
          <w:szCs w:val="24"/>
        </w:rPr>
        <w:t>四、提交响应文件</w:t>
      </w:r>
      <w:bookmarkEnd w:id="19"/>
      <w:bookmarkEnd w:id="20"/>
      <w:r>
        <w:rPr>
          <w:rFonts w:hint="eastAsia" w:ascii="宋体" w:hAnsi="宋体" w:eastAsia="宋体" w:cs="宋体"/>
          <w:sz w:val="24"/>
          <w:szCs w:val="24"/>
        </w:rPr>
        <w:t>截止时间、开启时间和地点</w:t>
      </w:r>
      <w:bookmarkEnd w:id="21"/>
      <w:bookmarkEnd w:id="22"/>
      <w:bookmarkEnd w:id="23"/>
    </w:p>
    <w:p w14:paraId="12871EF9">
      <w:pPr>
        <w:spacing w:line="360" w:lineRule="auto"/>
        <w:ind w:firstLine="480" w:firstLineChars="200"/>
        <w:rPr>
          <w:rFonts w:hint="eastAsia" w:ascii="宋体" w:hAnsi="宋体"/>
          <w:bCs/>
          <w:sz w:val="24"/>
          <w:highlight w:val="none"/>
          <w:u w:val="single"/>
        </w:rPr>
      </w:pPr>
      <w:bookmarkStart w:id="24" w:name="_Toc35393625"/>
      <w:bookmarkStart w:id="25" w:name="_Toc28359007"/>
      <w:bookmarkStart w:id="26" w:name="_Toc28359084"/>
      <w:bookmarkStart w:id="27" w:name="_Toc35393794"/>
      <w:r>
        <w:rPr>
          <w:rFonts w:hint="eastAsia" w:ascii="宋体" w:hAnsi="宋体"/>
          <w:sz w:val="24"/>
        </w:rPr>
        <w:t>提交响应文件截止时间、开启时间：</w:t>
      </w:r>
      <w:r>
        <w:rPr>
          <w:rFonts w:hint="eastAsia" w:ascii="宋体" w:hAnsi="宋体"/>
          <w:bCs/>
          <w:sz w:val="24"/>
          <w:highlight w:val="none"/>
          <w:u w:val="single"/>
        </w:rPr>
        <w:t>2024年10月10日9点</w:t>
      </w:r>
      <w:r>
        <w:rPr>
          <w:rFonts w:ascii="宋体" w:hAnsi="宋体"/>
          <w:bCs/>
          <w:sz w:val="24"/>
          <w:highlight w:val="none"/>
          <w:u w:val="single"/>
        </w:rPr>
        <w:t>30</w:t>
      </w:r>
      <w:r>
        <w:rPr>
          <w:rFonts w:hint="eastAsia" w:ascii="宋体" w:hAnsi="宋体"/>
          <w:bCs/>
          <w:sz w:val="24"/>
          <w:highlight w:val="none"/>
          <w:u w:val="single"/>
        </w:rPr>
        <w:t>分</w:t>
      </w:r>
      <w:r>
        <w:rPr>
          <w:rFonts w:hint="eastAsia" w:ascii="宋体" w:hAnsi="宋体"/>
          <w:bCs/>
          <w:sz w:val="24"/>
          <w:highlight w:val="none"/>
        </w:rPr>
        <w:t>（北京时间）</w:t>
      </w:r>
    </w:p>
    <w:p w14:paraId="64BBF672">
      <w:pPr>
        <w:spacing w:line="360" w:lineRule="auto"/>
        <w:ind w:firstLine="480" w:firstLineChars="200"/>
        <w:rPr>
          <w:rFonts w:hint="eastAsia" w:ascii="宋体" w:hAnsi="宋体"/>
          <w:sz w:val="24"/>
        </w:rPr>
      </w:pPr>
      <w:r>
        <w:rPr>
          <w:rFonts w:hint="eastAsia" w:ascii="宋体" w:hAnsi="宋体"/>
          <w:sz w:val="24"/>
        </w:rPr>
        <w:t>地点：北京市海淀区学院路30号科大天工大厦B座1706第2会议室</w:t>
      </w:r>
    </w:p>
    <w:p w14:paraId="19EA51E7">
      <w:pPr>
        <w:pStyle w:val="4"/>
        <w:spacing w:line="360" w:lineRule="auto"/>
        <w:jc w:val="left"/>
        <w:rPr>
          <w:rFonts w:hint="eastAsia" w:ascii="宋体" w:hAnsi="宋体" w:eastAsia="宋体" w:cs="宋体"/>
          <w:b w:val="0"/>
          <w:sz w:val="24"/>
          <w:szCs w:val="24"/>
        </w:rPr>
      </w:pPr>
      <w:bookmarkStart w:id="28" w:name="_Toc142385482"/>
      <w:r>
        <w:rPr>
          <w:rFonts w:hint="eastAsia" w:ascii="宋体" w:hAnsi="宋体" w:eastAsia="宋体" w:cs="宋体"/>
          <w:b w:val="0"/>
          <w:sz w:val="24"/>
          <w:szCs w:val="24"/>
        </w:rPr>
        <w:t>五、公告期限</w:t>
      </w:r>
      <w:bookmarkEnd w:id="24"/>
      <w:bookmarkEnd w:id="25"/>
      <w:bookmarkEnd w:id="26"/>
      <w:bookmarkEnd w:id="27"/>
      <w:bookmarkEnd w:id="28"/>
    </w:p>
    <w:p w14:paraId="4D54C044">
      <w:pPr>
        <w:spacing w:line="360" w:lineRule="auto"/>
        <w:ind w:firstLine="480" w:firstLineChars="200"/>
        <w:rPr>
          <w:rFonts w:hint="eastAsia" w:ascii="宋体" w:hAnsi="宋体" w:cs="宋体"/>
          <w:kern w:val="0"/>
          <w:sz w:val="24"/>
        </w:rPr>
      </w:pPr>
      <w:r>
        <w:rPr>
          <w:rFonts w:hint="eastAsia" w:ascii="宋体" w:hAnsi="宋体" w:cs="宋体"/>
          <w:kern w:val="0"/>
          <w:sz w:val="24"/>
        </w:rPr>
        <w:t>自本公告发布之日起3个工作日。</w:t>
      </w:r>
    </w:p>
    <w:p w14:paraId="4760D721">
      <w:pPr>
        <w:pStyle w:val="4"/>
        <w:spacing w:line="360" w:lineRule="auto"/>
        <w:jc w:val="left"/>
        <w:rPr>
          <w:rFonts w:hint="eastAsia" w:ascii="宋体" w:hAnsi="宋体" w:eastAsia="宋体" w:cs="宋体"/>
          <w:b w:val="0"/>
          <w:sz w:val="24"/>
          <w:szCs w:val="24"/>
        </w:rPr>
      </w:pPr>
      <w:bookmarkStart w:id="29" w:name="_Toc35393795"/>
      <w:bookmarkStart w:id="30" w:name="_Toc35393626"/>
      <w:bookmarkStart w:id="31" w:name="_Toc142385483"/>
      <w:r>
        <w:rPr>
          <w:rFonts w:hint="eastAsia" w:ascii="宋体" w:hAnsi="宋体" w:eastAsia="宋体" w:cs="宋体"/>
          <w:b w:val="0"/>
          <w:sz w:val="24"/>
          <w:szCs w:val="24"/>
        </w:rPr>
        <w:t>六、其他补充事宜</w:t>
      </w:r>
      <w:bookmarkEnd w:id="29"/>
      <w:bookmarkEnd w:id="30"/>
      <w:bookmarkEnd w:id="31"/>
    </w:p>
    <w:p w14:paraId="6929F270">
      <w:pPr>
        <w:pStyle w:val="5"/>
        <w:spacing w:line="360" w:lineRule="auto"/>
        <w:ind w:left="210" w:leftChars="100" w:firstLine="0"/>
        <w:rPr>
          <w:rFonts w:hint="eastAsia" w:hAnsi="宋体"/>
          <w:b/>
          <w:szCs w:val="24"/>
        </w:rPr>
      </w:pPr>
      <w:bookmarkStart w:id="32" w:name="_Toc28359085"/>
      <w:bookmarkStart w:id="33" w:name="_Toc28359008"/>
      <w:bookmarkStart w:id="34" w:name="_Toc35393796"/>
      <w:bookmarkStart w:id="35" w:name="_Toc35393627"/>
      <w:r>
        <w:rPr>
          <w:rFonts w:hint="eastAsia" w:hAnsi="宋体"/>
          <w:b/>
          <w:szCs w:val="24"/>
        </w:rPr>
        <w:t>1、文件购买</w:t>
      </w:r>
    </w:p>
    <w:p w14:paraId="0946B0A5">
      <w:pPr>
        <w:spacing w:line="360" w:lineRule="auto"/>
        <w:ind w:firstLine="480" w:firstLineChars="200"/>
        <w:rPr>
          <w:rFonts w:hint="eastAsia" w:ascii="宋体" w:hAnsi="宋体"/>
          <w:sz w:val="24"/>
        </w:rPr>
      </w:pPr>
      <w:r>
        <w:rPr>
          <w:rFonts w:hint="eastAsia" w:ascii="宋体" w:hAnsi="宋体"/>
          <w:sz w:val="24"/>
        </w:rPr>
        <w:t>（1）供应商须登录北京明德致信咨询有限公司官网（http://www.zbbmcc.com）点击右上角“项目报名”选择本项目编号“BMCC-GC24-0076”完整填写报名信息并上传报名费转账凭证提交报名申请（如采购文件要求提供其他报名材料，须一并上传，未明确要求的默认不需要。），报名审核结果会在1个工作日内以短信形式发送至报名联系人手机，请留意查收。超过1个工作日未收到审核结果通知，可拨打010-82370045进行咨询。</w:t>
      </w:r>
    </w:p>
    <w:p w14:paraId="77F36A60">
      <w:pPr>
        <w:spacing w:line="360" w:lineRule="auto"/>
        <w:ind w:firstLine="480" w:firstLineChars="200"/>
        <w:rPr>
          <w:rFonts w:hint="eastAsia" w:ascii="宋体" w:hAnsi="宋体"/>
          <w:sz w:val="24"/>
        </w:rPr>
      </w:pPr>
      <w:r>
        <w:rPr>
          <w:rFonts w:hint="eastAsia" w:ascii="宋体" w:hAnsi="宋体"/>
          <w:sz w:val="24"/>
        </w:rPr>
        <w:t>（2）银行账户信息，电汇购买磋商文件、磋商保证金及成交服务费收取的唯一账户：</w:t>
      </w:r>
    </w:p>
    <w:p w14:paraId="5044ED2B">
      <w:pPr>
        <w:spacing w:line="360" w:lineRule="auto"/>
        <w:ind w:firstLine="480" w:firstLineChars="200"/>
        <w:rPr>
          <w:rFonts w:hint="eastAsia" w:ascii="宋体" w:hAnsi="宋体"/>
          <w:sz w:val="24"/>
        </w:rPr>
      </w:pPr>
      <w:r>
        <w:rPr>
          <w:rFonts w:hint="eastAsia" w:ascii="宋体" w:hAnsi="宋体"/>
          <w:sz w:val="24"/>
        </w:rPr>
        <w:t xml:space="preserve">    汇款或转账时请务必附言“项目编号+用途”，例如：</w:t>
      </w:r>
      <w:r>
        <w:rPr>
          <w:rFonts w:hint="eastAsia" w:ascii="宋体" w:hAnsi="宋体" w:cs="宋体"/>
          <w:sz w:val="24"/>
          <w:highlight w:val="none"/>
        </w:rPr>
        <w:t>GC24-0076</w:t>
      </w:r>
      <w:r>
        <w:rPr>
          <w:rFonts w:hint="eastAsia" w:ascii="宋体" w:hAnsi="宋体"/>
          <w:sz w:val="24"/>
        </w:rPr>
        <w:t>标书款或保证金。</w:t>
      </w:r>
    </w:p>
    <w:p w14:paraId="7F4B740B">
      <w:pPr>
        <w:spacing w:line="360" w:lineRule="auto"/>
        <w:ind w:left="420" w:leftChars="200" w:firstLine="480" w:firstLineChars="200"/>
        <w:rPr>
          <w:rFonts w:hint="eastAsia" w:ascii="宋体" w:hAnsi="宋体"/>
          <w:sz w:val="24"/>
        </w:rPr>
      </w:pPr>
      <w:r>
        <w:rPr>
          <w:rFonts w:hint="eastAsia" w:ascii="宋体" w:hAnsi="宋体"/>
          <w:sz w:val="24"/>
        </w:rPr>
        <w:t>公司名称：北京明德致信咨询有限公司</w:t>
      </w:r>
    </w:p>
    <w:p w14:paraId="0CAFB9A5">
      <w:pPr>
        <w:spacing w:line="360" w:lineRule="auto"/>
        <w:ind w:left="420" w:leftChars="200" w:firstLine="480" w:firstLineChars="200"/>
        <w:rPr>
          <w:rFonts w:hint="eastAsia" w:ascii="宋体" w:hAnsi="宋体"/>
          <w:sz w:val="24"/>
        </w:rPr>
      </w:pPr>
      <w:r>
        <w:rPr>
          <w:rFonts w:hint="eastAsia" w:ascii="宋体" w:hAnsi="宋体"/>
          <w:sz w:val="24"/>
        </w:rPr>
        <w:t>开 户 行：中国工商银行股份有限公司北京东升路支行</w:t>
      </w:r>
    </w:p>
    <w:p w14:paraId="4C7194EE">
      <w:pPr>
        <w:spacing w:line="360" w:lineRule="auto"/>
        <w:ind w:left="420" w:leftChars="200" w:firstLine="480" w:firstLineChars="200"/>
        <w:rPr>
          <w:rFonts w:hint="eastAsia" w:ascii="宋体" w:hAnsi="宋体"/>
          <w:sz w:val="24"/>
        </w:rPr>
      </w:pPr>
      <w:r>
        <w:rPr>
          <w:rFonts w:hint="eastAsia" w:ascii="宋体" w:hAnsi="宋体"/>
          <w:sz w:val="24"/>
        </w:rPr>
        <w:t>账    号：0200 0062 1920 0492 968</w:t>
      </w:r>
    </w:p>
    <w:p w14:paraId="3C6B4BD2">
      <w:pPr>
        <w:spacing w:line="360" w:lineRule="auto"/>
        <w:ind w:firstLine="480" w:firstLineChars="200"/>
        <w:rPr>
          <w:rFonts w:hint="eastAsia" w:ascii="宋体" w:hAnsi="宋体"/>
          <w:sz w:val="24"/>
        </w:rPr>
      </w:pPr>
      <w:r>
        <w:rPr>
          <w:rFonts w:hint="eastAsia" w:ascii="宋体" w:hAnsi="宋体"/>
          <w:sz w:val="24"/>
        </w:rPr>
        <w:t>（3）电子版磋商文件的获取：北京明德致信咨询有限公司官网“招标（采购）公告”频道：http://www.zbbmcc.com/node/119。无需注册，按项目名称或编号查找对应项目，点击标题下红色“下载”按钮即可下载电子版。</w:t>
      </w:r>
    </w:p>
    <w:p w14:paraId="7B489D90">
      <w:pPr>
        <w:spacing w:line="360" w:lineRule="auto"/>
        <w:ind w:firstLine="480" w:firstLineChars="200"/>
        <w:rPr>
          <w:rFonts w:hint="eastAsia" w:ascii="宋体" w:hAnsi="宋体"/>
          <w:sz w:val="24"/>
        </w:rPr>
      </w:pPr>
      <w:r>
        <w:rPr>
          <w:rFonts w:hint="eastAsia" w:ascii="宋体" w:hAnsi="宋体"/>
          <w:sz w:val="24"/>
        </w:rPr>
        <w:t>（4）供应商必须向采购代理机构购买磋商文件并登记备案，未经向采购代理机构购买磋商文件并登记备案的潜在供应商均无资格参加本次磋商。</w:t>
      </w:r>
    </w:p>
    <w:p w14:paraId="2BD19B32">
      <w:pPr>
        <w:pStyle w:val="5"/>
        <w:spacing w:line="360" w:lineRule="auto"/>
        <w:ind w:left="210" w:leftChars="100" w:firstLine="0"/>
        <w:rPr>
          <w:rFonts w:hint="eastAsia" w:hAnsi="宋体"/>
          <w:szCs w:val="24"/>
        </w:rPr>
      </w:pPr>
      <w:bookmarkStart w:id="36" w:name="_Toc103085225"/>
      <w:bookmarkStart w:id="37" w:name="_Toc111455913"/>
      <w:bookmarkStart w:id="38" w:name="_Toc116141872"/>
      <w:r>
        <w:rPr>
          <w:rFonts w:hint="eastAsia" w:hAnsi="宋体"/>
          <w:szCs w:val="24"/>
        </w:rPr>
        <w:t>2、问题咨询联系方式的说明：</w:t>
      </w:r>
      <w:bookmarkEnd w:id="36"/>
      <w:bookmarkEnd w:id="37"/>
      <w:bookmarkEnd w:id="38"/>
    </w:p>
    <w:p w14:paraId="233B86A3">
      <w:pPr>
        <w:pStyle w:val="5"/>
        <w:spacing w:line="360" w:lineRule="auto"/>
        <w:rPr>
          <w:rFonts w:hint="eastAsia" w:hAnsi="宋体"/>
          <w:szCs w:val="24"/>
        </w:rPr>
      </w:pPr>
      <w:r>
        <w:rPr>
          <w:rFonts w:hint="eastAsia" w:hAnsi="宋体"/>
          <w:szCs w:val="24"/>
        </w:rPr>
        <w:t>（1）有关磋商文件购买、成交通知书领取及服务费发票、保证金交纳及退还事宜的联系电话：（010）8237 0045；</w:t>
      </w:r>
    </w:p>
    <w:p w14:paraId="3DA8DAE8">
      <w:pPr>
        <w:pStyle w:val="5"/>
        <w:spacing w:line="360" w:lineRule="auto"/>
        <w:rPr>
          <w:rFonts w:hint="eastAsia" w:hAnsi="宋体"/>
          <w:szCs w:val="24"/>
        </w:rPr>
      </w:pPr>
      <w:r>
        <w:rPr>
          <w:rFonts w:hint="eastAsia" w:hAnsi="宋体"/>
          <w:szCs w:val="24"/>
        </w:rPr>
        <w:t>（2）有关磋商文件技术部分的问题咨询：请拨打公告“项目联系方式”中项目负责人的手机号码。</w:t>
      </w:r>
    </w:p>
    <w:p w14:paraId="11E2B8E5">
      <w:pPr>
        <w:pStyle w:val="5"/>
        <w:spacing w:line="360" w:lineRule="auto"/>
        <w:ind w:left="210" w:leftChars="100" w:firstLine="0"/>
        <w:rPr>
          <w:rFonts w:hint="eastAsia" w:hAnsi="宋体"/>
          <w:szCs w:val="24"/>
        </w:rPr>
      </w:pPr>
      <w:r>
        <w:rPr>
          <w:rFonts w:hint="eastAsia" w:hAnsi="宋体"/>
          <w:szCs w:val="24"/>
        </w:rPr>
        <w:t>3、本项目的公告发布媒介：仅在中国政府采购网（www.ccgp.gov.cn）发布。对其他网站转发本公告可能引起的信息误导、造成投标人（供应商）的经济或其他损失的，采购人及采购代理不负任何责任。</w:t>
      </w:r>
      <w:bookmarkStart w:id="39" w:name="_Toc111455914"/>
      <w:bookmarkStart w:id="40" w:name="_Toc116141873"/>
      <w:bookmarkStart w:id="41" w:name="_Toc103085227"/>
    </w:p>
    <w:p w14:paraId="41DBEF06">
      <w:pPr>
        <w:pStyle w:val="5"/>
        <w:spacing w:line="360" w:lineRule="auto"/>
        <w:ind w:left="210" w:leftChars="100" w:firstLine="0"/>
        <w:rPr>
          <w:rFonts w:hint="eastAsia" w:hAnsi="宋体"/>
          <w:szCs w:val="24"/>
        </w:rPr>
      </w:pPr>
      <w:r>
        <w:rPr>
          <w:rFonts w:hint="eastAsia" w:hAnsi="宋体"/>
          <w:szCs w:val="24"/>
        </w:rPr>
        <w:t>4、针对本项目的其他特别说明：</w:t>
      </w:r>
      <w:bookmarkEnd w:id="39"/>
      <w:bookmarkEnd w:id="40"/>
      <w:bookmarkEnd w:id="41"/>
      <w:r>
        <w:rPr>
          <w:rFonts w:hint="eastAsia" w:hAnsi="宋体"/>
          <w:szCs w:val="24"/>
        </w:rPr>
        <w:t xml:space="preserve"> </w:t>
      </w:r>
    </w:p>
    <w:p w14:paraId="2D6D9E1C">
      <w:pPr>
        <w:spacing w:line="360" w:lineRule="auto"/>
        <w:ind w:left="420" w:leftChars="200"/>
        <w:jc w:val="left"/>
        <w:rPr>
          <w:rFonts w:hint="eastAsia" w:ascii="宋体" w:hAnsi="宋体" w:cs="宋体"/>
          <w:kern w:val="0"/>
          <w:sz w:val="24"/>
        </w:rPr>
      </w:pPr>
      <w:r>
        <w:rPr>
          <w:rFonts w:hint="eastAsia" w:ascii="宋体" w:hAnsi="宋体" w:cs="宋体"/>
          <w:kern w:val="0"/>
          <w:sz w:val="24"/>
        </w:rPr>
        <w:t>（1）首次响应文件请于首次响应文件提交截止时间当日（提交截止时间之前）递交至上述规定地点，逾期概不接收。</w:t>
      </w:r>
    </w:p>
    <w:p w14:paraId="61576559">
      <w:pPr>
        <w:spacing w:line="360" w:lineRule="auto"/>
        <w:ind w:left="420" w:leftChars="200"/>
        <w:jc w:val="left"/>
        <w:rPr>
          <w:rFonts w:hint="eastAsia" w:ascii="宋体" w:hAnsi="宋体" w:cs="宋体"/>
          <w:kern w:val="0"/>
          <w:sz w:val="24"/>
        </w:rPr>
      </w:pPr>
      <w:r>
        <w:rPr>
          <w:rFonts w:hint="eastAsia" w:ascii="宋体" w:hAnsi="宋体" w:cs="宋体"/>
          <w:kern w:val="0"/>
          <w:sz w:val="24"/>
        </w:rPr>
        <w:t>（2）最终响应文件提交截止时间和开启时间为同一时间，最终报价提交截止时间和开启时间也为同一时间，由磋商小组根据磋商情况现场确定。最终响应文件和最终报价提交、开启地点同首次响应文件提交、开启地点。</w:t>
      </w:r>
    </w:p>
    <w:p w14:paraId="70D7E49D">
      <w:pPr>
        <w:spacing w:line="360" w:lineRule="auto"/>
        <w:ind w:left="420" w:leftChars="200"/>
        <w:jc w:val="left"/>
        <w:rPr>
          <w:rFonts w:hint="eastAsia" w:ascii="宋体" w:hAnsi="宋体" w:cs="宋体"/>
          <w:kern w:val="0"/>
          <w:sz w:val="24"/>
        </w:rPr>
      </w:pPr>
      <w:r>
        <w:rPr>
          <w:rFonts w:hint="eastAsia" w:ascii="宋体" w:hAnsi="宋体" w:cs="宋体"/>
          <w:kern w:val="0"/>
          <w:sz w:val="24"/>
        </w:rPr>
        <w:t>（3）供应商法定代表人或其本项目的授权代表须参加磋商。</w:t>
      </w:r>
    </w:p>
    <w:p w14:paraId="256A60B6">
      <w:pPr>
        <w:pStyle w:val="4"/>
        <w:spacing w:line="360" w:lineRule="auto"/>
        <w:jc w:val="left"/>
        <w:rPr>
          <w:rFonts w:hint="eastAsia" w:ascii="宋体" w:hAnsi="宋体" w:eastAsia="宋体" w:cs="宋体"/>
          <w:b w:val="0"/>
          <w:sz w:val="24"/>
          <w:szCs w:val="24"/>
        </w:rPr>
      </w:pPr>
      <w:bookmarkStart w:id="42" w:name="_Toc142385484"/>
      <w:r>
        <w:rPr>
          <w:rFonts w:hint="eastAsia" w:ascii="宋体" w:hAnsi="宋体" w:eastAsia="宋体" w:cs="宋体"/>
          <w:b w:val="0"/>
          <w:sz w:val="24"/>
          <w:szCs w:val="24"/>
        </w:rPr>
        <w:t>七、对本次招标提出询问，请按以下方式联系。</w:t>
      </w:r>
      <w:bookmarkEnd w:id="32"/>
      <w:bookmarkEnd w:id="33"/>
      <w:bookmarkEnd w:id="34"/>
      <w:bookmarkEnd w:id="35"/>
      <w:bookmarkEnd w:id="42"/>
    </w:p>
    <w:p w14:paraId="7D0CDB63">
      <w:pPr>
        <w:spacing w:line="360" w:lineRule="auto"/>
        <w:ind w:firstLine="540"/>
        <w:rPr>
          <w:rFonts w:hint="eastAsia" w:ascii="宋体" w:hAnsi="宋体" w:cs="宋体"/>
          <w:sz w:val="24"/>
        </w:rPr>
      </w:pPr>
      <w:r>
        <w:rPr>
          <w:rFonts w:hint="eastAsia" w:ascii="宋体" w:hAnsi="宋体" w:cs="宋体"/>
          <w:sz w:val="24"/>
        </w:rPr>
        <w:t>1.采购人信息</w:t>
      </w:r>
    </w:p>
    <w:p w14:paraId="71496AC9">
      <w:pPr>
        <w:spacing w:line="360" w:lineRule="auto"/>
        <w:ind w:left="283" w:leftChars="135" w:firstLine="540"/>
        <w:rPr>
          <w:rFonts w:hint="eastAsia" w:ascii="宋体" w:hAnsi="宋体" w:cs="宋体"/>
          <w:sz w:val="24"/>
        </w:rPr>
      </w:pPr>
      <w:r>
        <w:rPr>
          <w:rFonts w:hint="eastAsia" w:ascii="宋体" w:hAnsi="宋体" w:cs="宋体"/>
          <w:sz w:val="24"/>
        </w:rPr>
        <w:t>名称：北京外国语大学同文教育发展培训中心</w:t>
      </w:r>
    </w:p>
    <w:p w14:paraId="28928ABF">
      <w:pPr>
        <w:spacing w:line="360" w:lineRule="auto"/>
        <w:ind w:left="283" w:leftChars="135" w:firstLine="540"/>
        <w:rPr>
          <w:rFonts w:hint="eastAsia" w:ascii="宋体" w:hAnsi="宋体" w:cs="宋体"/>
          <w:sz w:val="24"/>
        </w:rPr>
      </w:pPr>
      <w:r>
        <w:rPr>
          <w:rFonts w:hint="eastAsia" w:ascii="宋体" w:hAnsi="宋体" w:cs="宋体"/>
          <w:sz w:val="24"/>
        </w:rPr>
        <w:t>地址：</w:t>
      </w:r>
      <w:r>
        <w:rPr>
          <w:rFonts w:hint="eastAsia"/>
          <w:sz w:val="24"/>
        </w:rPr>
        <w:t>北京市海淀区西三环北路2号</w:t>
      </w:r>
    </w:p>
    <w:p w14:paraId="18E18041">
      <w:pPr>
        <w:spacing w:line="360" w:lineRule="auto"/>
        <w:ind w:left="283" w:leftChars="135" w:firstLine="540"/>
        <w:rPr>
          <w:rFonts w:hint="eastAsia" w:ascii="宋体" w:hAnsi="宋体" w:cs="宋体"/>
          <w:sz w:val="24"/>
        </w:rPr>
      </w:pPr>
      <w:r>
        <w:rPr>
          <w:rFonts w:hint="eastAsia" w:ascii="宋体" w:hAnsi="宋体" w:cs="宋体"/>
          <w:sz w:val="24"/>
        </w:rPr>
        <w:t>联系方式</w:t>
      </w:r>
      <w:bookmarkStart w:id="43" w:name="_Toc28359009"/>
      <w:bookmarkStart w:id="44" w:name="_Toc28359086"/>
      <w:r>
        <w:rPr>
          <w:rFonts w:hint="eastAsia" w:ascii="宋体" w:hAnsi="宋体" w:cs="宋体"/>
          <w:sz w:val="24"/>
        </w:rPr>
        <w:t>：刘老师，</w:t>
      </w:r>
      <w:r>
        <w:rPr>
          <w:rFonts w:ascii="宋体" w:hAnsi="宋体" w:cs="宋体"/>
          <w:sz w:val="24"/>
        </w:rPr>
        <w:t>010-88818296</w:t>
      </w:r>
    </w:p>
    <w:p w14:paraId="1E02004D">
      <w:pPr>
        <w:spacing w:line="360" w:lineRule="auto"/>
        <w:ind w:firstLine="540"/>
        <w:rPr>
          <w:rFonts w:hint="eastAsia" w:ascii="宋体" w:hAnsi="宋体" w:cs="宋体"/>
          <w:sz w:val="24"/>
        </w:rPr>
      </w:pPr>
      <w:r>
        <w:rPr>
          <w:rFonts w:hint="eastAsia" w:ascii="宋体" w:hAnsi="宋体" w:cs="宋体"/>
          <w:sz w:val="24"/>
        </w:rPr>
        <w:t>2.采购代理机构信息</w:t>
      </w:r>
      <w:bookmarkEnd w:id="43"/>
      <w:bookmarkEnd w:id="44"/>
    </w:p>
    <w:p w14:paraId="4DD256C6">
      <w:pPr>
        <w:spacing w:line="360" w:lineRule="auto"/>
        <w:ind w:left="283" w:leftChars="135" w:firstLine="540"/>
        <w:rPr>
          <w:rFonts w:hint="eastAsia" w:ascii="宋体" w:hAnsi="宋体" w:cs="宋体"/>
          <w:sz w:val="24"/>
        </w:rPr>
      </w:pPr>
      <w:r>
        <w:rPr>
          <w:rFonts w:hint="eastAsia" w:ascii="宋体" w:hAnsi="宋体" w:cs="宋体"/>
          <w:sz w:val="24"/>
        </w:rPr>
        <w:t>名称</w:t>
      </w:r>
      <w:bookmarkStart w:id="45" w:name="_Hlk101252832"/>
      <w:r>
        <w:rPr>
          <w:rFonts w:hint="eastAsia" w:ascii="宋体" w:hAnsi="宋体" w:cs="宋体"/>
          <w:sz w:val="24"/>
        </w:rPr>
        <w:t>：北京明德致信咨询有限公司</w:t>
      </w:r>
      <w:bookmarkEnd w:id="45"/>
    </w:p>
    <w:p w14:paraId="1957CABD">
      <w:pPr>
        <w:spacing w:line="360" w:lineRule="auto"/>
        <w:ind w:left="283" w:leftChars="135" w:firstLine="540"/>
        <w:rPr>
          <w:rFonts w:hint="eastAsia" w:ascii="宋体" w:hAnsi="宋体" w:cs="宋体"/>
          <w:sz w:val="24"/>
        </w:rPr>
      </w:pPr>
      <w:r>
        <w:rPr>
          <w:rFonts w:hint="eastAsia" w:ascii="宋体" w:hAnsi="宋体" w:cs="宋体"/>
          <w:sz w:val="24"/>
        </w:rPr>
        <w:t>地址：北京市海淀区学院路30号科大天工大厦B座1709室</w:t>
      </w:r>
    </w:p>
    <w:p w14:paraId="58098236">
      <w:pPr>
        <w:spacing w:line="360" w:lineRule="auto"/>
        <w:ind w:left="283" w:leftChars="135" w:firstLine="540"/>
        <w:rPr>
          <w:rFonts w:hint="eastAsia" w:ascii="宋体" w:hAnsi="宋体" w:cs="宋体"/>
          <w:sz w:val="24"/>
        </w:rPr>
      </w:pPr>
      <w:r>
        <w:rPr>
          <w:rFonts w:hint="eastAsia" w:ascii="宋体" w:hAnsi="宋体" w:cs="宋体"/>
          <w:sz w:val="24"/>
        </w:rPr>
        <w:t>联系方式</w:t>
      </w:r>
      <w:bookmarkStart w:id="46" w:name="_Toc28359087"/>
      <w:bookmarkStart w:id="47" w:name="_Toc28359010"/>
      <w:r>
        <w:rPr>
          <w:rFonts w:hint="eastAsia" w:ascii="宋体" w:hAnsi="宋体" w:cs="宋体"/>
          <w:sz w:val="24"/>
        </w:rPr>
        <w:t>：张闻、曾甜、王润斯、万雅萌、王渊，010-82370045、15110203501</w:t>
      </w:r>
    </w:p>
    <w:p w14:paraId="7FD52B61">
      <w:pPr>
        <w:spacing w:line="360" w:lineRule="auto"/>
        <w:ind w:firstLine="540"/>
        <w:rPr>
          <w:rFonts w:hint="eastAsia" w:ascii="宋体" w:hAnsi="宋体" w:cs="宋体"/>
          <w:sz w:val="24"/>
        </w:rPr>
      </w:pPr>
      <w:r>
        <w:rPr>
          <w:rFonts w:hint="eastAsia" w:ascii="宋体" w:hAnsi="宋体" w:cs="宋体"/>
          <w:sz w:val="24"/>
        </w:rPr>
        <w:t>3.项目联系方式</w:t>
      </w:r>
      <w:bookmarkEnd w:id="46"/>
      <w:bookmarkEnd w:id="47"/>
    </w:p>
    <w:p w14:paraId="2FEE194E">
      <w:pPr>
        <w:spacing w:line="360" w:lineRule="auto"/>
        <w:ind w:firstLine="851"/>
        <w:rPr>
          <w:rFonts w:hint="eastAsia" w:ascii="宋体" w:hAnsi="宋体" w:cs="宋体"/>
          <w:sz w:val="24"/>
        </w:rPr>
      </w:pPr>
      <w:r>
        <w:rPr>
          <w:rFonts w:hint="eastAsia" w:ascii="宋体" w:hAnsi="宋体" w:cs="宋体"/>
          <w:sz w:val="24"/>
        </w:rPr>
        <w:t>项目联系人：张闻、曾甜、王润斯、万雅萌、王渊</w:t>
      </w:r>
    </w:p>
    <w:p w14:paraId="5C4DA2EC">
      <w:pPr>
        <w:spacing w:line="360" w:lineRule="auto"/>
        <w:ind w:firstLine="851"/>
      </w:pPr>
      <w:r>
        <w:rPr>
          <w:rFonts w:hint="eastAsia" w:ascii="宋体" w:hAnsi="宋体" w:cs="宋体"/>
          <w:sz w:val="24"/>
        </w:rPr>
        <w:t>电话：010-82370045、15110203501</w:t>
      </w:r>
    </w:p>
    <w:p w14:paraId="54917519">
      <w:pPr>
        <w:spacing w:line="360" w:lineRule="auto"/>
        <w:ind w:firstLine="709"/>
        <w:rPr>
          <w:rFonts w:hint="eastAsia" w:ascii="宋体" w:hAnsi="宋体" w:cs="宋体"/>
          <w:sz w:val="24"/>
        </w:rPr>
        <w:sectPr>
          <w:footerReference r:id="rId8" w:type="first"/>
          <w:headerReference r:id="rId6" w:type="default"/>
          <w:footerReference r:id="rId7" w:type="default"/>
          <w:pgSz w:w="11906" w:h="16838"/>
          <w:pgMar w:top="1440" w:right="1797" w:bottom="1440" w:left="1797" w:header="851" w:footer="992" w:gutter="0"/>
          <w:cols w:space="720" w:num="1"/>
          <w:docGrid w:linePitch="312" w:charSpace="0"/>
        </w:sectPr>
      </w:pPr>
    </w:p>
    <w:bookmarkEnd w:id="1"/>
    <w:p w14:paraId="3E22DA35">
      <w:pPr>
        <w:pStyle w:val="3"/>
        <w:spacing w:before="0" w:after="0" w:line="440" w:lineRule="exact"/>
        <w:rPr>
          <w:rFonts w:hint="eastAsia" w:hAnsi="宋体"/>
          <w:sz w:val="24"/>
        </w:rPr>
      </w:pPr>
      <w:bookmarkStart w:id="48" w:name="_Toc142385485"/>
      <w:r>
        <w:rPr>
          <w:rFonts w:hint="eastAsia" w:hAnsi="宋体"/>
        </w:rPr>
        <w:t>第二章 供应商须知前附表</w:t>
      </w:r>
      <w:bookmarkEnd w:id="48"/>
    </w:p>
    <w:p w14:paraId="5A19E770">
      <w:pPr>
        <w:spacing w:line="440" w:lineRule="exact"/>
        <w:ind w:firstLine="480"/>
        <w:rPr>
          <w:rFonts w:hint="eastAsia" w:ascii="宋体" w:hAnsi="宋体"/>
          <w:sz w:val="24"/>
        </w:rPr>
      </w:pPr>
      <w:r>
        <w:rPr>
          <w:rFonts w:hint="eastAsia" w:ascii="宋体" w:hAnsi="宋体"/>
          <w:sz w:val="24"/>
        </w:rPr>
        <w:t>本表是关于项目的具体资料，是对供应商须知的具体补充和修改，如有矛盾，应以本资料表为准。</w:t>
      </w:r>
    </w:p>
    <w:tbl>
      <w:tblPr>
        <w:tblStyle w:val="8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758"/>
        <w:gridCol w:w="7103"/>
      </w:tblGrid>
      <w:tr w14:paraId="680B62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2ED098C4">
            <w:pPr>
              <w:spacing w:line="360" w:lineRule="auto"/>
              <w:jc w:val="center"/>
              <w:rPr>
                <w:rFonts w:hint="eastAsia" w:ascii="宋体" w:hAnsi="宋体"/>
                <w:b/>
                <w:sz w:val="24"/>
              </w:rPr>
            </w:pPr>
            <w:r>
              <w:rPr>
                <w:rFonts w:hint="eastAsia" w:ascii="宋体" w:hAnsi="宋体"/>
                <w:b/>
                <w:sz w:val="24"/>
              </w:rPr>
              <w:t>条款号</w:t>
            </w:r>
          </w:p>
        </w:tc>
        <w:tc>
          <w:tcPr>
            <w:tcW w:w="7103" w:type="dxa"/>
            <w:vAlign w:val="center"/>
          </w:tcPr>
          <w:p w14:paraId="13817252">
            <w:pPr>
              <w:spacing w:line="360" w:lineRule="auto"/>
              <w:jc w:val="center"/>
              <w:rPr>
                <w:rFonts w:hint="eastAsia" w:ascii="宋体" w:hAnsi="宋体"/>
                <w:b/>
                <w:sz w:val="24"/>
              </w:rPr>
            </w:pPr>
            <w:r>
              <w:rPr>
                <w:rFonts w:hint="eastAsia" w:ascii="宋体" w:hAnsi="宋体"/>
                <w:b/>
                <w:sz w:val="24"/>
              </w:rPr>
              <w:t>内</w:t>
            </w:r>
            <w:r>
              <w:rPr>
                <w:rFonts w:ascii="宋体" w:hAnsi="宋体"/>
                <w:b/>
                <w:sz w:val="24"/>
              </w:rPr>
              <w:t xml:space="preserve">      </w:t>
            </w:r>
            <w:r>
              <w:rPr>
                <w:rFonts w:hint="eastAsia" w:ascii="宋体" w:hAnsi="宋体"/>
                <w:b/>
                <w:sz w:val="24"/>
              </w:rPr>
              <w:t>容</w:t>
            </w:r>
          </w:p>
        </w:tc>
      </w:tr>
      <w:tr w14:paraId="6A7A21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17CD75A8">
            <w:pPr>
              <w:spacing w:line="360" w:lineRule="auto"/>
              <w:jc w:val="center"/>
              <w:rPr>
                <w:rFonts w:hint="eastAsia" w:ascii="宋体" w:hAnsi="宋体"/>
                <w:sz w:val="24"/>
              </w:rPr>
            </w:pPr>
            <w:r>
              <w:rPr>
                <w:rFonts w:ascii="宋体" w:hAnsi="宋体"/>
                <w:sz w:val="24"/>
              </w:rPr>
              <w:t>1.1</w:t>
            </w:r>
          </w:p>
        </w:tc>
        <w:tc>
          <w:tcPr>
            <w:tcW w:w="7103" w:type="dxa"/>
            <w:vAlign w:val="center"/>
          </w:tcPr>
          <w:p w14:paraId="40275C43">
            <w:pPr>
              <w:spacing w:line="360" w:lineRule="auto"/>
              <w:rPr>
                <w:rFonts w:hint="eastAsia" w:ascii="宋体" w:hAnsi="宋体"/>
                <w:sz w:val="24"/>
              </w:rPr>
            </w:pPr>
            <w:r>
              <w:rPr>
                <w:rFonts w:hint="eastAsia" w:ascii="宋体" w:hAnsi="宋体"/>
                <w:sz w:val="24"/>
              </w:rPr>
              <w:t>采购人：北京外国语大学同文教育发展培训中心</w:t>
            </w:r>
          </w:p>
          <w:p w14:paraId="410B52F4">
            <w:pPr>
              <w:spacing w:line="360" w:lineRule="auto"/>
              <w:rPr>
                <w:rFonts w:hint="eastAsia" w:ascii="宋体" w:hAnsi="宋体"/>
                <w:sz w:val="24"/>
              </w:rPr>
            </w:pPr>
            <w:r>
              <w:rPr>
                <w:rFonts w:hint="eastAsia" w:ascii="宋体" w:hAnsi="宋体"/>
                <w:sz w:val="24"/>
              </w:rPr>
              <w:t>地址：北京市海淀区西三环北路2号</w:t>
            </w:r>
          </w:p>
        </w:tc>
      </w:tr>
      <w:tr w14:paraId="7BDFF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6A67C4F1">
            <w:pPr>
              <w:spacing w:line="360" w:lineRule="auto"/>
              <w:jc w:val="center"/>
              <w:rPr>
                <w:rFonts w:hint="eastAsia" w:ascii="宋体" w:hAnsi="宋体"/>
                <w:sz w:val="24"/>
              </w:rPr>
            </w:pPr>
            <w:r>
              <w:rPr>
                <w:rFonts w:hint="eastAsia" w:ascii="宋体" w:hAnsi="宋体"/>
                <w:sz w:val="24"/>
              </w:rPr>
              <w:t>1.1</w:t>
            </w:r>
            <w:r>
              <w:rPr>
                <w:rFonts w:ascii="宋体" w:hAnsi="宋体"/>
                <w:sz w:val="24"/>
              </w:rPr>
              <w:t>.1</w:t>
            </w:r>
          </w:p>
        </w:tc>
        <w:tc>
          <w:tcPr>
            <w:tcW w:w="7103" w:type="dxa"/>
            <w:vAlign w:val="center"/>
          </w:tcPr>
          <w:p w14:paraId="29FB5401">
            <w:pPr>
              <w:spacing w:line="360" w:lineRule="auto"/>
              <w:rPr>
                <w:rFonts w:hint="eastAsia" w:ascii="宋体" w:hAnsi="宋体"/>
                <w:sz w:val="24"/>
              </w:rPr>
            </w:pPr>
            <w:r>
              <w:rPr>
                <w:rFonts w:hint="eastAsia" w:ascii="宋体" w:hAnsi="宋体"/>
                <w:sz w:val="24"/>
              </w:rPr>
              <w:t>招标代理机构：北京明德致信咨询有限公司</w:t>
            </w:r>
          </w:p>
          <w:p w14:paraId="29D266E8">
            <w:pPr>
              <w:spacing w:line="360" w:lineRule="auto"/>
              <w:rPr>
                <w:rFonts w:hint="eastAsia" w:ascii="宋体" w:hAnsi="宋体"/>
                <w:sz w:val="24"/>
              </w:rPr>
            </w:pPr>
            <w:r>
              <w:rPr>
                <w:rFonts w:hint="eastAsia" w:ascii="宋体" w:hAnsi="宋体"/>
                <w:sz w:val="24"/>
              </w:rPr>
              <w:t>地址：</w:t>
            </w:r>
            <w:r>
              <w:rPr>
                <w:rFonts w:hint="eastAsia" w:ascii="宋体" w:hAnsi="宋体" w:cs="宋体"/>
                <w:sz w:val="24"/>
              </w:rPr>
              <w:t>北京市海淀区学院路30号科大天工大厦B座1709室</w:t>
            </w:r>
          </w:p>
          <w:p w14:paraId="07C2A322">
            <w:pPr>
              <w:spacing w:line="360" w:lineRule="auto"/>
              <w:rPr>
                <w:rFonts w:hint="eastAsia" w:ascii="宋体" w:hAnsi="宋体"/>
                <w:sz w:val="24"/>
              </w:rPr>
            </w:pPr>
            <w:r>
              <w:rPr>
                <w:rFonts w:hint="eastAsia" w:ascii="宋体" w:hAnsi="宋体"/>
                <w:sz w:val="24"/>
              </w:rPr>
              <w:t>联系方式：</w:t>
            </w:r>
            <w:r>
              <w:rPr>
                <w:rFonts w:hint="eastAsia" w:ascii="宋体" w:hAnsi="宋体" w:cs="宋体"/>
                <w:sz w:val="24"/>
              </w:rPr>
              <w:t>010-82370045、15110203501</w:t>
            </w:r>
          </w:p>
          <w:p w14:paraId="50F90274">
            <w:pPr>
              <w:spacing w:line="360" w:lineRule="auto"/>
              <w:rPr>
                <w:rFonts w:hint="eastAsia" w:ascii="宋体" w:hAnsi="宋体"/>
                <w:sz w:val="24"/>
              </w:rPr>
            </w:pPr>
            <w:r>
              <w:rPr>
                <w:rFonts w:hint="eastAsia" w:ascii="宋体" w:hAnsi="宋体"/>
                <w:sz w:val="24"/>
              </w:rPr>
              <w:t>联系人：</w:t>
            </w:r>
            <w:r>
              <w:rPr>
                <w:rFonts w:hint="eastAsia" w:ascii="宋体" w:hAnsi="宋体" w:cs="宋体"/>
                <w:sz w:val="24"/>
              </w:rPr>
              <w:t>张闻、曾甜、王润斯、万雅萌、王渊</w:t>
            </w:r>
          </w:p>
        </w:tc>
      </w:tr>
      <w:tr w14:paraId="191E84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593A37DF">
            <w:pPr>
              <w:spacing w:line="360" w:lineRule="auto"/>
              <w:jc w:val="center"/>
              <w:rPr>
                <w:rFonts w:hint="eastAsia" w:ascii="宋体" w:hAnsi="宋体"/>
                <w:sz w:val="24"/>
              </w:rPr>
            </w:pPr>
            <w:r>
              <w:rPr>
                <w:rFonts w:hint="eastAsia" w:ascii="宋体" w:hAnsi="宋体"/>
                <w:sz w:val="24"/>
              </w:rPr>
              <w:t>1.2</w:t>
            </w:r>
          </w:p>
        </w:tc>
        <w:tc>
          <w:tcPr>
            <w:tcW w:w="7103" w:type="dxa"/>
            <w:vAlign w:val="center"/>
          </w:tcPr>
          <w:p w14:paraId="297E58BB">
            <w:pPr>
              <w:spacing w:line="360" w:lineRule="auto"/>
              <w:ind w:firstLine="540"/>
              <w:rPr>
                <w:rFonts w:hint="eastAsia" w:ascii="宋体" w:hAnsi="宋体"/>
                <w:sz w:val="24"/>
              </w:rPr>
            </w:pPr>
            <w:r>
              <w:rPr>
                <w:rFonts w:hint="eastAsia" w:ascii="宋体" w:hAnsi="宋体"/>
                <w:sz w:val="24"/>
              </w:rPr>
              <w:t>1.满足《中华人民共和国政府采购法》第二十二条规定。</w:t>
            </w:r>
          </w:p>
          <w:p w14:paraId="6F1EB4EE">
            <w:pPr>
              <w:spacing w:line="360" w:lineRule="auto"/>
              <w:ind w:firstLine="540"/>
              <w:rPr>
                <w:rFonts w:hint="eastAsia" w:ascii="宋体" w:hAnsi="宋体"/>
                <w:sz w:val="24"/>
              </w:rPr>
            </w:pPr>
            <w:r>
              <w:rPr>
                <w:rFonts w:ascii="宋体" w:hAnsi="宋体"/>
                <w:sz w:val="24"/>
              </w:rPr>
              <w:t>2.</w:t>
            </w:r>
            <w:r>
              <w:rPr>
                <w:rFonts w:hint="eastAsia" w:ascii="宋体" w:hAnsi="宋体"/>
                <w:sz w:val="24"/>
              </w:rPr>
              <w:t>在中华人民共和国境内注册的、具有独立承担民事责任的能力。</w:t>
            </w:r>
          </w:p>
          <w:p w14:paraId="080FF4BE">
            <w:pPr>
              <w:spacing w:line="360" w:lineRule="auto"/>
              <w:ind w:firstLine="540"/>
              <w:rPr>
                <w:rFonts w:hint="eastAsia" w:ascii="宋体" w:hAnsi="宋体"/>
                <w:sz w:val="24"/>
              </w:rPr>
            </w:pPr>
            <w:r>
              <w:rPr>
                <w:rFonts w:ascii="宋体" w:hAnsi="宋体"/>
                <w:sz w:val="24"/>
              </w:rPr>
              <w:t>3.</w:t>
            </w:r>
            <w:r>
              <w:rPr>
                <w:rFonts w:hint="eastAsia" w:ascii="宋体" w:hAnsi="宋体"/>
                <w:sz w:val="24"/>
              </w:rPr>
              <w:t>具有良好的商业信誉和健全的财务会计制度。</w:t>
            </w:r>
          </w:p>
          <w:p w14:paraId="672CCE40">
            <w:pPr>
              <w:spacing w:line="360" w:lineRule="auto"/>
              <w:ind w:firstLine="540"/>
              <w:rPr>
                <w:rFonts w:hint="eastAsia" w:ascii="宋体" w:hAnsi="宋体"/>
                <w:sz w:val="24"/>
              </w:rPr>
            </w:pPr>
            <w:r>
              <w:rPr>
                <w:rFonts w:ascii="宋体" w:hAnsi="宋体"/>
                <w:sz w:val="24"/>
              </w:rPr>
              <w:t>4.</w:t>
            </w:r>
            <w:r>
              <w:rPr>
                <w:rFonts w:hint="eastAsia" w:ascii="宋体" w:hAnsi="宋体"/>
                <w:sz w:val="24"/>
              </w:rPr>
              <w:t>具有履行合同所必需的设备和专业技术能力。</w:t>
            </w:r>
          </w:p>
          <w:p w14:paraId="3CF1540D">
            <w:pPr>
              <w:spacing w:line="360" w:lineRule="auto"/>
              <w:ind w:firstLine="540"/>
              <w:rPr>
                <w:rFonts w:hint="eastAsia" w:ascii="宋体" w:hAnsi="宋体"/>
                <w:sz w:val="24"/>
              </w:rPr>
            </w:pPr>
            <w:r>
              <w:rPr>
                <w:rFonts w:ascii="宋体" w:hAnsi="宋体"/>
                <w:sz w:val="24"/>
              </w:rPr>
              <w:t>5.</w:t>
            </w:r>
            <w:r>
              <w:rPr>
                <w:rFonts w:hint="eastAsia" w:ascii="宋体" w:hAnsi="宋体"/>
                <w:sz w:val="24"/>
              </w:rPr>
              <w:t>有依法缴纳税收和社会保障资金的良好记录。</w:t>
            </w:r>
          </w:p>
          <w:p w14:paraId="113258A8">
            <w:pPr>
              <w:spacing w:line="360" w:lineRule="auto"/>
              <w:ind w:firstLine="540"/>
              <w:rPr>
                <w:rFonts w:hint="eastAsia" w:ascii="宋体" w:hAnsi="宋体"/>
                <w:sz w:val="24"/>
              </w:rPr>
            </w:pPr>
            <w:r>
              <w:rPr>
                <w:rFonts w:hint="eastAsia" w:ascii="宋体" w:hAnsi="宋体"/>
                <w:sz w:val="24"/>
              </w:rPr>
              <w:t>6</w:t>
            </w:r>
            <w:r>
              <w:rPr>
                <w:rFonts w:ascii="宋体" w:hAnsi="宋体"/>
                <w:sz w:val="24"/>
              </w:rPr>
              <w:t>.</w:t>
            </w:r>
            <w:r>
              <w:rPr>
                <w:rFonts w:hint="eastAsia" w:ascii="宋体" w:hAnsi="宋体"/>
                <w:sz w:val="24"/>
              </w:rPr>
              <w:t xml:space="preserve"> 参加本次采购活动前三年（</w:t>
            </w:r>
            <w:r>
              <w:rPr>
                <w:rFonts w:hint="eastAsia" w:ascii="宋体" w:hAnsi="宋体"/>
                <w:sz w:val="24"/>
                <w:highlight w:val="none"/>
              </w:rPr>
              <w:t>2021</w:t>
            </w:r>
            <w:r>
              <w:rPr>
                <w:rFonts w:hint="eastAsia" w:ascii="宋体" w:hAnsi="宋体"/>
                <w:sz w:val="24"/>
              </w:rPr>
              <w:t>年10月8日至响应文件递交截止之日）内，未被“信用中国”（https://www.creditchina.gov.cn/）网站列入失信被执行人和重大税收违法失信主体、未被“中国政府采购网”（http://www.ccgp.gov.cn）网站列入政府采购严重违法失信行为记录名单（或处罚期限届满的）。</w:t>
            </w:r>
          </w:p>
          <w:p w14:paraId="537FE804">
            <w:pPr>
              <w:spacing w:line="360" w:lineRule="auto"/>
              <w:ind w:firstLine="540"/>
              <w:rPr>
                <w:rFonts w:hint="eastAsia" w:ascii="宋体" w:hAnsi="宋体"/>
                <w:sz w:val="24"/>
              </w:rPr>
            </w:pPr>
            <w:r>
              <w:rPr>
                <w:rFonts w:ascii="宋体" w:hAnsi="宋体"/>
                <w:sz w:val="24"/>
              </w:rPr>
              <w:t>7.</w:t>
            </w:r>
            <w:r>
              <w:rPr>
                <w:rFonts w:hint="eastAsia" w:ascii="宋体" w:hAnsi="宋体"/>
                <w:sz w:val="24"/>
              </w:rPr>
              <w:t>具有建设行政主管部门核发的</w:t>
            </w:r>
            <w:r>
              <w:rPr>
                <w:rFonts w:hint="eastAsia" w:ascii="宋体" w:hAnsi="宋体" w:cs="宋体"/>
                <w:sz w:val="24"/>
              </w:rPr>
              <w:t>建筑工程施工总承包三级</w:t>
            </w:r>
            <w:r>
              <w:rPr>
                <w:rFonts w:hint="eastAsia" w:ascii="宋体" w:hAnsi="宋体"/>
                <w:sz w:val="24"/>
              </w:rPr>
              <w:t>（含）以上资质和有效的安全生产许可证。</w:t>
            </w:r>
            <w:r>
              <w:rPr>
                <w:rFonts w:hint="eastAsia" w:ascii="宋体" w:hAnsi="宋体" w:cs="宋体"/>
                <w:sz w:val="24"/>
              </w:rPr>
              <w:t>拟派项目经理须具备建筑工程专业二级（含）以上注册建造师执业资格，具备有效的安全生产考核合格证书（B本），外地来京建筑企业在办理进京备案时，应当一并办理注册建造师备案手续，已办理备案的外地来京建筑企业注册建造师方可在本市行政区域内开展执业活动。</w:t>
            </w:r>
          </w:p>
          <w:p w14:paraId="6CF4CA20">
            <w:pPr>
              <w:spacing w:line="360" w:lineRule="auto"/>
              <w:ind w:firstLine="540"/>
              <w:rPr>
                <w:rFonts w:hint="eastAsia" w:ascii="宋体" w:hAnsi="宋体"/>
                <w:sz w:val="24"/>
              </w:rPr>
            </w:pPr>
            <w:r>
              <w:rPr>
                <w:rFonts w:ascii="宋体" w:hAnsi="宋体"/>
                <w:sz w:val="24"/>
              </w:rPr>
              <w:t>8.</w:t>
            </w:r>
            <w:r>
              <w:rPr>
                <w:rFonts w:hint="eastAsia" w:ascii="宋体" w:hAnsi="宋体"/>
                <w:sz w:val="24"/>
              </w:rPr>
              <w:t>单位负责人为同一人或者存在直接控股、管理关系的不同供应商，不得同时参加本项目的投标。</w:t>
            </w:r>
            <w:r>
              <w:rPr>
                <w:rFonts w:hint="eastAsia" w:ascii="宋体" w:hAnsi="宋体"/>
                <w:sz w:val="24"/>
              </w:rPr>
              <w:cr/>
            </w:r>
            <w:r>
              <w:rPr>
                <w:rFonts w:hint="eastAsia" w:ascii="宋体" w:hAnsi="宋体"/>
                <w:sz w:val="24"/>
              </w:rPr>
              <w:t xml:space="preserve">     </w:t>
            </w:r>
            <w:r>
              <w:rPr>
                <w:rFonts w:ascii="宋体" w:hAnsi="宋体"/>
                <w:sz w:val="24"/>
              </w:rPr>
              <w:t>9.</w:t>
            </w:r>
            <w:r>
              <w:rPr>
                <w:rFonts w:hint="eastAsia" w:ascii="宋体" w:hAnsi="宋体"/>
                <w:sz w:val="24"/>
              </w:rPr>
              <w:t>为本项目提供整体设计、规范编制或者项目管理、检测等服务的供应商，不得参加投标。</w:t>
            </w:r>
          </w:p>
          <w:p w14:paraId="05FB2451">
            <w:pPr>
              <w:spacing w:line="360" w:lineRule="auto"/>
              <w:ind w:firstLine="540"/>
              <w:rPr>
                <w:rFonts w:hint="eastAsia" w:ascii="宋体" w:hAnsi="宋体"/>
                <w:sz w:val="24"/>
              </w:rPr>
            </w:pPr>
            <w:r>
              <w:rPr>
                <w:rFonts w:ascii="宋体" w:hAnsi="宋体"/>
                <w:sz w:val="24"/>
              </w:rPr>
              <w:t>10.</w:t>
            </w:r>
            <w:r>
              <w:rPr>
                <w:rFonts w:hint="eastAsia" w:ascii="宋体" w:hAnsi="宋体"/>
                <w:sz w:val="24"/>
              </w:rPr>
              <w:t>落实政府采购政策需满足的资格要求：本项目为专门面向中小企业的政府采购项目，工程的施工单位必须全部为符合政策要求的中小企业。投标人（供应商）须提供文件规定的“中小企业声明函”。</w:t>
            </w:r>
          </w:p>
          <w:p w14:paraId="01EB31D7">
            <w:pPr>
              <w:spacing w:line="360" w:lineRule="auto"/>
              <w:ind w:firstLine="540"/>
              <w:rPr>
                <w:rFonts w:hint="eastAsia" w:ascii="宋体" w:hAnsi="宋体"/>
                <w:sz w:val="24"/>
              </w:rPr>
            </w:pPr>
            <w:r>
              <w:rPr>
                <w:rFonts w:ascii="宋体" w:hAnsi="宋体"/>
                <w:sz w:val="24"/>
              </w:rPr>
              <w:t>11.</w:t>
            </w:r>
            <w:r>
              <w:rPr>
                <w:rFonts w:hint="eastAsia" w:ascii="宋体" w:hAnsi="宋体"/>
                <w:sz w:val="24"/>
              </w:rPr>
              <w:t>本项目不接受联合体。</w:t>
            </w:r>
          </w:p>
          <w:p w14:paraId="0EACE01D">
            <w:pPr>
              <w:spacing w:line="360" w:lineRule="auto"/>
              <w:ind w:firstLine="540"/>
              <w:rPr>
                <w:rFonts w:hint="eastAsia" w:ascii="宋体" w:hAnsi="宋体"/>
                <w:sz w:val="24"/>
              </w:rPr>
            </w:pPr>
            <w:r>
              <w:rPr>
                <w:rFonts w:hint="eastAsia" w:ascii="宋体" w:hAnsi="宋体" w:cs="Arial"/>
                <w:sz w:val="24"/>
              </w:rPr>
              <w:t>12.法律、行政法规规定的其他条件。</w:t>
            </w:r>
          </w:p>
        </w:tc>
      </w:tr>
      <w:tr w14:paraId="066F6E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42C2F6FD">
            <w:pPr>
              <w:spacing w:line="360" w:lineRule="auto"/>
              <w:jc w:val="center"/>
              <w:rPr>
                <w:rFonts w:hint="eastAsia" w:ascii="宋体" w:hAnsi="宋体"/>
                <w:sz w:val="24"/>
              </w:rPr>
            </w:pPr>
            <w:r>
              <w:rPr>
                <w:rFonts w:hint="eastAsia" w:ascii="宋体" w:hAnsi="宋体"/>
                <w:sz w:val="24"/>
              </w:rPr>
              <w:t>10.1</w:t>
            </w:r>
          </w:p>
        </w:tc>
        <w:tc>
          <w:tcPr>
            <w:tcW w:w="7103" w:type="dxa"/>
            <w:vAlign w:val="center"/>
          </w:tcPr>
          <w:p w14:paraId="4C8A2CEA">
            <w:pPr>
              <w:spacing w:line="360" w:lineRule="auto"/>
              <w:ind w:left="900" w:hanging="900"/>
              <w:rPr>
                <w:rFonts w:hint="eastAsia" w:ascii="宋体" w:hAnsi="宋体"/>
                <w:sz w:val="24"/>
              </w:rPr>
            </w:pPr>
            <w:r>
              <w:rPr>
                <w:rFonts w:hint="eastAsia" w:ascii="宋体" w:hAnsi="宋体"/>
                <w:sz w:val="24"/>
              </w:rPr>
              <w:t>所有报价均以人民币报价，本项目招标控制价为：</w:t>
            </w:r>
            <w:r>
              <w:rPr>
                <w:rFonts w:hint="eastAsia" w:ascii="宋体" w:hAnsi="宋体"/>
                <w:sz w:val="24"/>
                <w:u w:val="single"/>
              </w:rPr>
              <w:t>742135.63</w:t>
            </w:r>
            <w:r>
              <w:rPr>
                <w:rFonts w:hint="eastAsia" w:ascii="宋体" w:hAnsi="宋体"/>
                <w:sz w:val="24"/>
              </w:rPr>
              <w:t>元。</w:t>
            </w:r>
          </w:p>
          <w:p w14:paraId="6BE9E126">
            <w:pPr>
              <w:spacing w:line="360" w:lineRule="auto"/>
              <w:rPr>
                <w:rFonts w:hint="eastAsia" w:ascii="宋体" w:hAnsi="宋体" w:cs="Arial"/>
                <w:sz w:val="24"/>
              </w:rPr>
            </w:pPr>
            <w:r>
              <w:rPr>
                <w:rFonts w:hint="eastAsia" w:ascii="宋体" w:hAnsi="宋体" w:cs="Arial"/>
                <w:sz w:val="24"/>
              </w:rPr>
              <w:t>供应商的报价不能超过招标控制价，否则响应无效。</w:t>
            </w:r>
          </w:p>
        </w:tc>
      </w:tr>
      <w:tr w14:paraId="773401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7BE892B5">
            <w:pPr>
              <w:spacing w:line="360" w:lineRule="auto"/>
              <w:jc w:val="center"/>
              <w:rPr>
                <w:rFonts w:hint="eastAsia" w:ascii="宋体" w:hAnsi="宋体"/>
                <w:sz w:val="24"/>
              </w:rPr>
            </w:pPr>
            <w:r>
              <w:rPr>
                <w:rFonts w:hint="eastAsia" w:ascii="宋体" w:hAnsi="宋体"/>
                <w:sz w:val="24"/>
              </w:rPr>
              <w:t>11.1</w:t>
            </w:r>
          </w:p>
        </w:tc>
        <w:tc>
          <w:tcPr>
            <w:tcW w:w="7103" w:type="dxa"/>
            <w:vAlign w:val="center"/>
          </w:tcPr>
          <w:p w14:paraId="2451362C">
            <w:pPr>
              <w:spacing w:line="360" w:lineRule="auto"/>
              <w:rPr>
                <w:rFonts w:hint="eastAsia" w:ascii="宋体" w:hAnsi="宋体"/>
                <w:sz w:val="24"/>
              </w:rPr>
            </w:pPr>
            <w:r>
              <w:rPr>
                <w:rFonts w:hint="eastAsia" w:ascii="宋体" w:hAnsi="宋体"/>
                <w:sz w:val="24"/>
              </w:rPr>
              <w:t>磋商保证金：</w:t>
            </w:r>
            <w:r>
              <w:rPr>
                <w:rFonts w:hint="eastAsia" w:ascii="宋体" w:hAnsi="宋体"/>
                <w:sz w:val="24"/>
                <w:highlight w:val="none"/>
              </w:rPr>
              <w:t>人民币壹万肆仟捌佰元整（￥14</w:t>
            </w:r>
            <w:r>
              <w:rPr>
                <w:rFonts w:ascii="宋体" w:hAnsi="宋体"/>
                <w:sz w:val="24"/>
                <w:highlight w:val="none"/>
              </w:rPr>
              <w:t>80</w:t>
            </w:r>
            <w:r>
              <w:rPr>
                <w:rFonts w:hint="eastAsia" w:ascii="宋体" w:hAnsi="宋体"/>
                <w:sz w:val="24"/>
                <w:highlight w:val="none"/>
              </w:rPr>
              <w:t>0元）</w:t>
            </w:r>
          </w:p>
          <w:p w14:paraId="5A97F8BF">
            <w:pPr>
              <w:spacing w:line="360" w:lineRule="auto"/>
              <w:rPr>
                <w:rFonts w:hint="eastAsia" w:ascii="宋体" w:hAnsi="宋体"/>
                <w:sz w:val="24"/>
              </w:rPr>
            </w:pPr>
            <w:r>
              <w:rPr>
                <w:rFonts w:hint="eastAsia" w:ascii="宋体" w:hAnsi="宋体"/>
                <w:sz w:val="24"/>
              </w:rPr>
              <w:t>购买标书款及磋商保证金请按如下地址办款：</w:t>
            </w:r>
          </w:p>
          <w:p w14:paraId="4D3B7C24">
            <w:pPr>
              <w:spacing w:line="360" w:lineRule="auto"/>
              <w:rPr>
                <w:rFonts w:hint="eastAsia" w:ascii="宋体" w:hAnsi="宋体"/>
                <w:sz w:val="24"/>
              </w:rPr>
            </w:pPr>
            <w:r>
              <w:rPr>
                <w:rFonts w:hint="eastAsia" w:ascii="宋体" w:hAnsi="宋体"/>
                <w:sz w:val="24"/>
              </w:rPr>
              <w:t>开户单位：北京明德致信咨询有限公司</w:t>
            </w:r>
          </w:p>
          <w:p w14:paraId="7E163D80">
            <w:pPr>
              <w:spacing w:line="360" w:lineRule="auto"/>
              <w:rPr>
                <w:rFonts w:hint="eastAsia" w:ascii="宋体" w:hAnsi="宋体"/>
                <w:sz w:val="24"/>
              </w:rPr>
            </w:pPr>
            <w:r>
              <w:rPr>
                <w:rFonts w:hint="eastAsia" w:ascii="宋体" w:hAnsi="宋体"/>
                <w:sz w:val="24"/>
              </w:rPr>
              <w:t>开户银行：中国工商银行股份有限公司北京东升路支行</w:t>
            </w:r>
          </w:p>
          <w:p w14:paraId="5E9AE445">
            <w:pPr>
              <w:spacing w:line="360" w:lineRule="auto"/>
              <w:rPr>
                <w:rFonts w:hint="eastAsia" w:ascii="宋体" w:hAnsi="宋体"/>
                <w:sz w:val="24"/>
              </w:rPr>
            </w:pPr>
            <w:r>
              <w:rPr>
                <w:rFonts w:hint="eastAsia" w:ascii="宋体" w:hAnsi="宋体"/>
                <w:sz w:val="24"/>
              </w:rPr>
              <w:t>帐</w:t>
            </w:r>
            <w:r>
              <w:rPr>
                <w:rFonts w:hint="eastAsia" w:ascii="宋体" w:hAnsi="宋体"/>
                <w:sz w:val="24"/>
                <w:lang w:val="en-US" w:eastAsia="zh-CN"/>
              </w:rPr>
              <w:t xml:space="preserve">   </w:t>
            </w:r>
            <w:r>
              <w:rPr>
                <w:rFonts w:hint="eastAsia" w:ascii="宋体" w:hAnsi="宋体"/>
                <w:sz w:val="24"/>
              </w:rPr>
              <w:t>号：</w:t>
            </w:r>
            <w:r>
              <w:rPr>
                <w:rFonts w:ascii="宋体" w:hAnsi="宋体"/>
                <w:sz w:val="24"/>
              </w:rPr>
              <w:t>0200 0062 1920 0492 968</w:t>
            </w:r>
          </w:p>
        </w:tc>
      </w:tr>
      <w:tr w14:paraId="4F2A1A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2123102A">
            <w:pPr>
              <w:spacing w:line="360" w:lineRule="auto"/>
              <w:jc w:val="center"/>
              <w:rPr>
                <w:rFonts w:hint="eastAsia" w:ascii="宋体" w:hAnsi="宋体"/>
                <w:sz w:val="24"/>
              </w:rPr>
            </w:pPr>
            <w:r>
              <w:rPr>
                <w:rFonts w:hint="eastAsia" w:ascii="宋体" w:hAnsi="宋体"/>
                <w:sz w:val="24"/>
              </w:rPr>
              <w:t>11.3</w:t>
            </w:r>
          </w:p>
        </w:tc>
        <w:tc>
          <w:tcPr>
            <w:tcW w:w="7103" w:type="dxa"/>
            <w:vAlign w:val="center"/>
          </w:tcPr>
          <w:p w14:paraId="592FD46D">
            <w:pPr>
              <w:spacing w:line="360" w:lineRule="auto"/>
              <w:rPr>
                <w:rFonts w:hint="eastAsia" w:ascii="宋体" w:hAnsi="宋体"/>
                <w:sz w:val="24"/>
                <w:highlight w:val="none"/>
              </w:rPr>
            </w:pPr>
            <w:r>
              <w:rPr>
                <w:rFonts w:hint="eastAsia" w:ascii="宋体" w:hAnsi="宋体"/>
                <w:sz w:val="24"/>
              </w:rPr>
              <w:t>磋商保证金形式：电汇、支票（限北京使用）、银行汇票。建议各供应商优先选用电汇方式，</w:t>
            </w:r>
            <w:r>
              <w:rPr>
                <w:rFonts w:hint="eastAsia" w:ascii="宋体" w:hAnsi="宋体"/>
                <w:sz w:val="24"/>
                <w:highlight w:val="none"/>
              </w:rPr>
              <w:t>磋商保证金应于2024年10月10日9时</w:t>
            </w:r>
            <w:r>
              <w:rPr>
                <w:rFonts w:ascii="宋体" w:hAnsi="宋体"/>
                <w:sz w:val="24"/>
                <w:highlight w:val="none"/>
              </w:rPr>
              <w:t>30</w:t>
            </w:r>
            <w:r>
              <w:rPr>
                <w:rFonts w:hint="eastAsia" w:ascii="宋体" w:hAnsi="宋体"/>
                <w:sz w:val="24"/>
                <w:highlight w:val="none"/>
              </w:rPr>
              <w:t>分前汇出。</w:t>
            </w:r>
          </w:p>
          <w:p w14:paraId="1AF54A24">
            <w:pPr>
              <w:spacing w:line="360" w:lineRule="auto"/>
              <w:rPr>
                <w:rFonts w:hint="eastAsia" w:ascii="宋体" w:hAnsi="宋体"/>
                <w:sz w:val="24"/>
              </w:rPr>
            </w:pPr>
            <w:r>
              <w:rPr>
                <w:rFonts w:hint="eastAsia" w:ascii="宋体" w:hAnsi="宋体"/>
                <w:sz w:val="24"/>
              </w:rPr>
              <w:t>磋商保证金有效期应与磋商有效期一致。</w:t>
            </w:r>
          </w:p>
        </w:tc>
      </w:tr>
      <w:tr w14:paraId="489445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1D3AF4AF">
            <w:pPr>
              <w:spacing w:line="360" w:lineRule="auto"/>
              <w:jc w:val="center"/>
              <w:rPr>
                <w:rFonts w:hint="eastAsia" w:ascii="宋体" w:hAnsi="宋体"/>
                <w:sz w:val="24"/>
              </w:rPr>
            </w:pPr>
            <w:r>
              <w:rPr>
                <w:rFonts w:hint="eastAsia" w:ascii="宋体" w:hAnsi="宋体"/>
                <w:sz w:val="24"/>
              </w:rPr>
              <w:t>12.1</w:t>
            </w:r>
          </w:p>
        </w:tc>
        <w:tc>
          <w:tcPr>
            <w:tcW w:w="7103" w:type="dxa"/>
            <w:vAlign w:val="center"/>
          </w:tcPr>
          <w:p w14:paraId="79C9AA39">
            <w:pPr>
              <w:spacing w:line="360" w:lineRule="auto"/>
              <w:ind w:left="1592" w:hanging="1592"/>
              <w:rPr>
                <w:rFonts w:hint="eastAsia" w:ascii="宋体" w:hAnsi="宋体"/>
                <w:sz w:val="24"/>
              </w:rPr>
            </w:pPr>
            <w:r>
              <w:rPr>
                <w:rFonts w:hint="eastAsia" w:ascii="宋体" w:hAnsi="宋体"/>
                <w:sz w:val="24"/>
              </w:rPr>
              <w:t>磋商有效期：</w:t>
            </w:r>
            <w:r>
              <w:rPr>
                <w:rFonts w:ascii="宋体" w:hAnsi="宋体"/>
                <w:sz w:val="24"/>
              </w:rPr>
              <w:t>自</w:t>
            </w:r>
            <w:r>
              <w:rPr>
                <w:rFonts w:hint="eastAsia" w:ascii="宋体" w:hAnsi="宋体"/>
                <w:sz w:val="24"/>
              </w:rPr>
              <w:t>提交响应文件的截止之日</w:t>
            </w:r>
            <w:r>
              <w:rPr>
                <w:rFonts w:ascii="宋体" w:hAnsi="宋体"/>
                <w:sz w:val="24"/>
              </w:rPr>
              <w:t>起</w:t>
            </w:r>
            <w:r>
              <w:rPr>
                <w:rFonts w:hint="eastAsia" w:ascii="宋体" w:hAnsi="宋体"/>
                <w:sz w:val="24"/>
                <w:u w:val="single"/>
              </w:rPr>
              <w:t>90</w:t>
            </w:r>
            <w:r>
              <w:rPr>
                <w:rFonts w:ascii="宋体" w:hAnsi="宋体"/>
                <w:sz w:val="24"/>
              </w:rPr>
              <w:t>个日历日</w:t>
            </w:r>
          </w:p>
        </w:tc>
      </w:tr>
      <w:tr w14:paraId="170775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7B4C047E">
            <w:pPr>
              <w:spacing w:line="360" w:lineRule="auto"/>
              <w:jc w:val="center"/>
              <w:rPr>
                <w:rFonts w:hint="eastAsia" w:ascii="宋体" w:hAnsi="宋体"/>
                <w:sz w:val="24"/>
              </w:rPr>
            </w:pPr>
            <w:r>
              <w:rPr>
                <w:rFonts w:hint="eastAsia" w:ascii="宋体" w:hAnsi="宋体"/>
                <w:sz w:val="24"/>
              </w:rPr>
              <w:t>13.1</w:t>
            </w:r>
          </w:p>
        </w:tc>
        <w:tc>
          <w:tcPr>
            <w:tcW w:w="7103" w:type="dxa"/>
            <w:vAlign w:val="center"/>
          </w:tcPr>
          <w:p w14:paraId="2E553CBA">
            <w:pPr>
              <w:spacing w:line="360" w:lineRule="auto"/>
              <w:rPr>
                <w:rFonts w:hint="eastAsia" w:ascii="宋体" w:hAnsi="宋体"/>
                <w:sz w:val="24"/>
              </w:rPr>
            </w:pPr>
            <w:r>
              <w:rPr>
                <w:rFonts w:hint="eastAsia" w:ascii="宋体" w:hAnsi="宋体"/>
                <w:sz w:val="24"/>
              </w:rPr>
              <w:t>响应文件份数：纸质正本</w:t>
            </w:r>
            <w:r>
              <w:rPr>
                <w:rFonts w:hint="eastAsia" w:ascii="宋体" w:hAnsi="宋体"/>
                <w:sz w:val="24"/>
                <w:u w:val="single"/>
              </w:rPr>
              <w:t xml:space="preserve"> 1 </w:t>
            </w:r>
            <w:r>
              <w:rPr>
                <w:rFonts w:hint="eastAsia" w:ascii="宋体" w:hAnsi="宋体"/>
                <w:sz w:val="24"/>
              </w:rPr>
              <w:t>份；纸质副本</w:t>
            </w:r>
            <w:r>
              <w:rPr>
                <w:rFonts w:hint="eastAsia" w:ascii="宋体" w:hAnsi="宋体"/>
                <w:sz w:val="24"/>
                <w:u w:val="single"/>
              </w:rPr>
              <w:t xml:space="preserve"> </w:t>
            </w:r>
            <w:r>
              <w:rPr>
                <w:rFonts w:ascii="宋体" w:hAnsi="宋体"/>
                <w:sz w:val="24"/>
                <w:u w:val="single"/>
              </w:rPr>
              <w:t>3</w:t>
            </w:r>
            <w:r>
              <w:rPr>
                <w:rFonts w:hint="eastAsia" w:ascii="宋体" w:hAnsi="宋体"/>
                <w:sz w:val="24"/>
                <w:u w:val="single"/>
              </w:rPr>
              <w:t xml:space="preserve"> </w:t>
            </w:r>
            <w:r>
              <w:rPr>
                <w:rFonts w:hint="eastAsia" w:ascii="宋体" w:hAnsi="宋体"/>
                <w:sz w:val="24"/>
              </w:rPr>
              <w:t>份；电子版文件</w:t>
            </w:r>
            <w:r>
              <w:rPr>
                <w:rFonts w:hint="eastAsia" w:ascii="宋体" w:hAnsi="宋体"/>
                <w:sz w:val="24"/>
                <w:u w:val="single"/>
              </w:rPr>
              <w:t xml:space="preserve"> 1 </w:t>
            </w:r>
            <w:r>
              <w:rPr>
                <w:rFonts w:hint="eastAsia" w:ascii="宋体" w:hAnsi="宋体"/>
                <w:sz w:val="24"/>
              </w:rPr>
              <w:t>份（需包含有签字盖章的正本PDF版扫描件及可编辑的WORD版投标文件各一份与正本一致，U盘，为了便于区分，在U盘表面粘贴单位标识,如：供应商简称+采购项目编号后三位）。</w:t>
            </w:r>
          </w:p>
        </w:tc>
      </w:tr>
      <w:tr w14:paraId="160FC0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1" w:hRule="atLeast"/>
          <w:jc w:val="center"/>
        </w:trPr>
        <w:tc>
          <w:tcPr>
            <w:tcW w:w="1758" w:type="dxa"/>
            <w:vAlign w:val="center"/>
          </w:tcPr>
          <w:p w14:paraId="1428FAC1">
            <w:pPr>
              <w:spacing w:line="360" w:lineRule="auto"/>
              <w:jc w:val="center"/>
              <w:rPr>
                <w:rFonts w:hint="eastAsia" w:ascii="宋体" w:hAnsi="宋体"/>
                <w:sz w:val="24"/>
              </w:rPr>
            </w:pPr>
            <w:r>
              <w:rPr>
                <w:rFonts w:hint="eastAsia" w:ascii="宋体" w:hAnsi="宋体"/>
                <w:sz w:val="24"/>
              </w:rPr>
              <w:t>15.1</w:t>
            </w:r>
          </w:p>
        </w:tc>
        <w:tc>
          <w:tcPr>
            <w:tcW w:w="7103" w:type="dxa"/>
            <w:vAlign w:val="center"/>
          </w:tcPr>
          <w:p w14:paraId="032878F0">
            <w:pPr>
              <w:spacing w:line="360" w:lineRule="auto"/>
              <w:rPr>
                <w:rFonts w:hint="eastAsia" w:ascii="宋体" w:hAnsi="宋体"/>
                <w:sz w:val="24"/>
                <w:highlight w:val="none"/>
              </w:rPr>
            </w:pPr>
            <w:r>
              <w:rPr>
                <w:rFonts w:hint="eastAsia" w:ascii="宋体" w:hAnsi="宋体"/>
                <w:sz w:val="24"/>
              </w:rPr>
              <w:t>响应文件提交截止时间及磋商时间</w:t>
            </w:r>
            <w:r>
              <w:rPr>
                <w:rFonts w:hint="eastAsia" w:ascii="宋体" w:hAnsi="宋体"/>
                <w:sz w:val="24"/>
                <w:highlight w:val="none"/>
              </w:rPr>
              <w:t>：</w:t>
            </w:r>
            <w:r>
              <w:rPr>
                <w:rFonts w:hint="eastAsia" w:ascii="宋体" w:hAnsi="宋体" w:cs="宋体"/>
                <w:kern w:val="0"/>
                <w:sz w:val="24"/>
                <w:highlight w:val="none"/>
              </w:rPr>
              <w:t>2024年10月10日</w:t>
            </w:r>
            <w:r>
              <w:rPr>
                <w:rFonts w:hint="eastAsia" w:ascii="宋体" w:hAnsi="宋体"/>
                <w:sz w:val="24"/>
                <w:highlight w:val="none"/>
              </w:rPr>
              <w:t>9时</w:t>
            </w:r>
            <w:r>
              <w:rPr>
                <w:rFonts w:ascii="宋体" w:hAnsi="宋体"/>
                <w:sz w:val="24"/>
                <w:highlight w:val="none"/>
              </w:rPr>
              <w:t>30</w:t>
            </w:r>
            <w:r>
              <w:rPr>
                <w:rFonts w:hint="eastAsia" w:ascii="宋体" w:hAnsi="宋体"/>
                <w:sz w:val="24"/>
                <w:highlight w:val="none"/>
              </w:rPr>
              <w:t>分（北京时间）。</w:t>
            </w:r>
          </w:p>
          <w:p w14:paraId="42B432DB">
            <w:pPr>
              <w:spacing w:line="360" w:lineRule="auto"/>
              <w:rPr>
                <w:rFonts w:hint="eastAsia" w:ascii="宋体" w:hAnsi="宋体"/>
                <w:sz w:val="24"/>
              </w:rPr>
            </w:pPr>
            <w:r>
              <w:rPr>
                <w:rFonts w:hint="eastAsia" w:ascii="宋体" w:hAnsi="宋体"/>
                <w:sz w:val="24"/>
              </w:rPr>
              <w:t>响应文件提交地点：北京市海淀区学院路30号科大天工大厦B座1706第2会议室</w:t>
            </w:r>
          </w:p>
        </w:tc>
      </w:tr>
      <w:tr w14:paraId="7E709B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0" w:hRule="atLeast"/>
          <w:jc w:val="center"/>
        </w:trPr>
        <w:tc>
          <w:tcPr>
            <w:tcW w:w="1758" w:type="dxa"/>
            <w:vAlign w:val="center"/>
          </w:tcPr>
          <w:p w14:paraId="7561366C">
            <w:pPr>
              <w:spacing w:line="360" w:lineRule="auto"/>
              <w:jc w:val="center"/>
              <w:rPr>
                <w:rFonts w:hint="eastAsia" w:ascii="宋体" w:hAnsi="宋体"/>
                <w:sz w:val="24"/>
              </w:rPr>
            </w:pPr>
            <w:r>
              <w:rPr>
                <w:rFonts w:hint="eastAsia" w:ascii="宋体" w:hAnsi="宋体"/>
                <w:sz w:val="24"/>
              </w:rPr>
              <w:t>17</w:t>
            </w:r>
            <w:r>
              <w:rPr>
                <w:rFonts w:ascii="宋体" w:hAnsi="宋体"/>
                <w:sz w:val="24"/>
              </w:rPr>
              <w:t>.1</w:t>
            </w:r>
          </w:p>
        </w:tc>
        <w:tc>
          <w:tcPr>
            <w:tcW w:w="7103" w:type="dxa"/>
            <w:vAlign w:val="center"/>
          </w:tcPr>
          <w:p w14:paraId="2D71B66F">
            <w:pPr>
              <w:spacing w:line="360" w:lineRule="auto"/>
              <w:rPr>
                <w:rFonts w:hint="eastAsia" w:ascii="宋体" w:hAnsi="宋体"/>
                <w:sz w:val="24"/>
              </w:rPr>
            </w:pPr>
            <w:r>
              <w:rPr>
                <w:rFonts w:hint="eastAsia" w:ascii="宋体" w:hAnsi="宋体"/>
                <w:sz w:val="24"/>
              </w:rPr>
              <w:t>磋商地点：北京市海淀区学院路30号科大天工大厦B座1706第2会议室</w:t>
            </w:r>
          </w:p>
        </w:tc>
      </w:tr>
      <w:tr w14:paraId="770890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55" w:hRule="atLeast"/>
          <w:jc w:val="center"/>
        </w:trPr>
        <w:tc>
          <w:tcPr>
            <w:tcW w:w="1758" w:type="dxa"/>
            <w:vAlign w:val="center"/>
          </w:tcPr>
          <w:p w14:paraId="40F98D61">
            <w:pPr>
              <w:spacing w:line="360" w:lineRule="auto"/>
              <w:jc w:val="center"/>
              <w:rPr>
                <w:rFonts w:hint="eastAsia" w:ascii="宋体" w:hAnsi="宋体"/>
                <w:sz w:val="24"/>
              </w:rPr>
            </w:pPr>
            <w:r>
              <w:rPr>
                <w:rFonts w:hint="eastAsia" w:ascii="宋体" w:hAnsi="宋体"/>
                <w:sz w:val="24"/>
              </w:rPr>
              <w:t>17.5.1</w:t>
            </w:r>
          </w:p>
        </w:tc>
        <w:tc>
          <w:tcPr>
            <w:tcW w:w="7103" w:type="dxa"/>
            <w:vAlign w:val="center"/>
          </w:tcPr>
          <w:p w14:paraId="40B190B0">
            <w:pPr>
              <w:spacing w:line="360" w:lineRule="auto"/>
              <w:rPr>
                <w:rFonts w:hint="eastAsia" w:ascii="宋体" w:hAnsi="宋体"/>
                <w:sz w:val="24"/>
              </w:rPr>
            </w:pPr>
            <w:r>
              <w:rPr>
                <w:rFonts w:hint="eastAsia" w:ascii="宋体" w:hAnsi="宋体"/>
                <w:sz w:val="24"/>
              </w:rPr>
              <w:t>报价次数：二次报价。响应文件中的报价为一次报价，第二次报价即为最后报价。</w:t>
            </w:r>
          </w:p>
        </w:tc>
      </w:tr>
      <w:tr w14:paraId="6423C6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1E9FFD33">
            <w:pPr>
              <w:spacing w:line="360" w:lineRule="auto"/>
              <w:jc w:val="center"/>
              <w:rPr>
                <w:rFonts w:hint="eastAsia" w:ascii="宋体" w:hAnsi="宋体"/>
                <w:sz w:val="24"/>
              </w:rPr>
            </w:pPr>
            <w:r>
              <w:rPr>
                <w:rFonts w:hint="eastAsia" w:ascii="宋体" w:hAnsi="宋体"/>
                <w:sz w:val="24"/>
              </w:rPr>
              <w:t>21.3</w:t>
            </w:r>
          </w:p>
        </w:tc>
        <w:tc>
          <w:tcPr>
            <w:tcW w:w="7103" w:type="dxa"/>
            <w:vAlign w:val="center"/>
          </w:tcPr>
          <w:p w14:paraId="7AC1493E">
            <w:pPr>
              <w:spacing w:line="360" w:lineRule="auto"/>
              <w:rPr>
                <w:rFonts w:hint="eastAsia" w:ascii="宋体" w:hAnsi="宋体"/>
                <w:sz w:val="24"/>
              </w:rPr>
            </w:pPr>
            <w:r>
              <w:rPr>
                <w:rFonts w:hint="eastAsia" w:ascii="宋体" w:hAnsi="宋体"/>
                <w:sz w:val="24"/>
              </w:rPr>
              <w:t>评审方法：综合评分法。</w:t>
            </w:r>
          </w:p>
        </w:tc>
      </w:tr>
      <w:tr w14:paraId="077404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758" w:type="dxa"/>
            <w:vAlign w:val="center"/>
          </w:tcPr>
          <w:p w14:paraId="766A2363">
            <w:pPr>
              <w:spacing w:line="360" w:lineRule="auto"/>
              <w:jc w:val="center"/>
              <w:rPr>
                <w:rFonts w:hint="eastAsia" w:ascii="宋体" w:hAnsi="宋体"/>
                <w:sz w:val="24"/>
              </w:rPr>
            </w:pPr>
          </w:p>
        </w:tc>
        <w:tc>
          <w:tcPr>
            <w:tcW w:w="7103" w:type="dxa"/>
            <w:vAlign w:val="center"/>
          </w:tcPr>
          <w:p w14:paraId="60DC88AB">
            <w:pPr>
              <w:spacing w:line="360" w:lineRule="auto"/>
              <w:rPr>
                <w:rFonts w:hint="eastAsia" w:ascii="宋体" w:hAnsi="宋体"/>
                <w:sz w:val="24"/>
              </w:rPr>
            </w:pPr>
            <w:r>
              <w:rPr>
                <w:rFonts w:hint="eastAsia" w:ascii="宋体" w:hAnsi="宋体"/>
                <w:sz w:val="24"/>
              </w:rPr>
              <w:t>本项目所属行业：建筑业</w:t>
            </w:r>
          </w:p>
        </w:tc>
      </w:tr>
      <w:tr w14:paraId="60B41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545" w:hRule="atLeast"/>
          <w:jc w:val="center"/>
        </w:trPr>
        <w:tc>
          <w:tcPr>
            <w:tcW w:w="1758" w:type="dxa"/>
            <w:vAlign w:val="center"/>
          </w:tcPr>
          <w:p w14:paraId="4B8ED3A2">
            <w:pPr>
              <w:spacing w:line="360" w:lineRule="auto"/>
              <w:jc w:val="center"/>
              <w:rPr>
                <w:rFonts w:hint="eastAsia" w:ascii="宋体" w:hAnsi="宋体"/>
                <w:sz w:val="24"/>
              </w:rPr>
            </w:pPr>
            <w:r>
              <w:rPr>
                <w:rFonts w:hint="eastAsia" w:ascii="宋体" w:hAnsi="宋体"/>
                <w:sz w:val="24"/>
              </w:rPr>
              <w:t>22.1</w:t>
            </w:r>
          </w:p>
        </w:tc>
        <w:tc>
          <w:tcPr>
            <w:tcW w:w="7103" w:type="dxa"/>
            <w:vAlign w:val="center"/>
          </w:tcPr>
          <w:p w14:paraId="79A09EA3">
            <w:pPr>
              <w:spacing w:line="360" w:lineRule="auto"/>
              <w:rPr>
                <w:rFonts w:hint="eastAsia" w:ascii="宋体" w:hAnsi="宋体"/>
                <w:sz w:val="24"/>
              </w:rPr>
            </w:pPr>
            <w:r>
              <w:rPr>
                <w:rFonts w:hint="eastAsia" w:ascii="宋体" w:hAnsi="宋体"/>
                <w:sz w:val="24"/>
              </w:rPr>
              <w:t>工期为</w:t>
            </w:r>
            <w:r>
              <w:rPr>
                <w:rFonts w:hint="eastAsia" w:ascii="宋体" w:hAnsi="宋体"/>
                <w:sz w:val="24"/>
                <w:u w:val="single"/>
              </w:rPr>
              <w:t>2</w:t>
            </w:r>
            <w:r>
              <w:rPr>
                <w:rFonts w:ascii="宋体" w:hAnsi="宋体"/>
                <w:sz w:val="24"/>
                <w:u w:val="single"/>
              </w:rPr>
              <w:t>0</w:t>
            </w:r>
            <w:r>
              <w:rPr>
                <w:rFonts w:hint="eastAsia" w:ascii="宋体" w:hAnsi="宋体"/>
                <w:sz w:val="24"/>
              </w:rPr>
              <w:t>日历天，具体开工时间以双方签订合同时间为准。</w:t>
            </w:r>
          </w:p>
          <w:p w14:paraId="21F2C256">
            <w:pPr>
              <w:spacing w:line="360" w:lineRule="auto"/>
              <w:rPr>
                <w:rFonts w:hint="eastAsia" w:ascii="宋体" w:hAnsi="宋体"/>
                <w:sz w:val="24"/>
              </w:rPr>
            </w:pPr>
            <w:r>
              <w:rPr>
                <w:rFonts w:hint="eastAsia" w:ascii="宋体" w:hAnsi="宋体"/>
                <w:sz w:val="24"/>
              </w:rPr>
              <w:t>工程质量标准：</w:t>
            </w:r>
            <w:r>
              <w:rPr>
                <w:rFonts w:hint="eastAsia" w:ascii="宋体" w:hAnsi="宋体"/>
                <w:sz w:val="24"/>
                <w:u w:val="single"/>
              </w:rPr>
              <w:t>合格</w:t>
            </w:r>
          </w:p>
          <w:p w14:paraId="79161F1A">
            <w:pPr>
              <w:spacing w:line="360" w:lineRule="auto"/>
              <w:rPr>
                <w:rFonts w:hint="eastAsia" w:ascii="宋体" w:hAnsi="宋体"/>
                <w:sz w:val="24"/>
              </w:rPr>
            </w:pPr>
            <w:r>
              <w:rPr>
                <w:rFonts w:hint="eastAsia" w:ascii="宋体" w:hAnsi="宋体"/>
                <w:sz w:val="24"/>
              </w:rPr>
              <w:t>施工现场安全生产标准化管理目标等级：</w:t>
            </w:r>
            <w:r>
              <w:rPr>
                <w:rFonts w:hint="eastAsia" w:ascii="宋体" w:hAnsi="宋体"/>
                <w:sz w:val="24"/>
                <w:u w:val="single"/>
              </w:rPr>
              <w:t>达标</w:t>
            </w:r>
          </w:p>
        </w:tc>
      </w:tr>
      <w:tr w14:paraId="5D087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61" w:type="dxa"/>
            <w:gridSpan w:val="2"/>
            <w:vAlign w:val="center"/>
          </w:tcPr>
          <w:p w14:paraId="4F7ED15B">
            <w:pPr>
              <w:spacing w:line="360" w:lineRule="auto"/>
              <w:rPr>
                <w:rFonts w:hint="eastAsia" w:ascii="宋体" w:hAnsi="宋体"/>
                <w:sz w:val="24"/>
              </w:rPr>
            </w:pPr>
            <w:r>
              <w:rPr>
                <w:rFonts w:hint="eastAsia" w:ascii="宋体" w:hAnsi="宋体"/>
                <w:sz w:val="24"/>
              </w:rPr>
              <w:t>供应商对政府采购活动事项有疑问的，可以提出询问；</w:t>
            </w:r>
          </w:p>
          <w:p w14:paraId="4F3263E7">
            <w:pPr>
              <w:spacing w:line="360" w:lineRule="auto"/>
              <w:rPr>
                <w:rFonts w:hint="eastAsia" w:ascii="宋体" w:hAnsi="宋体"/>
                <w:sz w:val="24"/>
              </w:rPr>
            </w:pPr>
            <w:r>
              <w:rPr>
                <w:rFonts w:hint="eastAsia" w:ascii="宋体" w:hAnsi="宋体"/>
                <w:sz w:val="24"/>
              </w:rPr>
              <w:t>供应商认为采购文件、采购过程、中标或者成交结果使自己的权益受到损害的，可以在知道或者应知权益受到损害之日起7个工作日内，提出质疑。</w:t>
            </w:r>
          </w:p>
          <w:p w14:paraId="5B2F7892">
            <w:pPr>
              <w:spacing w:line="360" w:lineRule="auto"/>
              <w:rPr>
                <w:rFonts w:hint="eastAsia" w:ascii="宋体" w:hAnsi="宋体"/>
                <w:sz w:val="24"/>
              </w:rPr>
            </w:pPr>
            <w:r>
              <w:rPr>
                <w:rFonts w:hint="eastAsia" w:ascii="宋体" w:hAnsi="宋体"/>
                <w:sz w:val="24"/>
              </w:rPr>
              <w:t>1、接收质疑函的方式：供应商应提交书面质疑函，供应商应在法定质疑期内一次性提出针对同一采购程序环节的质疑。</w:t>
            </w:r>
          </w:p>
          <w:p w14:paraId="47316935">
            <w:pPr>
              <w:spacing w:line="360" w:lineRule="auto"/>
              <w:rPr>
                <w:rFonts w:hint="eastAsia" w:ascii="宋体" w:hAnsi="宋体"/>
                <w:sz w:val="24"/>
              </w:rPr>
            </w:pPr>
            <w:r>
              <w:rPr>
                <w:rFonts w:hint="eastAsia" w:ascii="宋体" w:hAnsi="宋体"/>
                <w:sz w:val="24"/>
              </w:rPr>
              <w:t>2、供应商提出质疑应当提交质疑函和必要的证明材料。质疑函应当包括下列内容：</w:t>
            </w:r>
          </w:p>
          <w:p w14:paraId="4D9DECDF">
            <w:pPr>
              <w:spacing w:line="360" w:lineRule="auto"/>
              <w:rPr>
                <w:rFonts w:hint="eastAsia" w:ascii="宋体" w:hAnsi="宋体"/>
                <w:sz w:val="24"/>
              </w:rPr>
            </w:pPr>
            <w:r>
              <w:rPr>
                <w:rFonts w:hint="eastAsia" w:ascii="宋体" w:hAnsi="宋体"/>
                <w:sz w:val="24"/>
              </w:rPr>
              <w:t>2.1供应商的姓名或者名称、地址、邮编、联系人及联系电话；</w:t>
            </w:r>
          </w:p>
          <w:p w14:paraId="3E94FFF4">
            <w:pPr>
              <w:spacing w:line="360" w:lineRule="auto"/>
              <w:rPr>
                <w:rFonts w:hint="eastAsia" w:ascii="宋体" w:hAnsi="宋体"/>
                <w:sz w:val="24"/>
              </w:rPr>
            </w:pPr>
            <w:r>
              <w:rPr>
                <w:rFonts w:hint="eastAsia" w:ascii="宋体" w:hAnsi="宋体"/>
                <w:sz w:val="24"/>
              </w:rPr>
              <w:t>2.2质疑项目的名称、编号；</w:t>
            </w:r>
          </w:p>
          <w:p w14:paraId="752BFE6B">
            <w:pPr>
              <w:spacing w:line="360" w:lineRule="auto"/>
              <w:rPr>
                <w:rFonts w:hint="eastAsia" w:ascii="宋体" w:hAnsi="宋体"/>
                <w:sz w:val="24"/>
              </w:rPr>
            </w:pPr>
            <w:r>
              <w:rPr>
                <w:rFonts w:hint="eastAsia" w:ascii="宋体" w:hAnsi="宋体"/>
                <w:sz w:val="24"/>
              </w:rPr>
              <w:t>2.3具体、明确的质疑事项和与质疑事项相关的请求；</w:t>
            </w:r>
          </w:p>
          <w:p w14:paraId="33CC335A">
            <w:pPr>
              <w:spacing w:line="360" w:lineRule="auto"/>
              <w:rPr>
                <w:rFonts w:hint="eastAsia" w:ascii="宋体" w:hAnsi="宋体"/>
                <w:sz w:val="24"/>
              </w:rPr>
            </w:pPr>
            <w:r>
              <w:rPr>
                <w:rFonts w:hint="eastAsia" w:ascii="宋体" w:hAnsi="宋体"/>
                <w:sz w:val="24"/>
              </w:rPr>
              <w:t>2.4事实依据；</w:t>
            </w:r>
          </w:p>
          <w:p w14:paraId="3BDACD80">
            <w:pPr>
              <w:spacing w:line="360" w:lineRule="auto"/>
              <w:rPr>
                <w:rFonts w:hint="eastAsia" w:ascii="宋体" w:hAnsi="宋体"/>
                <w:sz w:val="24"/>
              </w:rPr>
            </w:pPr>
            <w:r>
              <w:rPr>
                <w:rFonts w:hint="eastAsia" w:ascii="宋体" w:hAnsi="宋体"/>
                <w:sz w:val="24"/>
              </w:rPr>
              <w:t>2.5必要的法律依据；</w:t>
            </w:r>
          </w:p>
          <w:p w14:paraId="540A7E1E">
            <w:pPr>
              <w:spacing w:line="360" w:lineRule="auto"/>
              <w:rPr>
                <w:rFonts w:hint="eastAsia" w:ascii="宋体" w:hAnsi="宋体"/>
                <w:sz w:val="24"/>
              </w:rPr>
            </w:pPr>
            <w:r>
              <w:rPr>
                <w:rFonts w:hint="eastAsia" w:ascii="宋体" w:hAnsi="宋体"/>
                <w:sz w:val="24"/>
              </w:rPr>
              <w:t>2.6提出质疑的日期。</w:t>
            </w:r>
          </w:p>
          <w:p w14:paraId="31951DD7">
            <w:pPr>
              <w:spacing w:line="360" w:lineRule="auto"/>
              <w:rPr>
                <w:rFonts w:hint="eastAsia" w:ascii="宋体" w:hAnsi="宋体"/>
                <w:sz w:val="24"/>
              </w:rPr>
            </w:pPr>
            <w:r>
              <w:rPr>
                <w:rFonts w:hint="eastAsia" w:ascii="宋体" w:hAnsi="宋体"/>
                <w:sz w:val="24"/>
              </w:rPr>
              <w:t>供应商为自然人的，质疑函应当由本人签字；供应商为法人或者其他组织的，质疑函应当由法定代表人、主要负责人，或者其授权代表签字或者盖章，并加盖公章。</w:t>
            </w:r>
          </w:p>
          <w:p w14:paraId="40A68BE2">
            <w:pPr>
              <w:spacing w:line="360" w:lineRule="auto"/>
              <w:rPr>
                <w:rFonts w:hint="eastAsia" w:ascii="宋体" w:hAnsi="宋体"/>
                <w:sz w:val="24"/>
              </w:rPr>
            </w:pPr>
            <w:r>
              <w:rPr>
                <w:rFonts w:hint="eastAsia" w:ascii="宋体" w:hAnsi="宋体"/>
                <w:sz w:val="24"/>
              </w:rPr>
              <w:t>供应商委托代理人递交质疑函的，应提供法定代表人授权委托书和代理人身份证复印件。授权委托书应当载明代理人的姓名、授权事项、具体权限、期限和相关事项。供应商为自然人的，授权委托书应当由本人签字；供应商为法人或者其他组织的，授权委托书应当由法定代表人、主要负责人签字或者盖章，并加盖公章。</w:t>
            </w:r>
          </w:p>
          <w:p w14:paraId="50514194">
            <w:pPr>
              <w:spacing w:line="360" w:lineRule="auto"/>
              <w:rPr>
                <w:rFonts w:hint="eastAsia" w:ascii="宋体" w:hAnsi="宋体"/>
                <w:sz w:val="24"/>
              </w:rPr>
            </w:pPr>
            <w:r>
              <w:rPr>
                <w:rFonts w:hint="eastAsia" w:ascii="宋体" w:hAnsi="宋体"/>
                <w:sz w:val="24"/>
              </w:rPr>
              <w:t>3、联系人：</w:t>
            </w:r>
            <w:r>
              <w:rPr>
                <w:rFonts w:hint="eastAsia" w:ascii="宋体" w:hAnsi="宋体" w:cs="宋体"/>
                <w:sz w:val="24"/>
              </w:rPr>
              <w:t>张闻、曾甜、王润斯、万雅萌、王渊</w:t>
            </w:r>
          </w:p>
          <w:p w14:paraId="584DBADB">
            <w:pPr>
              <w:spacing w:line="360" w:lineRule="auto"/>
              <w:rPr>
                <w:rFonts w:hint="eastAsia" w:ascii="宋体" w:hAnsi="宋体"/>
                <w:sz w:val="24"/>
              </w:rPr>
            </w:pPr>
            <w:r>
              <w:rPr>
                <w:rFonts w:hint="eastAsia" w:ascii="宋体" w:hAnsi="宋体"/>
                <w:sz w:val="24"/>
              </w:rPr>
              <w:t>4、联系电话：010-82370045、15110203501</w:t>
            </w:r>
          </w:p>
          <w:p w14:paraId="1A0C182F">
            <w:pPr>
              <w:spacing w:line="360" w:lineRule="auto"/>
              <w:rPr>
                <w:rFonts w:hint="eastAsia" w:ascii="宋体" w:hAnsi="宋体"/>
                <w:sz w:val="24"/>
              </w:rPr>
            </w:pPr>
            <w:r>
              <w:rPr>
                <w:rFonts w:hint="eastAsia" w:ascii="宋体" w:hAnsi="宋体"/>
                <w:sz w:val="24"/>
              </w:rPr>
              <w:t>5、通讯地址：北京市海淀区学院路30号科大天工大厦B座1709</w:t>
            </w:r>
          </w:p>
        </w:tc>
      </w:tr>
    </w:tbl>
    <w:p w14:paraId="4135B267">
      <w:pPr>
        <w:sectPr>
          <w:footerReference r:id="rId9" w:type="default"/>
          <w:pgSz w:w="11906" w:h="16838"/>
          <w:pgMar w:top="1440" w:right="1797" w:bottom="1440" w:left="1797" w:header="851" w:footer="992" w:gutter="0"/>
          <w:cols w:space="720" w:num="1"/>
          <w:docGrid w:linePitch="312" w:charSpace="0"/>
        </w:sectPr>
      </w:pPr>
    </w:p>
    <w:p w14:paraId="216BE885">
      <w:pPr>
        <w:pStyle w:val="3"/>
        <w:spacing w:before="0" w:after="0" w:line="440" w:lineRule="exact"/>
        <w:rPr>
          <w:rFonts w:hint="eastAsia" w:hAnsi="宋体"/>
          <w:szCs w:val="32"/>
        </w:rPr>
        <w:sectPr>
          <w:pgSz w:w="11906" w:h="16838"/>
          <w:pgMar w:top="1440" w:right="1797" w:bottom="1440" w:left="1797" w:header="851" w:footer="992" w:gutter="0"/>
          <w:cols w:space="720" w:num="1"/>
          <w:vAlign w:val="center"/>
          <w:docGrid w:linePitch="312" w:charSpace="0"/>
        </w:sectPr>
      </w:pPr>
      <w:bookmarkStart w:id="49" w:name="_Toc142385486"/>
      <w:r>
        <w:rPr>
          <w:rFonts w:hint="eastAsia" w:hAnsi="宋体"/>
          <w:szCs w:val="32"/>
        </w:rPr>
        <w:t>第三章 供应商须知</w:t>
      </w:r>
      <w:bookmarkEnd w:id="49"/>
    </w:p>
    <w:p w14:paraId="1DAB72E5">
      <w:pPr>
        <w:pStyle w:val="4"/>
        <w:spacing w:line="360" w:lineRule="auto"/>
        <w:rPr>
          <w:rFonts w:hint="eastAsia" w:ascii="宋体" w:hAnsi="宋体" w:eastAsia="宋体"/>
          <w:sz w:val="28"/>
        </w:rPr>
      </w:pPr>
      <w:bookmarkStart w:id="50" w:name="_Toc518991910"/>
      <w:bookmarkStart w:id="51" w:name="_Toc130920501"/>
      <w:bookmarkStart w:id="52" w:name="_Toc142385487"/>
      <w:r>
        <w:rPr>
          <w:rFonts w:hint="eastAsia" w:ascii="宋体" w:hAnsi="宋体" w:eastAsia="宋体"/>
          <w:sz w:val="28"/>
        </w:rPr>
        <w:t>一   说  明</w:t>
      </w:r>
      <w:bookmarkEnd w:id="50"/>
      <w:bookmarkEnd w:id="51"/>
      <w:bookmarkEnd w:id="52"/>
    </w:p>
    <w:p w14:paraId="5563720A">
      <w:pPr>
        <w:pStyle w:val="6"/>
        <w:spacing w:line="360" w:lineRule="auto"/>
        <w:ind w:left="899" w:hanging="899"/>
        <w:rPr>
          <w:rFonts w:hint="eastAsia" w:hAnsi="宋体"/>
          <w:u w:val="none"/>
        </w:rPr>
      </w:pPr>
      <w:bookmarkStart w:id="53" w:name="_Toc130920502"/>
      <w:bookmarkStart w:id="54" w:name="_Toc142385488"/>
      <w:bookmarkStart w:id="55" w:name="_Toc518991911"/>
      <w:r>
        <w:rPr>
          <w:rFonts w:hint="eastAsia" w:hAnsi="宋体"/>
          <w:u w:val="none"/>
        </w:rPr>
        <w:t>1．采购单位及合格的供应商</w:t>
      </w:r>
      <w:bookmarkEnd w:id="53"/>
      <w:bookmarkEnd w:id="54"/>
      <w:bookmarkEnd w:id="55"/>
    </w:p>
    <w:p w14:paraId="631AC1F9">
      <w:pPr>
        <w:spacing w:before="120" w:line="360" w:lineRule="auto"/>
        <w:ind w:left="840" w:hanging="840" w:hangingChars="350"/>
        <w:rPr>
          <w:rFonts w:hint="eastAsia" w:ascii="宋体" w:hAnsi="宋体"/>
          <w:sz w:val="24"/>
        </w:rPr>
      </w:pPr>
      <w:r>
        <w:rPr>
          <w:rFonts w:hint="eastAsia" w:ascii="宋体" w:hAnsi="宋体"/>
          <w:sz w:val="24"/>
        </w:rPr>
        <w:t>1.1    采购单位：系指采购人及其委托的采购代理机构。采购代理机构包括集中采购机构和依法经财政部门认定资格的其他采购代理机构。</w:t>
      </w:r>
    </w:p>
    <w:p w14:paraId="14904D38">
      <w:pPr>
        <w:spacing w:line="360" w:lineRule="auto"/>
        <w:ind w:left="840" w:hanging="840" w:hangingChars="350"/>
        <w:rPr>
          <w:rFonts w:hint="eastAsia" w:ascii="宋体" w:hAnsi="宋体"/>
          <w:sz w:val="24"/>
        </w:rPr>
      </w:pPr>
      <w:r>
        <w:rPr>
          <w:rFonts w:hint="eastAsia" w:ascii="宋体" w:hAnsi="宋体"/>
          <w:sz w:val="24"/>
        </w:rPr>
        <w:t>1.2</w:t>
      </w:r>
      <w:r>
        <w:rPr>
          <w:rFonts w:ascii="宋体" w:hAnsi="宋体"/>
          <w:sz w:val="24"/>
        </w:rPr>
        <w:tab/>
      </w:r>
      <w:r>
        <w:rPr>
          <w:rFonts w:hint="eastAsia" w:ascii="宋体" w:hAnsi="宋体"/>
          <w:sz w:val="24"/>
        </w:rPr>
        <w:t>满足条件的供应商是合格的供应商，可以参加本次磋商，</w:t>
      </w:r>
      <w:r>
        <w:rPr>
          <w:rFonts w:hint="eastAsia" w:ascii="宋体" w:hAnsi="宋体" w:cs="宋体"/>
          <w:kern w:val="0"/>
          <w:sz w:val="24"/>
        </w:rPr>
        <w:t>详见“磋商公告”。</w:t>
      </w:r>
    </w:p>
    <w:p w14:paraId="7EEF1610">
      <w:pPr>
        <w:spacing w:before="120" w:line="360" w:lineRule="auto"/>
        <w:ind w:left="900" w:hanging="900"/>
        <w:rPr>
          <w:rFonts w:hint="eastAsia" w:ascii="宋体" w:hAnsi="宋体"/>
          <w:sz w:val="24"/>
        </w:rPr>
      </w:pPr>
      <w:r>
        <w:rPr>
          <w:rFonts w:hint="eastAsia" w:ascii="宋体" w:hAnsi="宋体"/>
          <w:sz w:val="24"/>
        </w:rPr>
        <w:t>1.3</w:t>
      </w:r>
      <w:r>
        <w:rPr>
          <w:rFonts w:hint="eastAsia" w:ascii="宋体" w:hAnsi="宋体"/>
          <w:sz w:val="24"/>
        </w:rPr>
        <w:tab/>
      </w:r>
      <w:r>
        <w:rPr>
          <w:rFonts w:hint="eastAsia" w:ascii="宋体" w:hAnsi="宋体"/>
          <w:sz w:val="24"/>
        </w:rPr>
        <w:t>凡受托为本次磋商进行设计、编制规范和其他文件的咨询公司，及相关联的附属机构，不得参加磋商。</w:t>
      </w:r>
    </w:p>
    <w:p w14:paraId="352E50E9">
      <w:pPr>
        <w:spacing w:before="120" w:line="360" w:lineRule="auto"/>
        <w:ind w:left="900" w:hanging="900"/>
        <w:rPr>
          <w:rFonts w:hint="eastAsia" w:ascii="宋体" w:hAnsi="宋体"/>
          <w:sz w:val="24"/>
        </w:rPr>
      </w:pPr>
      <w:r>
        <w:rPr>
          <w:rFonts w:hint="eastAsia" w:ascii="宋体" w:hAnsi="宋体"/>
          <w:sz w:val="24"/>
        </w:rPr>
        <w:t>1.4</w:t>
      </w:r>
      <w:r>
        <w:rPr>
          <w:rFonts w:hint="eastAsia" w:ascii="宋体" w:hAnsi="宋体"/>
          <w:sz w:val="24"/>
        </w:rPr>
        <w:tab/>
      </w:r>
      <w:r>
        <w:rPr>
          <w:rFonts w:hint="eastAsia" w:ascii="宋体" w:hAnsi="宋体"/>
          <w:sz w:val="24"/>
        </w:rPr>
        <w:t>供应商在磋商过程中不得向采购单位提供、给予任何有价值的物品，影响其正常决策行为。一经发现，其供应商资格将被取消。</w:t>
      </w:r>
    </w:p>
    <w:p w14:paraId="4CE2C01A">
      <w:pPr>
        <w:spacing w:before="120" w:line="360" w:lineRule="auto"/>
        <w:ind w:left="900" w:hanging="900"/>
        <w:rPr>
          <w:rFonts w:hint="eastAsia" w:ascii="宋体" w:hAnsi="宋体"/>
          <w:sz w:val="24"/>
        </w:rPr>
      </w:pPr>
      <w:r>
        <w:rPr>
          <w:rFonts w:hint="eastAsia" w:ascii="宋体" w:hAnsi="宋体"/>
          <w:sz w:val="24"/>
        </w:rPr>
        <w:t>1.5</w:t>
      </w:r>
      <w:r>
        <w:rPr>
          <w:rFonts w:hint="eastAsia" w:ascii="宋体" w:hAnsi="宋体"/>
          <w:sz w:val="24"/>
        </w:rPr>
        <w:tab/>
      </w:r>
      <w:r>
        <w:rPr>
          <w:rFonts w:hint="eastAsia" w:ascii="宋体" w:hAnsi="宋体"/>
          <w:sz w:val="24"/>
        </w:rPr>
        <w:t>采购单位在任何时候发现供应商提交的响应文件内容有下列情形之一时，有权依法追究供应商的责任：</w:t>
      </w:r>
    </w:p>
    <w:p w14:paraId="31F08DE6">
      <w:pPr>
        <w:spacing w:before="120" w:line="360" w:lineRule="auto"/>
        <w:ind w:left="900" w:hanging="900"/>
        <w:rPr>
          <w:rFonts w:hint="eastAsia" w:ascii="宋体" w:hAnsi="宋体"/>
          <w:sz w:val="24"/>
        </w:rPr>
      </w:pPr>
      <w:r>
        <w:rPr>
          <w:rFonts w:hint="eastAsia" w:ascii="宋体" w:hAnsi="宋体"/>
          <w:sz w:val="24"/>
        </w:rPr>
        <w:t>1.5.1</w:t>
      </w:r>
      <w:r>
        <w:rPr>
          <w:rFonts w:hint="eastAsia" w:ascii="宋体" w:hAnsi="宋体"/>
          <w:sz w:val="24"/>
        </w:rPr>
        <w:tab/>
      </w:r>
      <w:r>
        <w:rPr>
          <w:rFonts w:hint="eastAsia" w:ascii="宋体" w:hAnsi="宋体"/>
          <w:sz w:val="24"/>
        </w:rPr>
        <w:t>提供虚假的资料；</w:t>
      </w:r>
    </w:p>
    <w:p w14:paraId="74806BF8">
      <w:pPr>
        <w:spacing w:before="120" w:line="360" w:lineRule="auto"/>
        <w:ind w:left="900" w:hanging="900"/>
        <w:rPr>
          <w:rFonts w:hint="eastAsia" w:ascii="宋体" w:hAnsi="宋体"/>
          <w:sz w:val="24"/>
        </w:rPr>
      </w:pPr>
      <w:r>
        <w:rPr>
          <w:rFonts w:hint="eastAsia" w:ascii="宋体" w:hAnsi="宋体"/>
          <w:sz w:val="24"/>
        </w:rPr>
        <w:t>1.5.2</w:t>
      </w:r>
      <w:r>
        <w:rPr>
          <w:rFonts w:hint="eastAsia" w:ascii="宋体" w:hAnsi="宋体"/>
          <w:sz w:val="24"/>
        </w:rPr>
        <w:tab/>
      </w:r>
      <w:r>
        <w:rPr>
          <w:rFonts w:hint="eastAsia" w:ascii="宋体" w:hAnsi="宋体"/>
          <w:sz w:val="24"/>
        </w:rPr>
        <w:t>在实质性方面失实。</w:t>
      </w:r>
    </w:p>
    <w:p w14:paraId="7DBB0ADE">
      <w:pPr>
        <w:spacing w:before="120" w:line="360" w:lineRule="auto"/>
        <w:ind w:left="900" w:hanging="900"/>
        <w:rPr>
          <w:rFonts w:hint="eastAsia" w:ascii="宋体" w:hAnsi="宋体"/>
          <w:sz w:val="24"/>
        </w:rPr>
      </w:pPr>
      <w:r>
        <w:rPr>
          <w:rFonts w:hint="eastAsia" w:ascii="宋体" w:hAnsi="宋体"/>
          <w:sz w:val="24"/>
        </w:rPr>
        <w:t>1.6</w:t>
      </w:r>
      <w:r>
        <w:rPr>
          <w:rFonts w:hint="eastAsia" w:ascii="宋体" w:hAnsi="宋体"/>
          <w:sz w:val="24"/>
        </w:rPr>
        <w:tab/>
      </w:r>
      <w:r>
        <w:rPr>
          <w:rFonts w:hint="eastAsia" w:ascii="宋体" w:hAnsi="宋体"/>
          <w:sz w:val="24"/>
        </w:rPr>
        <w:t>政府采购当事人之间不得相互串通报价。</w:t>
      </w:r>
    </w:p>
    <w:p w14:paraId="0B9CD792">
      <w:pPr>
        <w:pStyle w:val="6"/>
        <w:spacing w:line="360" w:lineRule="auto"/>
        <w:ind w:left="901" w:hanging="899"/>
        <w:rPr>
          <w:rFonts w:hint="eastAsia" w:hAnsi="宋体"/>
          <w:u w:val="none"/>
        </w:rPr>
      </w:pPr>
      <w:bookmarkStart w:id="56" w:name="_Toc518991912"/>
      <w:bookmarkStart w:id="57" w:name="_Toc130920503"/>
      <w:bookmarkStart w:id="58" w:name="_Toc142385489"/>
      <w:r>
        <w:rPr>
          <w:rFonts w:hint="eastAsia" w:hAnsi="宋体"/>
          <w:u w:val="none"/>
        </w:rPr>
        <w:t>2．资金来源</w:t>
      </w:r>
      <w:bookmarkEnd w:id="56"/>
      <w:bookmarkEnd w:id="57"/>
      <w:bookmarkEnd w:id="58"/>
    </w:p>
    <w:p w14:paraId="1B06A554">
      <w:pPr>
        <w:spacing w:before="120" w:line="360" w:lineRule="auto"/>
        <w:ind w:left="897" w:hanging="895"/>
        <w:rPr>
          <w:rFonts w:hint="eastAsia" w:ascii="宋体" w:hAnsi="宋体"/>
          <w:sz w:val="24"/>
        </w:rPr>
      </w:pPr>
      <w:r>
        <w:rPr>
          <w:rFonts w:hint="eastAsia" w:ascii="宋体" w:hAnsi="宋体"/>
          <w:sz w:val="24"/>
        </w:rPr>
        <w:t>2</w:t>
      </w:r>
      <w:r>
        <w:rPr>
          <w:rFonts w:ascii="宋体" w:hAnsi="宋体"/>
          <w:sz w:val="24"/>
        </w:rPr>
        <w:t>.1</w:t>
      </w:r>
      <w:r>
        <w:rPr>
          <w:rFonts w:hint="eastAsia" w:ascii="宋体" w:hAnsi="宋体"/>
          <w:sz w:val="24"/>
        </w:rPr>
        <w:tab/>
      </w:r>
      <w:r>
        <w:rPr>
          <w:rFonts w:hint="eastAsia" w:ascii="宋体" w:hAnsi="宋体"/>
          <w:sz w:val="24"/>
        </w:rPr>
        <w:t>采购人已经获得足以支付本次磋商后所签订的合同项下的款项。</w:t>
      </w:r>
    </w:p>
    <w:p w14:paraId="69013E36">
      <w:pPr>
        <w:pStyle w:val="6"/>
        <w:spacing w:line="360" w:lineRule="auto"/>
        <w:ind w:left="901" w:hanging="899"/>
        <w:rPr>
          <w:rFonts w:hint="eastAsia" w:hAnsi="宋体"/>
          <w:u w:val="none"/>
        </w:rPr>
      </w:pPr>
      <w:bookmarkStart w:id="59" w:name="_Toc518991913"/>
      <w:bookmarkStart w:id="60" w:name="_Toc142385490"/>
      <w:bookmarkStart w:id="61" w:name="_Toc130920504"/>
      <w:r>
        <w:rPr>
          <w:rFonts w:hint="eastAsia" w:hAnsi="宋体"/>
          <w:u w:val="none"/>
        </w:rPr>
        <w:t>3．磋商费用</w:t>
      </w:r>
      <w:bookmarkEnd w:id="59"/>
      <w:bookmarkEnd w:id="60"/>
      <w:bookmarkEnd w:id="61"/>
    </w:p>
    <w:p w14:paraId="6FBC8E62">
      <w:pPr>
        <w:spacing w:before="120" w:line="360" w:lineRule="auto"/>
        <w:ind w:left="785" w:hanging="783"/>
        <w:rPr>
          <w:rFonts w:hint="eastAsia" w:ascii="宋体" w:hAnsi="宋体"/>
          <w:sz w:val="24"/>
        </w:rPr>
      </w:pPr>
      <w:r>
        <w:rPr>
          <w:rFonts w:ascii="宋体" w:hAnsi="宋体"/>
          <w:sz w:val="24"/>
        </w:rPr>
        <w:t>3.1</w:t>
      </w:r>
      <w:r>
        <w:rPr>
          <w:rFonts w:ascii="宋体" w:hAnsi="宋体"/>
          <w:sz w:val="24"/>
        </w:rPr>
        <w:tab/>
      </w:r>
      <w:r>
        <w:rPr>
          <w:rFonts w:hint="eastAsia" w:ascii="宋体" w:hAnsi="宋体"/>
          <w:sz w:val="24"/>
        </w:rPr>
        <w:t>供应商应承担所有与准备和参加磋商有关的费用，不论磋商的结果如何，采购人均无承担的义务和责任。</w:t>
      </w:r>
    </w:p>
    <w:p w14:paraId="2FAF2D9A">
      <w:pPr>
        <w:pStyle w:val="4"/>
        <w:spacing w:line="360" w:lineRule="auto"/>
        <w:rPr>
          <w:rFonts w:hint="eastAsia" w:ascii="宋体" w:hAnsi="宋体" w:eastAsia="宋体"/>
          <w:sz w:val="28"/>
        </w:rPr>
      </w:pPr>
      <w:bookmarkStart w:id="62" w:name="_Toc142385491"/>
      <w:bookmarkStart w:id="63" w:name="_Toc518991914"/>
      <w:bookmarkStart w:id="64" w:name="_Toc130920505"/>
      <w:r>
        <w:rPr>
          <w:rFonts w:hint="eastAsia" w:ascii="宋体" w:hAnsi="宋体" w:eastAsia="宋体"/>
          <w:sz w:val="28"/>
        </w:rPr>
        <w:t>二   采购文件</w:t>
      </w:r>
      <w:bookmarkEnd w:id="62"/>
      <w:bookmarkEnd w:id="63"/>
      <w:bookmarkEnd w:id="64"/>
    </w:p>
    <w:p w14:paraId="6E754B47">
      <w:pPr>
        <w:pStyle w:val="6"/>
        <w:spacing w:line="360" w:lineRule="auto"/>
        <w:ind w:left="899" w:hanging="899"/>
        <w:rPr>
          <w:rFonts w:hint="eastAsia" w:hAnsi="宋体"/>
          <w:u w:val="none"/>
        </w:rPr>
      </w:pPr>
      <w:bookmarkStart w:id="65" w:name="_Toc130920506"/>
      <w:bookmarkStart w:id="66" w:name="_Toc518991915"/>
      <w:bookmarkStart w:id="67" w:name="_Toc142385492"/>
      <w:r>
        <w:rPr>
          <w:rFonts w:hint="eastAsia" w:hAnsi="宋体"/>
          <w:u w:val="none"/>
        </w:rPr>
        <w:t>4．采购文件构成</w:t>
      </w:r>
      <w:bookmarkEnd w:id="65"/>
      <w:bookmarkEnd w:id="66"/>
      <w:bookmarkEnd w:id="67"/>
    </w:p>
    <w:p w14:paraId="24D5D6EF">
      <w:pPr>
        <w:tabs>
          <w:tab w:val="left" w:pos="900"/>
        </w:tabs>
        <w:spacing w:before="120" w:line="360" w:lineRule="auto"/>
        <w:ind w:left="895" w:hanging="895"/>
        <w:rPr>
          <w:rFonts w:hint="eastAsia" w:ascii="宋体" w:hAnsi="宋体"/>
          <w:sz w:val="24"/>
        </w:rPr>
      </w:pPr>
      <w:r>
        <w:rPr>
          <w:rFonts w:hint="eastAsia" w:ascii="宋体" w:hAnsi="宋体"/>
          <w:sz w:val="24"/>
        </w:rPr>
        <w:t>4.1</w:t>
      </w:r>
      <w:r>
        <w:rPr>
          <w:rFonts w:hint="eastAsia" w:ascii="宋体" w:hAnsi="宋体"/>
          <w:sz w:val="24"/>
        </w:rPr>
        <w:tab/>
      </w:r>
      <w:r>
        <w:rPr>
          <w:rFonts w:hint="eastAsia" w:ascii="宋体" w:hAnsi="宋体"/>
          <w:sz w:val="24"/>
        </w:rPr>
        <w:t>要求提供工程/货物/服务的内容及详细需求、供应商须知和合同条件等在采购文件中均有说明。</w:t>
      </w:r>
    </w:p>
    <w:p w14:paraId="3AA35748">
      <w:pPr>
        <w:spacing w:before="120" w:line="360" w:lineRule="auto"/>
        <w:ind w:left="895" w:firstLine="5"/>
        <w:rPr>
          <w:rFonts w:hint="eastAsia" w:ascii="宋体" w:hAnsi="宋体"/>
          <w:sz w:val="24"/>
        </w:rPr>
      </w:pPr>
      <w:r>
        <w:rPr>
          <w:rFonts w:hint="eastAsia" w:ascii="宋体" w:hAnsi="宋体"/>
          <w:sz w:val="24"/>
        </w:rPr>
        <w:t>采购文件共六章，内容如下：</w:t>
      </w:r>
    </w:p>
    <w:p w14:paraId="2758316F">
      <w:pPr>
        <w:numPr>
          <w:ilvl w:val="0"/>
          <w:numId w:val="1"/>
        </w:numPr>
        <w:spacing w:line="360" w:lineRule="auto"/>
        <w:ind w:left="895" w:firstLine="5"/>
        <w:rPr>
          <w:rFonts w:hint="eastAsia" w:ascii="宋体" w:hAnsi="宋体"/>
          <w:sz w:val="24"/>
        </w:rPr>
      </w:pPr>
      <w:r>
        <w:rPr>
          <w:rFonts w:hint="eastAsia" w:ascii="宋体" w:hAnsi="宋体"/>
          <w:sz w:val="24"/>
        </w:rPr>
        <w:t>　竞争性磋商公告</w:t>
      </w:r>
    </w:p>
    <w:p w14:paraId="7D6D45B7">
      <w:pPr>
        <w:numPr>
          <w:ilvl w:val="0"/>
          <w:numId w:val="1"/>
        </w:numPr>
        <w:spacing w:line="360" w:lineRule="auto"/>
        <w:ind w:left="895" w:firstLine="5"/>
        <w:rPr>
          <w:rFonts w:hint="eastAsia" w:ascii="宋体" w:hAnsi="宋体"/>
          <w:sz w:val="24"/>
        </w:rPr>
      </w:pPr>
      <w:r>
        <w:rPr>
          <w:rFonts w:hint="eastAsia" w:ascii="宋体" w:hAnsi="宋体"/>
          <w:sz w:val="24"/>
        </w:rPr>
        <w:t xml:space="preserve">　供应商须知前附表 </w:t>
      </w:r>
    </w:p>
    <w:p w14:paraId="641867E0">
      <w:pPr>
        <w:numPr>
          <w:ilvl w:val="0"/>
          <w:numId w:val="1"/>
        </w:numPr>
        <w:spacing w:line="360" w:lineRule="auto"/>
        <w:ind w:left="895" w:firstLine="5"/>
        <w:rPr>
          <w:rFonts w:hint="eastAsia" w:ascii="宋体" w:hAnsi="宋体"/>
          <w:sz w:val="24"/>
        </w:rPr>
      </w:pPr>
      <w:r>
        <w:rPr>
          <w:rFonts w:hint="eastAsia" w:ascii="宋体" w:hAnsi="宋体"/>
          <w:sz w:val="24"/>
        </w:rPr>
        <w:t xml:space="preserve">　供应商须知  </w:t>
      </w:r>
    </w:p>
    <w:p w14:paraId="1755F9E2">
      <w:pPr>
        <w:spacing w:line="360" w:lineRule="auto"/>
        <w:ind w:left="895" w:firstLine="5"/>
        <w:rPr>
          <w:rFonts w:hint="eastAsia" w:ascii="宋体" w:hAnsi="宋体"/>
          <w:sz w:val="24"/>
        </w:rPr>
      </w:pPr>
      <w:r>
        <w:rPr>
          <w:rFonts w:hint="eastAsia" w:ascii="宋体" w:hAnsi="宋体"/>
          <w:sz w:val="24"/>
        </w:rPr>
        <w:t>第四章</w:t>
      </w:r>
      <w:r>
        <w:rPr>
          <w:rFonts w:hint="eastAsia" w:ascii="宋体" w:hAnsi="宋体"/>
          <w:sz w:val="24"/>
        </w:rPr>
        <w:tab/>
      </w:r>
      <w:r>
        <w:rPr>
          <w:rFonts w:hint="eastAsia" w:ascii="宋体" w:hAnsi="宋体"/>
          <w:sz w:val="24"/>
        </w:rPr>
        <w:t>　技术标准和要求</w:t>
      </w:r>
    </w:p>
    <w:p w14:paraId="58601018">
      <w:pPr>
        <w:spacing w:line="360" w:lineRule="auto"/>
        <w:ind w:left="895" w:leftChars="426"/>
        <w:rPr>
          <w:rFonts w:hint="eastAsia" w:ascii="宋体" w:hAnsi="宋体"/>
          <w:sz w:val="24"/>
        </w:rPr>
      </w:pPr>
      <w:r>
        <w:rPr>
          <w:rFonts w:hint="eastAsia" w:ascii="宋体" w:hAnsi="宋体"/>
          <w:sz w:val="24"/>
        </w:rPr>
        <w:t>第五章</w:t>
      </w:r>
      <w:r>
        <w:rPr>
          <w:rFonts w:hint="eastAsia" w:ascii="宋体" w:hAnsi="宋体"/>
          <w:sz w:val="24"/>
        </w:rPr>
        <w:tab/>
      </w:r>
      <w:r>
        <w:rPr>
          <w:rFonts w:hint="eastAsia" w:ascii="宋体" w:hAnsi="宋体"/>
          <w:sz w:val="24"/>
        </w:rPr>
        <w:t xml:space="preserve">  合同格式</w:t>
      </w:r>
    </w:p>
    <w:p w14:paraId="78563D03">
      <w:pPr>
        <w:spacing w:line="360" w:lineRule="auto"/>
        <w:ind w:left="895" w:leftChars="426"/>
        <w:rPr>
          <w:rFonts w:hint="eastAsia" w:ascii="宋体" w:hAnsi="宋体"/>
          <w:sz w:val="24"/>
        </w:rPr>
      </w:pPr>
      <w:r>
        <w:rPr>
          <w:rFonts w:hint="eastAsia" w:ascii="宋体" w:hAnsi="宋体"/>
          <w:sz w:val="24"/>
        </w:rPr>
        <w:t>第六章</w:t>
      </w:r>
      <w:r>
        <w:rPr>
          <w:rFonts w:hint="eastAsia" w:ascii="宋体" w:hAnsi="宋体"/>
          <w:sz w:val="24"/>
        </w:rPr>
        <w:tab/>
      </w:r>
      <w:r>
        <w:rPr>
          <w:rFonts w:hint="eastAsia" w:ascii="宋体" w:hAnsi="宋体"/>
          <w:sz w:val="24"/>
        </w:rPr>
        <w:t xml:space="preserve">  工程量清单及图纸（</w:t>
      </w:r>
      <w:r>
        <w:rPr>
          <w:rFonts w:ascii="宋体" w:hAnsi="宋体"/>
          <w:sz w:val="24"/>
        </w:rPr>
        <w:t>另附）</w:t>
      </w:r>
    </w:p>
    <w:p w14:paraId="1F6F8332">
      <w:pPr>
        <w:spacing w:line="360" w:lineRule="auto"/>
        <w:ind w:left="895" w:leftChars="426"/>
        <w:rPr>
          <w:rFonts w:hint="eastAsia" w:ascii="宋体" w:hAnsi="宋体"/>
          <w:sz w:val="24"/>
        </w:rPr>
      </w:pPr>
      <w:r>
        <w:rPr>
          <w:rFonts w:hint="eastAsia" w:ascii="宋体" w:hAnsi="宋体"/>
          <w:sz w:val="24"/>
        </w:rPr>
        <w:t>第七章   附件——响应文件格式</w:t>
      </w:r>
    </w:p>
    <w:p w14:paraId="1408C63F">
      <w:pPr>
        <w:tabs>
          <w:tab w:val="left" w:pos="900"/>
        </w:tabs>
        <w:spacing w:before="120" w:line="360" w:lineRule="auto"/>
        <w:ind w:left="893" w:hanging="893"/>
        <w:rPr>
          <w:rFonts w:hint="eastAsia" w:ascii="宋体" w:hAnsi="宋体"/>
          <w:sz w:val="24"/>
        </w:rPr>
      </w:pPr>
      <w:r>
        <w:rPr>
          <w:rFonts w:ascii="宋体" w:hAnsi="宋体"/>
          <w:sz w:val="24"/>
        </w:rPr>
        <w:t>4.2</w:t>
      </w:r>
      <w:r>
        <w:rPr>
          <w:rFonts w:ascii="宋体" w:hAnsi="宋体"/>
          <w:sz w:val="24"/>
        </w:rPr>
        <w:tab/>
      </w:r>
      <w:r>
        <w:rPr>
          <w:rFonts w:hint="eastAsia" w:ascii="宋体" w:hAnsi="宋体"/>
          <w:sz w:val="24"/>
        </w:rPr>
        <w:t>供应商应认真阅读采购文件所有的事项、格式、条款和技术规范等。如供应商没有按照采购文件要求提交全部资料，或者响应文件没有对采购文件在各方面都做出实质性响应是供应商的风险，并可能导致其被拒绝。</w:t>
      </w:r>
    </w:p>
    <w:p w14:paraId="2FAA1164">
      <w:pPr>
        <w:pStyle w:val="6"/>
        <w:spacing w:line="360" w:lineRule="auto"/>
        <w:ind w:left="899" w:hanging="899"/>
        <w:rPr>
          <w:rFonts w:hint="eastAsia" w:hAnsi="宋体"/>
          <w:u w:val="none"/>
        </w:rPr>
      </w:pPr>
      <w:bookmarkStart w:id="68" w:name="_Toc142385493"/>
      <w:bookmarkStart w:id="69" w:name="_Toc130920507"/>
      <w:bookmarkStart w:id="70" w:name="_Toc518991916"/>
      <w:r>
        <w:rPr>
          <w:rFonts w:hint="eastAsia" w:hAnsi="宋体"/>
          <w:u w:val="none"/>
        </w:rPr>
        <w:t>5．采购文件的澄清</w:t>
      </w:r>
      <w:bookmarkEnd w:id="68"/>
      <w:bookmarkEnd w:id="69"/>
      <w:bookmarkEnd w:id="70"/>
    </w:p>
    <w:p w14:paraId="2A69ED24">
      <w:pPr>
        <w:spacing w:before="120" w:line="360" w:lineRule="auto"/>
        <w:ind w:left="895" w:hanging="895"/>
        <w:rPr>
          <w:rFonts w:hint="eastAsia" w:ascii="宋体" w:hAnsi="宋体"/>
          <w:sz w:val="24"/>
        </w:rPr>
      </w:pPr>
      <w:r>
        <w:rPr>
          <w:rFonts w:ascii="宋体" w:hAnsi="宋体"/>
          <w:sz w:val="24"/>
        </w:rPr>
        <w:t>5.1</w:t>
      </w:r>
      <w:r>
        <w:rPr>
          <w:rFonts w:ascii="宋体" w:hAnsi="宋体"/>
          <w:sz w:val="24"/>
        </w:rPr>
        <w:tab/>
      </w:r>
      <w:r>
        <w:rPr>
          <w:rFonts w:hint="eastAsia" w:ascii="宋体" w:hAnsi="宋体"/>
          <w:sz w:val="24"/>
        </w:rPr>
        <w:t>任何要求对采购文件进行澄清的供应商，均应以书面形式通知采购单位。采购人</w:t>
      </w:r>
      <w:r>
        <w:rPr>
          <w:rFonts w:ascii="宋体" w:hAnsi="宋体"/>
          <w:sz w:val="24"/>
        </w:rPr>
        <w:t>及采购代理机构</w:t>
      </w:r>
      <w:r>
        <w:rPr>
          <w:rFonts w:hint="eastAsia" w:ascii="宋体" w:hAnsi="宋体"/>
          <w:sz w:val="24"/>
        </w:rPr>
        <w:t>对采购</w:t>
      </w:r>
      <w:r>
        <w:rPr>
          <w:rFonts w:ascii="宋体" w:hAnsi="宋体"/>
          <w:sz w:val="24"/>
        </w:rPr>
        <w:t>文件的</w:t>
      </w:r>
      <w:r>
        <w:rPr>
          <w:rFonts w:hint="eastAsia" w:ascii="宋体" w:hAnsi="宋体"/>
          <w:sz w:val="24"/>
        </w:rPr>
        <w:t>澄清或修改的</w:t>
      </w:r>
      <w:r>
        <w:rPr>
          <w:rFonts w:ascii="宋体" w:hAnsi="宋体"/>
          <w:sz w:val="24"/>
        </w:rPr>
        <w:t>内容</w:t>
      </w:r>
      <w:r>
        <w:rPr>
          <w:rFonts w:hint="eastAsia" w:ascii="宋体" w:hAnsi="宋体"/>
          <w:sz w:val="24"/>
        </w:rPr>
        <w:t>将在响应文件首次提交截止时间</w:t>
      </w:r>
      <w:r>
        <w:rPr>
          <w:rFonts w:ascii="宋体" w:hAnsi="宋体"/>
          <w:sz w:val="24"/>
        </w:rPr>
        <w:t>5</w:t>
      </w:r>
      <w:r>
        <w:rPr>
          <w:rFonts w:hint="eastAsia" w:ascii="宋体" w:hAnsi="宋体"/>
          <w:sz w:val="24"/>
        </w:rPr>
        <w:t>日以前,以书面形式通知所有</w:t>
      </w:r>
      <w:r>
        <w:rPr>
          <w:rFonts w:ascii="宋体" w:hAnsi="宋体"/>
          <w:sz w:val="24"/>
        </w:rPr>
        <w:t>获取磋商文件的供应商</w:t>
      </w:r>
      <w:r>
        <w:rPr>
          <w:rFonts w:hint="eastAsia" w:ascii="宋体" w:hAnsi="宋体"/>
          <w:sz w:val="24"/>
        </w:rPr>
        <w:t>（答复中不包括问题的来源）。</w:t>
      </w:r>
    </w:p>
    <w:p w14:paraId="3CBB4051">
      <w:pPr>
        <w:pStyle w:val="6"/>
        <w:tabs>
          <w:tab w:val="left" w:pos="900"/>
        </w:tabs>
        <w:spacing w:line="360" w:lineRule="auto"/>
        <w:ind w:left="899" w:hanging="899"/>
        <w:rPr>
          <w:rFonts w:hint="eastAsia" w:hAnsi="宋体"/>
          <w:u w:val="none"/>
        </w:rPr>
      </w:pPr>
      <w:bookmarkStart w:id="71" w:name="_Toc130920508"/>
      <w:bookmarkStart w:id="72" w:name="_Toc518991917"/>
      <w:bookmarkStart w:id="73" w:name="_Toc142385494"/>
      <w:r>
        <w:rPr>
          <w:rFonts w:hint="eastAsia" w:hAnsi="宋体"/>
          <w:u w:val="none"/>
        </w:rPr>
        <w:t>6．采购文件的修改</w:t>
      </w:r>
      <w:bookmarkEnd w:id="71"/>
      <w:bookmarkEnd w:id="72"/>
      <w:bookmarkEnd w:id="73"/>
    </w:p>
    <w:p w14:paraId="769F2CC7">
      <w:pPr>
        <w:pStyle w:val="24"/>
        <w:tabs>
          <w:tab w:val="left" w:pos="900"/>
          <w:tab w:val="clear" w:pos="567"/>
        </w:tabs>
        <w:spacing w:line="360" w:lineRule="auto"/>
        <w:ind w:left="895" w:hanging="895"/>
        <w:rPr>
          <w:rFonts w:hint="eastAsia"/>
        </w:rPr>
      </w:pPr>
      <w:r>
        <w:t>6.1</w:t>
      </w:r>
      <w:r>
        <w:tab/>
      </w:r>
      <w:r>
        <w:rPr>
          <w:rFonts w:hint="eastAsia"/>
        </w:rPr>
        <w:t>在提交响应文件截止日前，采购单位可以对已发出的采购文件进行必要的澄清或者修改，澄清或者修改的内容作为采购文件的组成部分。</w:t>
      </w:r>
    </w:p>
    <w:p w14:paraId="5385C7D3">
      <w:pPr>
        <w:tabs>
          <w:tab w:val="left" w:pos="900"/>
        </w:tabs>
        <w:spacing w:before="120" w:line="360" w:lineRule="auto"/>
        <w:ind w:left="900" w:hanging="900"/>
        <w:rPr>
          <w:rFonts w:hint="eastAsia" w:ascii="宋体" w:hAnsi="宋体"/>
          <w:sz w:val="24"/>
        </w:rPr>
      </w:pPr>
      <w:r>
        <w:rPr>
          <w:rFonts w:ascii="宋体" w:hAnsi="宋体"/>
          <w:sz w:val="24"/>
        </w:rPr>
        <w:t>6.2</w:t>
      </w:r>
      <w:r>
        <w:rPr>
          <w:rFonts w:ascii="宋体" w:hAnsi="宋体"/>
          <w:sz w:val="24"/>
        </w:rPr>
        <w:tab/>
      </w:r>
      <w:r>
        <w:rPr>
          <w:rFonts w:hint="eastAsia" w:ascii="宋体" w:hAnsi="宋体"/>
          <w:sz w:val="24"/>
        </w:rPr>
        <w:t>采购文件的修改应以书面形式通知所有购买采购文件的供应商，并对其具有约束力。供应商在收到上述通知后，应立即向采购单位回函确认。</w:t>
      </w:r>
    </w:p>
    <w:p w14:paraId="4E4FDB78">
      <w:pPr>
        <w:tabs>
          <w:tab w:val="left" w:pos="900"/>
        </w:tabs>
        <w:spacing w:before="120" w:line="360" w:lineRule="auto"/>
        <w:ind w:left="900" w:hanging="900"/>
        <w:rPr>
          <w:rFonts w:hint="eastAsia" w:ascii="宋体" w:hAnsi="宋体"/>
          <w:sz w:val="24"/>
        </w:rPr>
      </w:pPr>
      <w:r>
        <w:rPr>
          <w:rFonts w:ascii="宋体" w:hAnsi="宋体"/>
          <w:sz w:val="24"/>
        </w:rPr>
        <w:t>6.3</w:t>
      </w:r>
      <w:r>
        <w:rPr>
          <w:rFonts w:ascii="宋体" w:hAnsi="宋体"/>
          <w:sz w:val="24"/>
        </w:rPr>
        <w:tab/>
      </w:r>
      <w:r>
        <w:rPr>
          <w:rFonts w:hint="eastAsia" w:ascii="宋体" w:hAnsi="宋体"/>
          <w:sz w:val="24"/>
        </w:rPr>
        <w:t>为使供应商准备磋商时有足够的时间对采购文件的修改部分进行研究，采购单位可延长响应文件提交截止时间和磋商时间。</w:t>
      </w:r>
    </w:p>
    <w:p w14:paraId="68A3610F">
      <w:pPr>
        <w:tabs>
          <w:tab w:val="left" w:pos="900"/>
        </w:tabs>
        <w:spacing w:before="120" w:line="360" w:lineRule="auto"/>
        <w:ind w:left="900" w:hanging="900"/>
        <w:rPr>
          <w:rFonts w:hint="eastAsia" w:ascii="宋体" w:hAnsi="宋体"/>
          <w:sz w:val="24"/>
        </w:rPr>
      </w:pPr>
      <w:r>
        <w:rPr>
          <w:rFonts w:hint="eastAsia" w:ascii="宋体" w:hAnsi="宋体"/>
          <w:sz w:val="24"/>
        </w:rPr>
        <w:t>6.4    采购文件的修改将构成采购文件的一部分，对采购单位和供应商都具有约束力。</w:t>
      </w:r>
    </w:p>
    <w:p w14:paraId="5ECF6DD0">
      <w:pPr>
        <w:tabs>
          <w:tab w:val="left" w:pos="900"/>
        </w:tabs>
        <w:spacing w:before="120" w:line="360" w:lineRule="auto"/>
        <w:ind w:left="900" w:hanging="900"/>
        <w:rPr>
          <w:rFonts w:hint="eastAsia" w:ascii="宋体" w:hAnsi="宋体"/>
          <w:sz w:val="24"/>
        </w:rPr>
      </w:pPr>
      <w:r>
        <w:rPr>
          <w:rFonts w:hint="eastAsia" w:ascii="宋体" w:hAnsi="宋体"/>
          <w:sz w:val="24"/>
        </w:rPr>
        <w:t>6.5    在磋商过程中，磋商小组可以根据采购文件和磋商情况实质性变动采购需求中的技术、服务要求以及合同草案条款，但不得变动采购文件规定的其他实质性内容。实质性变动的内容，须经采购单位代表确认。</w:t>
      </w:r>
    </w:p>
    <w:p w14:paraId="56B4BDF2">
      <w:pPr>
        <w:tabs>
          <w:tab w:val="left" w:pos="900"/>
        </w:tabs>
        <w:spacing w:before="120" w:line="360" w:lineRule="auto"/>
        <w:ind w:left="900" w:hanging="900"/>
        <w:rPr>
          <w:rFonts w:hint="eastAsia" w:ascii="宋体" w:hAnsi="宋体"/>
          <w:sz w:val="24"/>
        </w:rPr>
      </w:pPr>
      <w:r>
        <w:rPr>
          <w:rFonts w:hint="eastAsia" w:ascii="宋体" w:hAnsi="宋体"/>
          <w:sz w:val="24"/>
        </w:rPr>
        <w:t xml:space="preserve">       对采购文件作出的实质性变动是采购文件的有效组成部分，磋商小组将及时以书面形式通知所有参加磋商的供应商。</w:t>
      </w:r>
    </w:p>
    <w:p w14:paraId="6EE7D0A4">
      <w:pPr>
        <w:pStyle w:val="4"/>
        <w:tabs>
          <w:tab w:val="left" w:pos="900"/>
        </w:tabs>
        <w:spacing w:line="360" w:lineRule="auto"/>
        <w:ind w:left="1054" w:hanging="1054"/>
        <w:rPr>
          <w:rFonts w:hint="eastAsia" w:ascii="宋体" w:hAnsi="宋体" w:eastAsia="宋体"/>
          <w:sz w:val="28"/>
          <w:szCs w:val="28"/>
        </w:rPr>
      </w:pPr>
      <w:bookmarkStart w:id="74" w:name="_Toc142385495"/>
      <w:bookmarkStart w:id="75" w:name="_Toc130920509"/>
      <w:bookmarkStart w:id="76" w:name="_Toc518991918"/>
      <w:r>
        <w:rPr>
          <w:rFonts w:hint="eastAsia" w:ascii="宋体" w:hAnsi="宋体" w:eastAsia="宋体"/>
          <w:sz w:val="28"/>
          <w:szCs w:val="28"/>
        </w:rPr>
        <w:t>三   响应文件的编制</w:t>
      </w:r>
      <w:bookmarkEnd w:id="74"/>
      <w:bookmarkEnd w:id="75"/>
      <w:bookmarkEnd w:id="76"/>
    </w:p>
    <w:p w14:paraId="4E3C1AB7">
      <w:pPr>
        <w:pStyle w:val="6"/>
        <w:tabs>
          <w:tab w:val="left" w:pos="900"/>
        </w:tabs>
        <w:spacing w:line="360" w:lineRule="auto"/>
        <w:ind w:left="904" w:hanging="904"/>
        <w:rPr>
          <w:rFonts w:hint="eastAsia" w:hAnsi="宋体"/>
          <w:u w:val="none"/>
        </w:rPr>
      </w:pPr>
      <w:bookmarkStart w:id="77" w:name="_Toc518991919"/>
      <w:bookmarkStart w:id="78" w:name="_Toc142385496"/>
      <w:bookmarkStart w:id="79" w:name="_Toc130920510"/>
      <w:r>
        <w:rPr>
          <w:rFonts w:hAnsi="宋体"/>
          <w:u w:val="none"/>
        </w:rPr>
        <w:t>7</w:t>
      </w:r>
      <w:r>
        <w:rPr>
          <w:rFonts w:hint="eastAsia" w:hAnsi="宋体"/>
          <w:u w:val="none"/>
        </w:rPr>
        <w:t>．报价范围及响应文件中计量单位的使用</w:t>
      </w:r>
      <w:bookmarkEnd w:id="77"/>
      <w:bookmarkEnd w:id="78"/>
      <w:bookmarkEnd w:id="79"/>
    </w:p>
    <w:p w14:paraId="72D9B120">
      <w:pPr>
        <w:tabs>
          <w:tab w:val="left" w:pos="900"/>
        </w:tabs>
        <w:spacing w:before="120" w:line="360" w:lineRule="auto"/>
        <w:ind w:left="900" w:hanging="900"/>
        <w:rPr>
          <w:rFonts w:hint="eastAsia" w:ascii="宋体" w:hAnsi="宋体"/>
          <w:sz w:val="24"/>
        </w:rPr>
      </w:pPr>
      <w:r>
        <w:rPr>
          <w:rFonts w:ascii="宋体" w:hAnsi="宋体"/>
          <w:sz w:val="24"/>
        </w:rPr>
        <w:t>7.1</w:t>
      </w:r>
      <w:r>
        <w:rPr>
          <w:rFonts w:ascii="宋体" w:hAnsi="宋体"/>
          <w:sz w:val="24"/>
        </w:rPr>
        <w:tab/>
      </w:r>
      <w:r>
        <w:rPr>
          <w:rFonts w:hint="eastAsia" w:ascii="宋体" w:hAnsi="宋体"/>
          <w:sz w:val="24"/>
        </w:rPr>
        <w:t>供应商应对采购文件“第四章 技术标准及要求”中所列相关内容进行报价。</w:t>
      </w:r>
    </w:p>
    <w:p w14:paraId="246CFFE1">
      <w:pPr>
        <w:tabs>
          <w:tab w:val="left" w:pos="900"/>
        </w:tabs>
        <w:spacing w:before="120" w:line="360" w:lineRule="auto"/>
        <w:ind w:left="900" w:hanging="900"/>
        <w:rPr>
          <w:rFonts w:hint="eastAsia" w:ascii="宋体" w:hAnsi="宋体"/>
          <w:sz w:val="24"/>
        </w:rPr>
      </w:pPr>
      <w:r>
        <w:rPr>
          <w:rFonts w:ascii="宋体" w:hAnsi="宋体"/>
          <w:sz w:val="24"/>
        </w:rPr>
        <w:t>7.2</w:t>
      </w:r>
      <w:r>
        <w:rPr>
          <w:rFonts w:ascii="宋体" w:hAnsi="宋体"/>
          <w:sz w:val="24"/>
        </w:rPr>
        <w:tab/>
      </w:r>
      <w:r>
        <w:rPr>
          <w:rFonts w:hint="eastAsia" w:ascii="宋体" w:hAnsi="宋体"/>
          <w:sz w:val="24"/>
        </w:rPr>
        <w:t>响应文件中所使用的计量单位，除采购文件中有特殊要求外，应采用中华人民共和国法定计量单位。</w:t>
      </w:r>
    </w:p>
    <w:p w14:paraId="04A119E8">
      <w:pPr>
        <w:pStyle w:val="6"/>
        <w:tabs>
          <w:tab w:val="left" w:pos="900"/>
        </w:tabs>
        <w:spacing w:line="360" w:lineRule="auto"/>
        <w:ind w:left="899" w:hanging="899"/>
        <w:rPr>
          <w:rFonts w:hint="eastAsia" w:hAnsi="宋体"/>
          <w:u w:val="none"/>
        </w:rPr>
      </w:pPr>
      <w:bookmarkStart w:id="80" w:name="_Toc518991920"/>
      <w:bookmarkStart w:id="81" w:name="_Toc130920511"/>
      <w:bookmarkStart w:id="82" w:name="_Toc142385497"/>
      <w:r>
        <w:rPr>
          <w:rFonts w:hAnsi="宋体"/>
          <w:u w:val="none"/>
        </w:rPr>
        <w:t>8</w:t>
      </w:r>
      <w:r>
        <w:rPr>
          <w:rFonts w:hint="eastAsia" w:hAnsi="宋体"/>
          <w:u w:val="none"/>
        </w:rPr>
        <w:t>．响应文件构成</w:t>
      </w:r>
      <w:bookmarkEnd w:id="80"/>
      <w:bookmarkEnd w:id="81"/>
      <w:bookmarkEnd w:id="82"/>
    </w:p>
    <w:p w14:paraId="336B917B">
      <w:pPr>
        <w:tabs>
          <w:tab w:val="left" w:pos="900"/>
        </w:tabs>
        <w:spacing w:before="120" w:line="360" w:lineRule="auto"/>
        <w:ind w:left="900" w:hanging="900"/>
        <w:rPr>
          <w:rFonts w:hint="eastAsia" w:ascii="宋体" w:hAnsi="宋体"/>
          <w:sz w:val="24"/>
        </w:rPr>
      </w:pPr>
      <w:r>
        <w:rPr>
          <w:rFonts w:ascii="宋体" w:hAnsi="宋体"/>
          <w:sz w:val="24"/>
        </w:rPr>
        <w:t>8.1</w:t>
      </w:r>
      <w:r>
        <w:rPr>
          <w:rFonts w:ascii="宋体" w:hAnsi="宋体"/>
          <w:sz w:val="24"/>
        </w:rPr>
        <w:tab/>
      </w:r>
      <w:r>
        <w:rPr>
          <w:rFonts w:hint="eastAsia" w:ascii="宋体" w:hAnsi="宋体"/>
          <w:sz w:val="24"/>
        </w:rPr>
        <w:t>供应商应完整地按采购文件提供的响应文件格式填写响应文件，响应文件应包括以下内容：</w:t>
      </w:r>
    </w:p>
    <w:p w14:paraId="40B8D800">
      <w:pPr>
        <w:pStyle w:val="517"/>
        <w:spacing w:before="120" w:after="120" w:line="320" w:lineRule="exact"/>
        <w:ind w:left="359" w:leftChars="171"/>
        <w:rPr>
          <w:rFonts w:hint="eastAsia" w:ascii="宋体" w:hAnsi="宋体" w:eastAsia="宋体"/>
          <w:sz w:val="24"/>
          <w:szCs w:val="20"/>
        </w:rPr>
      </w:pPr>
      <w:r>
        <w:rPr>
          <w:rFonts w:hint="eastAsia" w:ascii="宋体" w:hAnsi="宋体" w:eastAsia="宋体"/>
          <w:b/>
          <w:sz w:val="24"/>
        </w:rPr>
        <w:t>★</w:t>
      </w:r>
      <w:r>
        <w:rPr>
          <w:rFonts w:hint="eastAsia" w:ascii="宋体" w:hAnsi="宋体" w:eastAsia="宋体"/>
          <w:sz w:val="24"/>
          <w:szCs w:val="20"/>
        </w:rPr>
        <w:t>1、报价函</w:t>
      </w:r>
      <w:r>
        <w:rPr>
          <w:rFonts w:ascii="宋体" w:hAnsi="宋体" w:eastAsia="宋体"/>
          <w:sz w:val="24"/>
          <w:szCs w:val="20"/>
        </w:rPr>
        <w:t xml:space="preserve">   </w:t>
      </w:r>
      <w:r>
        <w:rPr>
          <w:rFonts w:hint="eastAsia" w:ascii="宋体" w:hAnsi="宋体" w:eastAsia="宋体"/>
          <w:sz w:val="24"/>
          <w:szCs w:val="20"/>
        </w:rPr>
        <w:t xml:space="preserve">           </w:t>
      </w:r>
    </w:p>
    <w:p w14:paraId="0E435A4F">
      <w:pPr>
        <w:pStyle w:val="517"/>
        <w:spacing w:before="120" w:after="120" w:line="320" w:lineRule="exact"/>
        <w:ind w:left="359" w:leftChars="171"/>
        <w:rPr>
          <w:rFonts w:hint="eastAsia" w:ascii="宋体" w:hAnsi="宋体" w:eastAsia="宋体"/>
          <w:sz w:val="24"/>
          <w:szCs w:val="20"/>
        </w:rPr>
      </w:pPr>
      <w:r>
        <w:rPr>
          <w:rFonts w:hint="eastAsia" w:ascii="宋体" w:hAnsi="宋体" w:eastAsia="宋体"/>
          <w:b/>
          <w:sz w:val="24"/>
        </w:rPr>
        <w:t>★</w:t>
      </w:r>
      <w:r>
        <w:rPr>
          <w:rFonts w:hint="eastAsia" w:ascii="宋体" w:hAnsi="宋体" w:eastAsia="宋体"/>
          <w:sz w:val="24"/>
          <w:szCs w:val="20"/>
        </w:rPr>
        <w:t>2、法定代表人授权书</w:t>
      </w:r>
      <w:r>
        <w:rPr>
          <w:rFonts w:ascii="宋体" w:hAnsi="宋体" w:eastAsia="宋体"/>
          <w:sz w:val="24"/>
          <w:szCs w:val="20"/>
        </w:rPr>
        <w:t xml:space="preserve">  </w:t>
      </w:r>
      <w:r>
        <w:rPr>
          <w:rFonts w:hint="eastAsia" w:ascii="宋体" w:hAnsi="宋体" w:eastAsia="宋体"/>
          <w:sz w:val="24"/>
          <w:szCs w:val="20"/>
        </w:rPr>
        <w:t xml:space="preserve">        </w:t>
      </w:r>
    </w:p>
    <w:p w14:paraId="48EC482A">
      <w:pPr>
        <w:pStyle w:val="517"/>
        <w:spacing w:before="120" w:after="120" w:line="320" w:lineRule="exact"/>
        <w:ind w:left="359" w:leftChars="171"/>
        <w:rPr>
          <w:rFonts w:hint="eastAsia" w:ascii="宋体" w:hAnsi="宋体" w:eastAsia="宋体"/>
          <w:sz w:val="24"/>
          <w:szCs w:val="20"/>
        </w:rPr>
      </w:pPr>
      <w:r>
        <w:rPr>
          <w:rFonts w:hint="eastAsia" w:ascii="宋体" w:hAnsi="宋体" w:eastAsia="宋体"/>
          <w:b/>
          <w:sz w:val="24"/>
        </w:rPr>
        <w:t>★</w:t>
      </w:r>
      <w:r>
        <w:rPr>
          <w:rFonts w:hint="eastAsia" w:ascii="宋体" w:hAnsi="宋体" w:eastAsia="宋体"/>
          <w:sz w:val="24"/>
          <w:szCs w:val="20"/>
        </w:rPr>
        <w:t>3、已标价工程量清单</w:t>
      </w:r>
      <w:r>
        <w:rPr>
          <w:rFonts w:ascii="宋体" w:hAnsi="宋体" w:eastAsia="宋体"/>
          <w:sz w:val="24"/>
          <w:szCs w:val="20"/>
        </w:rPr>
        <w:t xml:space="preserve"> </w:t>
      </w:r>
      <w:r>
        <w:rPr>
          <w:rFonts w:hint="eastAsia" w:ascii="宋体" w:hAnsi="宋体" w:eastAsia="宋体"/>
          <w:sz w:val="24"/>
          <w:szCs w:val="20"/>
        </w:rPr>
        <w:t xml:space="preserve">   </w:t>
      </w:r>
    </w:p>
    <w:p w14:paraId="2B994754">
      <w:pPr>
        <w:pStyle w:val="517"/>
        <w:spacing w:before="120" w:after="120" w:line="320" w:lineRule="exact"/>
        <w:ind w:left="359" w:leftChars="171" w:firstLine="240" w:firstLineChars="100"/>
        <w:rPr>
          <w:rFonts w:hint="eastAsia" w:ascii="宋体" w:hAnsi="宋体" w:eastAsia="宋体"/>
          <w:sz w:val="24"/>
          <w:szCs w:val="20"/>
        </w:rPr>
      </w:pPr>
      <w:r>
        <w:rPr>
          <w:rFonts w:hint="eastAsia" w:ascii="宋体" w:hAnsi="宋体" w:eastAsia="宋体"/>
          <w:sz w:val="24"/>
          <w:szCs w:val="20"/>
        </w:rPr>
        <w:t>4、资格证明文件</w:t>
      </w:r>
      <w:r>
        <w:rPr>
          <w:rFonts w:ascii="宋体" w:hAnsi="宋体" w:eastAsia="宋体"/>
          <w:sz w:val="24"/>
          <w:szCs w:val="20"/>
        </w:rPr>
        <w:t xml:space="preserve">  </w:t>
      </w:r>
      <w:r>
        <w:rPr>
          <w:rFonts w:hint="eastAsia" w:ascii="宋体" w:hAnsi="宋体" w:eastAsia="宋体"/>
          <w:sz w:val="24"/>
          <w:szCs w:val="20"/>
        </w:rPr>
        <w:t xml:space="preserve">   </w:t>
      </w:r>
    </w:p>
    <w:p w14:paraId="325233B7">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sz w:val="24"/>
        </w:rPr>
        <w:t>★4</w:t>
      </w:r>
      <w:r>
        <w:rPr>
          <w:rFonts w:ascii="宋体" w:hAnsi="宋体"/>
          <w:sz w:val="24"/>
        </w:rPr>
        <w:t>.1有效的</w:t>
      </w:r>
      <w:r>
        <w:rPr>
          <w:rFonts w:hint="eastAsia" w:ascii="宋体" w:hAnsi="宋体"/>
          <w:sz w:val="24"/>
        </w:rPr>
        <w:t>企业</w:t>
      </w:r>
      <w:r>
        <w:rPr>
          <w:rFonts w:hint="eastAsia" w:ascii="宋体" w:hAnsi="宋体" w:cs="宋体"/>
          <w:kern w:val="0"/>
          <w:sz w:val="24"/>
          <w:lang w:val="zh-CN"/>
        </w:rPr>
        <w:t>法人营业执照</w:t>
      </w:r>
      <w:r>
        <w:rPr>
          <w:rFonts w:hint="eastAsia" w:ascii="宋体" w:hAnsi="宋体"/>
          <w:sz w:val="24"/>
        </w:rPr>
        <w:t>及有效的资质证书</w:t>
      </w:r>
      <w:r>
        <w:rPr>
          <w:rFonts w:ascii="宋体" w:hAnsi="宋体"/>
          <w:sz w:val="24"/>
        </w:rPr>
        <w:t>（复印件加盖公章）；</w:t>
      </w:r>
    </w:p>
    <w:p w14:paraId="1696B0ED">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b/>
          <w:sz w:val="24"/>
        </w:rPr>
        <w:t>★</w:t>
      </w:r>
      <w:r>
        <w:rPr>
          <w:rFonts w:hint="eastAsia" w:ascii="宋体" w:hAnsi="宋体"/>
          <w:sz w:val="24"/>
        </w:rPr>
        <w:t>4</w:t>
      </w:r>
      <w:r>
        <w:rPr>
          <w:rFonts w:ascii="宋体" w:hAnsi="宋体"/>
          <w:sz w:val="24"/>
        </w:rPr>
        <w:t>.2</w:t>
      </w:r>
      <w:r>
        <w:rPr>
          <w:rFonts w:hint="eastAsia" w:ascii="宋体" w:hAnsi="宋体"/>
          <w:sz w:val="24"/>
        </w:rPr>
        <w:t>依法缴纳税收和</w:t>
      </w:r>
      <w:r>
        <w:rPr>
          <w:rFonts w:ascii="宋体" w:hAnsi="宋体"/>
          <w:sz w:val="24"/>
        </w:rPr>
        <w:t>社会保障资金</w:t>
      </w:r>
      <w:r>
        <w:rPr>
          <w:rFonts w:hint="eastAsia" w:ascii="宋体" w:hAnsi="宋体"/>
          <w:sz w:val="24"/>
        </w:rPr>
        <w:t>的良好记录的声明承诺书</w:t>
      </w:r>
      <w:r>
        <w:rPr>
          <w:rFonts w:ascii="宋体" w:hAnsi="宋体"/>
          <w:sz w:val="24"/>
        </w:rPr>
        <w:t>；</w:t>
      </w:r>
    </w:p>
    <w:p w14:paraId="2E0E257A">
      <w:pPr>
        <w:spacing w:line="360" w:lineRule="auto"/>
        <w:ind w:left="899" w:leftChars="428"/>
        <w:rPr>
          <w:rFonts w:hint="eastAsia" w:ascii="宋体" w:hAnsi="宋体"/>
          <w:sz w:val="24"/>
        </w:rPr>
      </w:pPr>
      <w:r>
        <w:rPr>
          <w:rFonts w:hint="eastAsia" w:ascii="宋体" w:hAnsi="宋体"/>
          <w:b/>
          <w:sz w:val="24"/>
        </w:rPr>
        <w:t>★</w:t>
      </w:r>
      <w:r>
        <w:rPr>
          <w:rFonts w:hint="eastAsia" w:ascii="宋体" w:hAnsi="宋体"/>
          <w:sz w:val="24"/>
        </w:rPr>
        <w:t>4.3</w:t>
      </w:r>
      <w:r>
        <w:rPr>
          <w:rFonts w:hint="eastAsia" w:ascii="宋体" w:hAnsi="宋体" w:cs="宋体"/>
          <w:kern w:val="0"/>
          <w:sz w:val="24"/>
          <w:lang w:val="zh-CN"/>
        </w:rPr>
        <w:t>参加本次采购活动前三年</w:t>
      </w:r>
      <w:r>
        <w:rPr>
          <w:rFonts w:hint="eastAsia" w:ascii="宋体" w:hAnsi="宋体" w:cs="宋体"/>
          <w:kern w:val="0"/>
          <w:sz w:val="24"/>
        </w:rPr>
        <w:t>（2021年10月8日至响应文件递交截止之日）</w:t>
      </w:r>
      <w:r>
        <w:rPr>
          <w:rFonts w:hint="eastAsia" w:ascii="宋体" w:hAnsi="宋体" w:cs="宋体"/>
          <w:kern w:val="0"/>
          <w:sz w:val="24"/>
          <w:lang w:val="zh-CN"/>
        </w:rPr>
        <w:t>内</w:t>
      </w:r>
      <w:r>
        <w:rPr>
          <w:rFonts w:hint="eastAsia" w:ascii="宋体" w:hAnsi="宋体" w:cs="宋体"/>
          <w:kern w:val="0"/>
          <w:sz w:val="24"/>
        </w:rPr>
        <w:t>，</w:t>
      </w:r>
      <w:r>
        <w:rPr>
          <w:rFonts w:hint="eastAsia" w:ascii="宋体" w:hAnsi="宋体" w:cs="宋体"/>
          <w:kern w:val="0"/>
          <w:sz w:val="24"/>
          <w:lang w:val="zh-CN"/>
        </w:rPr>
        <w:t>未被</w:t>
      </w:r>
      <w:r>
        <w:rPr>
          <w:rFonts w:hint="eastAsia" w:ascii="宋体" w:hAnsi="宋体" w:cs="宋体"/>
          <w:kern w:val="0"/>
          <w:sz w:val="24"/>
        </w:rPr>
        <w:t>“</w:t>
      </w:r>
      <w:r>
        <w:rPr>
          <w:rFonts w:hint="eastAsia" w:ascii="宋体" w:hAnsi="宋体" w:cs="宋体"/>
          <w:kern w:val="0"/>
          <w:sz w:val="24"/>
          <w:lang w:val="zh-CN"/>
        </w:rPr>
        <w:t>信用中国</w:t>
      </w:r>
      <w:r>
        <w:rPr>
          <w:rFonts w:hint="eastAsia" w:ascii="宋体" w:hAnsi="宋体" w:cs="宋体"/>
          <w:kern w:val="0"/>
          <w:sz w:val="24"/>
        </w:rPr>
        <w:t>”（https://www.creditchina.gov.cn/）</w:t>
      </w:r>
      <w:r>
        <w:rPr>
          <w:rFonts w:hint="eastAsia" w:ascii="宋体" w:hAnsi="宋体" w:cs="宋体"/>
          <w:kern w:val="0"/>
          <w:sz w:val="24"/>
          <w:lang w:val="zh-CN"/>
        </w:rPr>
        <w:t>网站列入失信被执行人和重大税收违法失信主体、未被</w:t>
      </w:r>
      <w:r>
        <w:rPr>
          <w:rFonts w:hint="eastAsia" w:ascii="宋体" w:hAnsi="宋体" w:cs="宋体"/>
          <w:kern w:val="0"/>
          <w:sz w:val="24"/>
        </w:rPr>
        <w:t>“</w:t>
      </w:r>
      <w:r>
        <w:rPr>
          <w:rFonts w:hint="eastAsia" w:ascii="宋体" w:hAnsi="宋体" w:cs="宋体"/>
          <w:kern w:val="0"/>
          <w:sz w:val="24"/>
          <w:lang w:val="zh-CN"/>
        </w:rPr>
        <w:t>中国政府采购网</w:t>
      </w:r>
      <w:r>
        <w:rPr>
          <w:rFonts w:hint="eastAsia" w:ascii="宋体" w:hAnsi="宋体" w:cs="宋体"/>
          <w:kern w:val="0"/>
          <w:sz w:val="24"/>
        </w:rPr>
        <w:t>”（http://www.ccgp.gov.cn）</w:t>
      </w:r>
      <w:r>
        <w:rPr>
          <w:rFonts w:hint="eastAsia" w:ascii="宋体" w:hAnsi="宋体" w:cs="宋体"/>
          <w:kern w:val="0"/>
          <w:sz w:val="24"/>
          <w:lang w:val="zh-CN"/>
        </w:rPr>
        <w:t>网站列入政府采购严重违法失信行为记录名单</w:t>
      </w:r>
      <w:r>
        <w:rPr>
          <w:rFonts w:hint="eastAsia" w:ascii="宋体" w:hAnsi="宋体" w:cs="宋体"/>
          <w:kern w:val="0"/>
          <w:sz w:val="24"/>
        </w:rPr>
        <w:t>（</w:t>
      </w:r>
      <w:r>
        <w:rPr>
          <w:rFonts w:hint="eastAsia" w:ascii="宋体" w:hAnsi="宋体" w:cs="宋体"/>
          <w:kern w:val="0"/>
          <w:sz w:val="24"/>
          <w:lang w:val="zh-CN"/>
        </w:rPr>
        <w:t>或处罚期限届满的</w:t>
      </w:r>
      <w:r>
        <w:rPr>
          <w:rFonts w:hint="eastAsia" w:ascii="宋体" w:hAnsi="宋体" w:cs="宋体"/>
          <w:kern w:val="0"/>
          <w:sz w:val="24"/>
        </w:rPr>
        <w:t>）的声明；</w:t>
      </w:r>
    </w:p>
    <w:p w14:paraId="6FC087B1">
      <w:pPr>
        <w:spacing w:line="360" w:lineRule="auto"/>
        <w:ind w:left="899" w:leftChars="428"/>
        <w:rPr>
          <w:rFonts w:hint="eastAsia" w:ascii="宋体" w:hAnsi="宋体"/>
          <w:sz w:val="24"/>
        </w:rPr>
      </w:pPr>
      <w:r>
        <w:rPr>
          <w:rFonts w:hint="eastAsia" w:ascii="宋体" w:hAnsi="宋体"/>
          <w:b/>
          <w:sz w:val="24"/>
        </w:rPr>
        <w:t>★</w:t>
      </w:r>
      <w:r>
        <w:rPr>
          <w:rFonts w:hint="eastAsia" w:ascii="宋体" w:hAnsi="宋体"/>
          <w:sz w:val="24"/>
        </w:rPr>
        <w:t>4.4供应商无不良行为记录，企业信誉良好等资信承诺书（格式自拟）；</w:t>
      </w:r>
    </w:p>
    <w:p w14:paraId="4822915A">
      <w:pPr>
        <w:spacing w:line="360" w:lineRule="auto"/>
        <w:ind w:left="899" w:leftChars="428"/>
        <w:rPr>
          <w:rFonts w:hint="eastAsia" w:ascii="宋体" w:hAnsi="宋体"/>
          <w:sz w:val="24"/>
        </w:rPr>
      </w:pPr>
      <w:r>
        <w:rPr>
          <w:rFonts w:hint="eastAsia" w:ascii="宋体" w:hAnsi="宋体"/>
          <w:b/>
          <w:sz w:val="24"/>
        </w:rPr>
        <w:t>★</w:t>
      </w:r>
      <w:r>
        <w:rPr>
          <w:rFonts w:hint="eastAsia" w:ascii="宋体" w:hAnsi="宋体"/>
          <w:sz w:val="24"/>
        </w:rPr>
        <w:t>4.5</w:t>
      </w:r>
      <w:r>
        <w:rPr>
          <w:rFonts w:hint="eastAsia" w:ascii="宋体" w:hAnsi="宋体"/>
          <w:kern w:val="0"/>
          <w:sz w:val="24"/>
        </w:rPr>
        <w:t>供应商基本情况表</w:t>
      </w:r>
      <w:r>
        <w:rPr>
          <w:rFonts w:ascii="宋体" w:hAnsi="宋体"/>
          <w:sz w:val="24"/>
        </w:rPr>
        <w:t>；</w:t>
      </w:r>
    </w:p>
    <w:p w14:paraId="712F13DE">
      <w:pPr>
        <w:tabs>
          <w:tab w:val="left" w:pos="1619"/>
        </w:tabs>
        <w:spacing w:line="360" w:lineRule="auto"/>
        <w:ind w:left="899" w:leftChars="428"/>
        <w:rPr>
          <w:rFonts w:hint="eastAsia" w:ascii="宋体" w:hAnsi="宋体"/>
          <w:bCs/>
          <w:sz w:val="24"/>
        </w:rPr>
      </w:pPr>
      <w:r>
        <w:rPr>
          <w:rFonts w:hint="eastAsia" w:ascii="宋体" w:hAnsi="宋体"/>
          <w:b/>
          <w:sz w:val="24"/>
        </w:rPr>
        <w:t>★</w:t>
      </w:r>
      <w:r>
        <w:rPr>
          <w:rFonts w:hint="eastAsia" w:ascii="宋体" w:hAnsi="宋体"/>
          <w:bCs/>
          <w:sz w:val="24"/>
        </w:rPr>
        <w:t>4</w:t>
      </w:r>
      <w:r>
        <w:rPr>
          <w:rFonts w:ascii="宋体" w:hAnsi="宋体"/>
          <w:bCs/>
          <w:sz w:val="24"/>
        </w:rPr>
        <w:t>.6</w:t>
      </w:r>
      <w:r>
        <w:rPr>
          <w:rFonts w:hint="eastAsia" w:ascii="宋体" w:hAnsi="宋体"/>
          <w:bCs/>
          <w:sz w:val="24"/>
        </w:rPr>
        <w:t>单位负责人不为同一人或者不存在直接控股、管理关系的供应商承诺（格式自拟）；</w:t>
      </w:r>
    </w:p>
    <w:p w14:paraId="361A1440">
      <w:pPr>
        <w:tabs>
          <w:tab w:val="left" w:pos="1619"/>
        </w:tabs>
        <w:spacing w:line="360" w:lineRule="auto"/>
        <w:ind w:left="899" w:leftChars="428"/>
        <w:rPr>
          <w:rFonts w:hint="eastAsia" w:ascii="宋体" w:hAnsi="宋体"/>
          <w:b/>
          <w:sz w:val="24"/>
        </w:rPr>
      </w:pPr>
      <w:r>
        <w:rPr>
          <w:rFonts w:hint="eastAsia" w:ascii="宋体" w:hAnsi="宋体"/>
          <w:b/>
          <w:sz w:val="24"/>
        </w:rPr>
        <w:t>★</w:t>
      </w:r>
      <w:r>
        <w:rPr>
          <w:rFonts w:hint="eastAsia" w:ascii="宋体" w:hAnsi="宋体"/>
          <w:bCs/>
          <w:sz w:val="24"/>
        </w:rPr>
        <w:t>4</w:t>
      </w:r>
      <w:r>
        <w:rPr>
          <w:rFonts w:ascii="宋体" w:hAnsi="宋体"/>
          <w:bCs/>
          <w:sz w:val="24"/>
        </w:rPr>
        <w:t>.7</w:t>
      </w:r>
      <w:r>
        <w:rPr>
          <w:rFonts w:hint="eastAsia" w:ascii="宋体" w:hAnsi="宋体"/>
          <w:bCs/>
          <w:sz w:val="24"/>
        </w:rPr>
        <w:t>不为本项目提供整体设计、规范编制或者项目管理、监理、检测等服务的供应商的承诺；（格式自拟）</w:t>
      </w:r>
    </w:p>
    <w:p w14:paraId="2187A49B">
      <w:pPr>
        <w:spacing w:line="360" w:lineRule="auto"/>
        <w:ind w:left="899" w:leftChars="428"/>
        <w:rPr>
          <w:rFonts w:hint="eastAsia" w:ascii="宋体" w:hAnsi="宋体"/>
          <w:sz w:val="24"/>
        </w:rPr>
      </w:pPr>
      <w:r>
        <w:rPr>
          <w:rFonts w:hint="eastAsia" w:ascii="宋体" w:hAnsi="宋体"/>
          <w:b/>
          <w:sz w:val="24"/>
        </w:rPr>
        <w:t>★</w:t>
      </w:r>
      <w:r>
        <w:rPr>
          <w:rFonts w:hint="eastAsia" w:ascii="宋体" w:hAnsi="宋体"/>
          <w:sz w:val="24"/>
        </w:rPr>
        <w:t>4.8中小企业声明函；</w:t>
      </w:r>
    </w:p>
    <w:p w14:paraId="6BC2A17A">
      <w:pPr>
        <w:spacing w:line="360" w:lineRule="auto"/>
        <w:ind w:left="899" w:leftChars="428"/>
        <w:rPr>
          <w:rFonts w:hint="eastAsia" w:ascii="宋体" w:hAnsi="宋体"/>
          <w:sz w:val="24"/>
        </w:rPr>
      </w:pPr>
      <w:r>
        <w:rPr>
          <w:rFonts w:hint="eastAsia" w:ascii="宋体" w:hAnsi="宋体"/>
          <w:sz w:val="24"/>
        </w:rPr>
        <w:t>4.9</w:t>
      </w:r>
      <w:r>
        <w:rPr>
          <w:rFonts w:hint="eastAsia" w:ascii="宋体" w:hAnsi="宋体" w:cs="宋体"/>
          <w:kern w:val="0"/>
          <w:sz w:val="24"/>
        </w:rPr>
        <w:t>残疾人福利性单位声明函；</w:t>
      </w:r>
    </w:p>
    <w:p w14:paraId="24B9B6FD">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sz w:val="24"/>
        </w:rPr>
        <w:t>4</w:t>
      </w:r>
      <w:r>
        <w:rPr>
          <w:rFonts w:ascii="宋体" w:hAnsi="宋体"/>
          <w:sz w:val="24"/>
        </w:rPr>
        <w:t>.</w:t>
      </w:r>
      <w:r>
        <w:rPr>
          <w:rFonts w:hint="eastAsia" w:ascii="宋体" w:hAnsi="宋体"/>
          <w:sz w:val="24"/>
        </w:rPr>
        <w:t>10</w:t>
      </w:r>
      <w:r>
        <w:rPr>
          <w:rFonts w:ascii="宋体" w:hAnsi="宋体"/>
          <w:sz w:val="24"/>
        </w:rPr>
        <w:t>业绩</w:t>
      </w:r>
      <w:r>
        <w:rPr>
          <w:rFonts w:hint="eastAsia" w:ascii="宋体" w:hAnsi="宋体"/>
          <w:sz w:val="24"/>
        </w:rPr>
        <w:t>情况</w:t>
      </w:r>
      <w:r>
        <w:rPr>
          <w:rFonts w:ascii="宋体" w:hAnsi="宋体"/>
          <w:sz w:val="24"/>
        </w:rPr>
        <w:t>表；</w:t>
      </w:r>
    </w:p>
    <w:p w14:paraId="03ADD085">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sz w:val="24"/>
        </w:rPr>
        <w:t>4.11拟投入本项目的主要人员；</w:t>
      </w:r>
    </w:p>
    <w:p w14:paraId="3E25322B">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sz w:val="24"/>
        </w:rPr>
        <w:t>4.12可投入及拟投入施工机械设备。</w:t>
      </w:r>
    </w:p>
    <w:p w14:paraId="340269C6">
      <w:pPr>
        <w:spacing w:line="360" w:lineRule="auto"/>
        <w:ind w:firstLine="600" w:firstLineChars="250"/>
        <w:rPr>
          <w:rFonts w:hint="eastAsia" w:ascii="宋体" w:hAnsi="宋体"/>
          <w:sz w:val="24"/>
        </w:rPr>
      </w:pPr>
      <w:r>
        <w:rPr>
          <w:rFonts w:hint="eastAsia" w:ascii="宋体" w:hAnsi="宋体"/>
          <w:sz w:val="24"/>
        </w:rPr>
        <w:t>5、施工组织设计（格式自拟）</w:t>
      </w:r>
    </w:p>
    <w:p w14:paraId="5BA095B6">
      <w:pPr>
        <w:tabs>
          <w:tab w:val="left" w:pos="720"/>
        </w:tabs>
        <w:autoSpaceDE w:val="0"/>
        <w:autoSpaceDN w:val="0"/>
        <w:adjustRightInd w:val="0"/>
        <w:spacing w:line="360" w:lineRule="auto"/>
        <w:ind w:right="17" w:firstLine="600" w:firstLineChars="250"/>
        <w:jc w:val="left"/>
        <w:rPr>
          <w:rFonts w:hint="eastAsia" w:ascii="宋体" w:hAnsi="宋体"/>
          <w:sz w:val="24"/>
        </w:rPr>
      </w:pPr>
      <w:r>
        <w:rPr>
          <w:rFonts w:hint="eastAsia" w:ascii="宋体" w:hAnsi="宋体"/>
          <w:sz w:val="24"/>
        </w:rPr>
        <w:t>6、采购文件要求的其它文件及供应商认为有必要提供的其它文件。</w:t>
      </w:r>
    </w:p>
    <w:p w14:paraId="3A9C5D94">
      <w:pPr>
        <w:spacing w:before="120" w:line="360" w:lineRule="auto"/>
        <w:rPr>
          <w:rFonts w:hint="eastAsia" w:ascii="宋体" w:hAnsi="宋体"/>
          <w:sz w:val="24"/>
        </w:rPr>
      </w:pPr>
      <w:r>
        <w:rPr>
          <w:rFonts w:ascii="宋体" w:hAnsi="宋体"/>
          <w:sz w:val="24"/>
        </w:rPr>
        <w:t>8.2</w:t>
      </w:r>
      <w:r>
        <w:rPr>
          <w:rFonts w:ascii="宋体" w:hAnsi="宋体"/>
          <w:sz w:val="24"/>
        </w:rPr>
        <w:tab/>
      </w:r>
      <w:r>
        <w:rPr>
          <w:rFonts w:hint="eastAsia" w:ascii="宋体" w:hAnsi="宋体"/>
          <w:sz w:val="24"/>
        </w:rPr>
        <w:t xml:space="preserve">    除上述8</w:t>
      </w:r>
      <w:r>
        <w:rPr>
          <w:rFonts w:ascii="宋体" w:hAnsi="宋体"/>
          <w:sz w:val="24"/>
        </w:rPr>
        <w:t>.1</w:t>
      </w:r>
      <w:r>
        <w:rPr>
          <w:rFonts w:hint="eastAsia" w:ascii="宋体" w:hAnsi="宋体"/>
          <w:sz w:val="24"/>
        </w:rPr>
        <w:t>条外，响应文件还应包括本须知第9条的所有文件。</w:t>
      </w:r>
    </w:p>
    <w:p w14:paraId="1BBED747">
      <w:pPr>
        <w:pStyle w:val="6"/>
        <w:tabs>
          <w:tab w:val="left" w:pos="900"/>
        </w:tabs>
        <w:spacing w:line="360" w:lineRule="auto"/>
        <w:ind w:left="899" w:hanging="899"/>
        <w:rPr>
          <w:rFonts w:hint="eastAsia" w:hAnsi="宋体"/>
          <w:u w:val="none"/>
        </w:rPr>
      </w:pPr>
      <w:bookmarkStart w:id="83" w:name="_Toc130920512"/>
      <w:bookmarkStart w:id="84" w:name="_Toc518991921"/>
      <w:bookmarkStart w:id="85" w:name="_Toc142385498"/>
      <w:r>
        <w:rPr>
          <w:rFonts w:hAnsi="宋体"/>
          <w:u w:val="none"/>
        </w:rPr>
        <w:t>9</w:t>
      </w:r>
      <w:r>
        <w:rPr>
          <w:rFonts w:hint="eastAsia" w:hAnsi="宋体"/>
          <w:u w:val="none"/>
        </w:rPr>
        <w:t>．证明工程/货物/服务的合格性和符合采购文件规定的文件</w:t>
      </w:r>
      <w:bookmarkEnd w:id="83"/>
      <w:bookmarkEnd w:id="84"/>
      <w:bookmarkEnd w:id="85"/>
    </w:p>
    <w:p w14:paraId="03557079">
      <w:pPr>
        <w:spacing w:before="120" w:line="360" w:lineRule="auto"/>
        <w:ind w:left="900" w:hanging="900"/>
        <w:rPr>
          <w:rFonts w:hint="eastAsia" w:ascii="宋体" w:hAnsi="宋体"/>
          <w:sz w:val="24"/>
        </w:rPr>
      </w:pPr>
      <w:r>
        <w:rPr>
          <w:rFonts w:ascii="宋体" w:hAnsi="宋体"/>
          <w:sz w:val="24"/>
        </w:rPr>
        <w:t>9.1</w:t>
      </w:r>
      <w:r>
        <w:rPr>
          <w:rFonts w:ascii="宋体" w:hAnsi="宋体"/>
          <w:sz w:val="24"/>
        </w:rPr>
        <w:tab/>
      </w:r>
      <w:r>
        <w:rPr>
          <w:rFonts w:hint="eastAsia" w:ascii="宋体" w:hAnsi="宋体"/>
          <w:sz w:val="24"/>
        </w:rPr>
        <w:t>供应商应提交证明文件，证明其拟提供的合同项下工程/货物/服务的合格性和符合采购文件规定。该证明文件是响应文件的一部分。</w:t>
      </w:r>
    </w:p>
    <w:p w14:paraId="7FC895D7">
      <w:pPr>
        <w:spacing w:before="120" w:line="360" w:lineRule="auto"/>
        <w:ind w:left="900" w:hanging="900"/>
        <w:rPr>
          <w:rFonts w:hint="eastAsia" w:ascii="宋体" w:hAnsi="宋体"/>
          <w:sz w:val="24"/>
        </w:rPr>
      </w:pPr>
      <w:r>
        <w:rPr>
          <w:rFonts w:ascii="宋体" w:hAnsi="宋体"/>
          <w:sz w:val="24"/>
        </w:rPr>
        <w:t>9.2</w:t>
      </w:r>
      <w:r>
        <w:rPr>
          <w:rFonts w:ascii="宋体" w:hAnsi="宋体"/>
          <w:sz w:val="24"/>
        </w:rPr>
        <w:tab/>
      </w:r>
      <w:r>
        <w:rPr>
          <w:rFonts w:hint="eastAsia" w:ascii="宋体" w:hAnsi="宋体"/>
          <w:sz w:val="24"/>
        </w:rPr>
        <w:t>上款所述的证明文件，可以是文字资料、图纸和数据，它包括：</w:t>
      </w:r>
    </w:p>
    <w:p w14:paraId="4D2948AD">
      <w:pPr>
        <w:spacing w:before="120" w:line="360" w:lineRule="auto"/>
        <w:ind w:left="900" w:hanging="900"/>
        <w:rPr>
          <w:rFonts w:hint="eastAsia" w:ascii="宋体" w:hAnsi="宋体"/>
          <w:sz w:val="24"/>
        </w:rPr>
      </w:pPr>
      <w:r>
        <w:rPr>
          <w:rFonts w:ascii="宋体" w:hAnsi="宋体"/>
          <w:sz w:val="24"/>
        </w:rPr>
        <w:t>9.2.1</w:t>
      </w:r>
      <w:r>
        <w:rPr>
          <w:rFonts w:ascii="宋体" w:hAnsi="宋体"/>
          <w:sz w:val="24"/>
        </w:rPr>
        <w:tab/>
      </w:r>
      <w:r>
        <w:rPr>
          <w:rFonts w:hint="eastAsia" w:ascii="宋体" w:hAnsi="宋体"/>
          <w:sz w:val="24"/>
        </w:rPr>
        <w:t>主要工程/货物/服务要求和服务方案的详细说明；</w:t>
      </w:r>
    </w:p>
    <w:p w14:paraId="43D5F116">
      <w:pPr>
        <w:spacing w:before="120" w:line="360" w:lineRule="auto"/>
        <w:ind w:left="900" w:hanging="900"/>
        <w:rPr>
          <w:rFonts w:hint="eastAsia" w:ascii="宋体" w:hAnsi="宋体"/>
          <w:sz w:val="24"/>
        </w:rPr>
      </w:pPr>
      <w:r>
        <w:rPr>
          <w:rFonts w:hint="eastAsia" w:ascii="宋体" w:hAnsi="宋体"/>
          <w:sz w:val="24"/>
        </w:rPr>
        <w:t>9.2.</w:t>
      </w:r>
      <w:r>
        <w:rPr>
          <w:rFonts w:ascii="宋体" w:hAnsi="宋体"/>
          <w:sz w:val="24"/>
        </w:rPr>
        <w:t>2</w:t>
      </w:r>
      <w:r>
        <w:rPr>
          <w:rFonts w:hint="eastAsia" w:ascii="宋体" w:hAnsi="宋体"/>
          <w:sz w:val="24"/>
        </w:rPr>
        <w:tab/>
      </w:r>
      <w:r>
        <w:rPr>
          <w:rFonts w:hint="eastAsia" w:ascii="宋体" w:hAnsi="宋体"/>
          <w:sz w:val="24"/>
        </w:rPr>
        <w:t>对照采购文件技术要求，逐条说明所提供服务已对采购文件的服要求做出了实质性的响应，或申明与服务要求条文的偏差和例外。</w:t>
      </w:r>
    </w:p>
    <w:p w14:paraId="018EA37A">
      <w:pPr>
        <w:spacing w:before="120" w:line="360" w:lineRule="auto"/>
        <w:ind w:left="900" w:hanging="900"/>
        <w:rPr>
          <w:rFonts w:hint="eastAsia" w:ascii="宋体" w:hAnsi="宋体"/>
          <w:sz w:val="24"/>
        </w:rPr>
      </w:pPr>
      <w:r>
        <w:rPr>
          <w:rFonts w:hint="eastAsia" w:ascii="宋体" w:hAnsi="宋体"/>
          <w:sz w:val="24"/>
        </w:rPr>
        <w:t>9</w:t>
      </w:r>
      <w:r>
        <w:rPr>
          <w:rFonts w:ascii="宋体" w:hAnsi="宋体"/>
          <w:sz w:val="24"/>
        </w:rPr>
        <w:t xml:space="preserve">.2.3   </w:t>
      </w:r>
      <w:r>
        <w:rPr>
          <w:rFonts w:hint="eastAsia" w:ascii="宋体" w:hAnsi="宋体"/>
          <w:sz w:val="24"/>
        </w:rPr>
        <w:t>采购文件要求的或者供应商认为必要的其它要求内容。</w:t>
      </w:r>
    </w:p>
    <w:p w14:paraId="58222190">
      <w:pPr>
        <w:pStyle w:val="6"/>
        <w:spacing w:line="360" w:lineRule="auto"/>
        <w:rPr>
          <w:rFonts w:hint="eastAsia" w:hAnsi="宋体"/>
          <w:u w:val="none"/>
        </w:rPr>
      </w:pPr>
      <w:bookmarkStart w:id="86" w:name="_Toc518991922"/>
      <w:bookmarkStart w:id="87" w:name="_Toc142385499"/>
      <w:bookmarkStart w:id="88" w:name="_Toc130920513"/>
      <w:r>
        <w:rPr>
          <w:rFonts w:hAnsi="宋体"/>
          <w:u w:val="none"/>
        </w:rPr>
        <w:t>10.</w:t>
      </w:r>
      <w:r>
        <w:rPr>
          <w:rFonts w:hAnsi="宋体"/>
          <w:u w:val="none"/>
        </w:rPr>
        <w:tab/>
      </w:r>
      <w:r>
        <w:rPr>
          <w:rFonts w:hAnsi="宋体"/>
          <w:u w:val="none"/>
        </w:rPr>
        <w:tab/>
      </w:r>
      <w:r>
        <w:rPr>
          <w:rFonts w:hint="eastAsia" w:hAnsi="宋体"/>
          <w:u w:val="none"/>
        </w:rPr>
        <w:t>报价要求</w:t>
      </w:r>
      <w:bookmarkEnd w:id="86"/>
      <w:bookmarkEnd w:id="87"/>
      <w:bookmarkEnd w:id="88"/>
    </w:p>
    <w:p w14:paraId="306E6B87">
      <w:pPr>
        <w:spacing w:line="360" w:lineRule="auto"/>
        <w:ind w:left="900" w:hanging="900"/>
        <w:rPr>
          <w:rFonts w:hint="eastAsia" w:ascii="宋体" w:hAnsi="宋体"/>
          <w:sz w:val="24"/>
        </w:rPr>
      </w:pPr>
      <w:r>
        <w:rPr>
          <w:rFonts w:ascii="宋体" w:hAnsi="宋体"/>
          <w:sz w:val="24"/>
        </w:rPr>
        <w:t>10.1</w:t>
      </w:r>
      <w:r>
        <w:rPr>
          <w:rFonts w:ascii="宋体" w:hAnsi="宋体"/>
          <w:sz w:val="24"/>
        </w:rPr>
        <w:tab/>
      </w:r>
      <w:r>
        <w:rPr>
          <w:rFonts w:hint="eastAsia" w:ascii="宋体" w:hAnsi="宋体"/>
          <w:sz w:val="24"/>
        </w:rPr>
        <w:t>所有报价均以人民币报价，本项目招标控制价为：</w:t>
      </w:r>
      <w:r>
        <w:rPr>
          <w:rFonts w:ascii="宋体" w:hAnsi="宋体"/>
          <w:sz w:val="24"/>
          <w:u w:val="single"/>
        </w:rPr>
        <w:t>742135.63</w:t>
      </w:r>
      <w:r>
        <w:rPr>
          <w:rFonts w:hint="eastAsia" w:ascii="宋体" w:hAnsi="宋体"/>
          <w:sz w:val="24"/>
          <w:u w:val="single"/>
        </w:rPr>
        <w:t>元</w:t>
      </w:r>
      <w:r>
        <w:rPr>
          <w:rFonts w:hint="eastAsia" w:ascii="宋体" w:hAnsi="宋体"/>
          <w:sz w:val="24"/>
        </w:rPr>
        <w:t>。</w:t>
      </w:r>
    </w:p>
    <w:p w14:paraId="54265C0C">
      <w:pPr>
        <w:spacing w:before="120" w:line="360" w:lineRule="auto"/>
        <w:ind w:left="900" w:hanging="900"/>
        <w:rPr>
          <w:rFonts w:hint="eastAsia" w:ascii="宋体" w:hAnsi="宋体"/>
          <w:sz w:val="24"/>
        </w:rPr>
      </w:pPr>
      <w:r>
        <w:rPr>
          <w:rFonts w:ascii="宋体" w:hAnsi="宋体"/>
          <w:sz w:val="24"/>
        </w:rPr>
        <w:t>10.2</w:t>
      </w:r>
      <w:r>
        <w:rPr>
          <w:rFonts w:ascii="宋体" w:hAnsi="宋体"/>
          <w:sz w:val="24"/>
        </w:rPr>
        <w:tab/>
      </w:r>
      <w:r>
        <w:rPr>
          <w:rFonts w:hint="eastAsia" w:ascii="宋体" w:hAnsi="宋体"/>
          <w:sz w:val="24"/>
        </w:rPr>
        <w:t>响应报价采用新版计价规范，并按照国家和北京有关管理部门的规定和要求执行</w:t>
      </w:r>
    </w:p>
    <w:p w14:paraId="5EA62860">
      <w:pPr>
        <w:tabs>
          <w:tab w:val="left" w:pos="996"/>
        </w:tabs>
        <w:spacing w:before="120" w:line="360" w:lineRule="auto"/>
        <w:ind w:left="900" w:hanging="900"/>
        <w:rPr>
          <w:rFonts w:hint="eastAsia" w:ascii="宋体" w:hAnsi="宋体"/>
          <w:sz w:val="24"/>
        </w:rPr>
      </w:pPr>
      <w:r>
        <w:rPr>
          <w:rFonts w:ascii="宋体" w:hAnsi="宋体"/>
          <w:sz w:val="24"/>
        </w:rPr>
        <w:t>10.3</w:t>
      </w:r>
      <w:r>
        <w:rPr>
          <w:rFonts w:ascii="宋体" w:hAnsi="宋体"/>
          <w:sz w:val="24"/>
        </w:rPr>
        <w:tab/>
      </w:r>
      <w:r>
        <w:rPr>
          <w:rFonts w:hint="eastAsia" w:ascii="宋体" w:hAnsi="宋体"/>
          <w:sz w:val="24"/>
        </w:rPr>
        <w:t>如果约定的工程量计算规则中没有适用的相应计算规则，按照图纸标示的理论净量进行相应的工程量计算。</w:t>
      </w:r>
    </w:p>
    <w:p w14:paraId="2767D9EC">
      <w:pPr>
        <w:tabs>
          <w:tab w:val="left" w:pos="996"/>
        </w:tabs>
        <w:spacing w:before="120" w:line="360" w:lineRule="auto"/>
        <w:ind w:left="900" w:hanging="900"/>
        <w:rPr>
          <w:rFonts w:hint="eastAsia" w:ascii="宋体" w:hAnsi="宋体"/>
          <w:sz w:val="24"/>
        </w:rPr>
      </w:pPr>
      <w:r>
        <w:rPr>
          <w:rFonts w:hint="eastAsia" w:ascii="宋体" w:hAnsi="宋体"/>
          <w:sz w:val="24"/>
        </w:rPr>
        <w:t>1</w:t>
      </w:r>
      <w:r>
        <w:rPr>
          <w:rFonts w:ascii="宋体" w:hAnsi="宋体"/>
          <w:sz w:val="24"/>
        </w:rPr>
        <w:t xml:space="preserve">0.4   </w:t>
      </w:r>
      <w:r>
        <w:rPr>
          <w:rFonts w:hint="eastAsia" w:ascii="宋体" w:hAnsi="宋体"/>
          <w:sz w:val="24"/>
        </w:rPr>
        <w:t xml:space="preserve">对于安全文明施工费须按照北京市现行标准进行报价。 </w:t>
      </w:r>
    </w:p>
    <w:p w14:paraId="29C3A5A6">
      <w:pPr>
        <w:tabs>
          <w:tab w:val="left" w:pos="0"/>
        </w:tabs>
        <w:spacing w:before="120" w:line="360" w:lineRule="auto"/>
        <w:ind w:left="900" w:hanging="900"/>
        <w:rPr>
          <w:rFonts w:hint="eastAsia" w:ascii="宋体" w:hAnsi="宋体"/>
          <w:sz w:val="24"/>
        </w:rPr>
      </w:pPr>
      <w:r>
        <w:rPr>
          <w:rFonts w:ascii="宋体" w:hAnsi="宋体"/>
          <w:sz w:val="24"/>
        </w:rPr>
        <w:t>10.5</w:t>
      </w:r>
      <w:r>
        <w:rPr>
          <w:rFonts w:hint="eastAsia" w:ascii="宋体" w:hAnsi="宋体"/>
          <w:sz w:val="24"/>
        </w:rPr>
        <w:t xml:space="preserve">   本次磋商应按建筑业营业税改征增值税计价方式进行报价。</w:t>
      </w:r>
    </w:p>
    <w:p w14:paraId="51B69E68">
      <w:pPr>
        <w:tabs>
          <w:tab w:val="left" w:pos="900"/>
        </w:tabs>
        <w:spacing w:before="120" w:line="360" w:lineRule="auto"/>
        <w:ind w:left="900" w:hanging="900"/>
        <w:rPr>
          <w:rFonts w:hint="eastAsia" w:ascii="宋体" w:hAnsi="宋体"/>
          <w:sz w:val="24"/>
        </w:rPr>
      </w:pPr>
      <w:r>
        <w:rPr>
          <w:rFonts w:ascii="宋体" w:hAnsi="宋体"/>
          <w:sz w:val="24"/>
        </w:rPr>
        <w:t>10.6</w:t>
      </w:r>
      <w:r>
        <w:rPr>
          <w:rFonts w:ascii="宋体" w:hAnsi="宋体"/>
          <w:sz w:val="24"/>
        </w:rPr>
        <w:tab/>
      </w:r>
      <w:r>
        <w:rPr>
          <w:rFonts w:hint="eastAsia" w:ascii="宋体" w:hAnsi="宋体"/>
          <w:sz w:val="24"/>
        </w:rPr>
        <w:t>供应商所报的最终价格在合同履行过程中是固定不变的，不得以任何理由予以变更。</w:t>
      </w:r>
    </w:p>
    <w:p w14:paraId="65E7D219">
      <w:pPr>
        <w:tabs>
          <w:tab w:val="left" w:pos="900"/>
        </w:tabs>
        <w:spacing w:before="120" w:line="360" w:lineRule="auto"/>
        <w:ind w:left="900" w:hanging="900"/>
        <w:rPr>
          <w:rFonts w:hint="eastAsia" w:ascii="宋体" w:hAnsi="宋体"/>
          <w:sz w:val="24"/>
        </w:rPr>
      </w:pPr>
      <w:r>
        <w:rPr>
          <w:rFonts w:hint="eastAsia" w:ascii="宋体" w:hAnsi="宋体"/>
          <w:sz w:val="24"/>
        </w:rPr>
        <w:t>10.</w:t>
      </w:r>
      <w:r>
        <w:rPr>
          <w:rFonts w:ascii="宋体" w:hAnsi="宋体"/>
          <w:sz w:val="24"/>
        </w:rPr>
        <w:t>7</w:t>
      </w:r>
      <w:r>
        <w:rPr>
          <w:rFonts w:hint="eastAsia" w:ascii="宋体" w:hAnsi="宋体"/>
          <w:sz w:val="24"/>
        </w:rPr>
        <w:tab/>
      </w:r>
      <w:r>
        <w:rPr>
          <w:rFonts w:ascii="宋体" w:hAnsi="宋体"/>
          <w:sz w:val="24"/>
        </w:rPr>
        <w:t>采购</w:t>
      </w:r>
      <w:r>
        <w:rPr>
          <w:rFonts w:hint="eastAsia" w:ascii="宋体" w:hAnsi="宋体"/>
          <w:sz w:val="24"/>
        </w:rPr>
        <w:t>人</w:t>
      </w:r>
      <w:r>
        <w:rPr>
          <w:rFonts w:ascii="宋体" w:hAnsi="宋体"/>
          <w:sz w:val="24"/>
        </w:rPr>
        <w:t>不接受任何选择性报价，</w:t>
      </w:r>
      <w:r>
        <w:rPr>
          <w:rFonts w:hint="eastAsia" w:ascii="宋体" w:hAnsi="宋体"/>
          <w:sz w:val="24"/>
        </w:rPr>
        <w:t>每项工程/货物/服务只能有一个报价。</w:t>
      </w:r>
    </w:p>
    <w:p w14:paraId="0973EC84">
      <w:pPr>
        <w:pStyle w:val="6"/>
        <w:spacing w:line="360" w:lineRule="auto"/>
        <w:ind w:left="899" w:hanging="899"/>
        <w:rPr>
          <w:rFonts w:hint="eastAsia" w:hAnsi="宋体"/>
          <w:u w:val="none"/>
        </w:rPr>
      </w:pPr>
      <w:bookmarkStart w:id="89" w:name="_Toc518991923"/>
      <w:bookmarkStart w:id="90" w:name="_Toc142385500"/>
      <w:bookmarkStart w:id="91" w:name="_Toc130920514"/>
      <w:r>
        <w:rPr>
          <w:rFonts w:hAnsi="宋体"/>
          <w:u w:val="none"/>
        </w:rPr>
        <w:t>11</w:t>
      </w:r>
      <w:r>
        <w:rPr>
          <w:rFonts w:hint="eastAsia" w:hAnsi="宋体"/>
          <w:u w:val="none"/>
        </w:rPr>
        <w:t>.</w:t>
      </w:r>
      <w:r>
        <w:rPr>
          <w:rFonts w:hint="eastAsia" w:hAnsi="宋体"/>
          <w:u w:val="none"/>
        </w:rPr>
        <w:tab/>
      </w:r>
      <w:r>
        <w:rPr>
          <w:rFonts w:hint="eastAsia" w:hAnsi="宋体"/>
          <w:u w:val="none"/>
        </w:rPr>
        <w:t>磋商保证金与成交服务费</w:t>
      </w:r>
      <w:bookmarkEnd w:id="89"/>
      <w:bookmarkEnd w:id="90"/>
      <w:bookmarkEnd w:id="91"/>
    </w:p>
    <w:p w14:paraId="3F4538DA">
      <w:pPr>
        <w:spacing w:line="360" w:lineRule="auto"/>
        <w:rPr>
          <w:rFonts w:hint="eastAsia" w:ascii="宋体" w:hAnsi="宋体"/>
          <w:sz w:val="24"/>
        </w:rPr>
      </w:pPr>
      <w:r>
        <w:rPr>
          <w:rFonts w:ascii="宋体" w:hAnsi="宋体"/>
          <w:sz w:val="24"/>
        </w:rPr>
        <w:t>11.1</w:t>
      </w:r>
      <w:r>
        <w:rPr>
          <w:rFonts w:ascii="宋体" w:hAnsi="宋体"/>
          <w:sz w:val="24"/>
        </w:rPr>
        <w:tab/>
      </w:r>
      <w:r>
        <w:rPr>
          <w:rFonts w:hint="eastAsia" w:ascii="宋体" w:hAnsi="宋体"/>
          <w:sz w:val="24"/>
        </w:rPr>
        <w:t>供应商应提供规定数额的磋商保证金，并作为其响应文件的一部分。</w:t>
      </w:r>
    </w:p>
    <w:p w14:paraId="5DA2E62D">
      <w:pPr>
        <w:spacing w:before="120" w:line="360" w:lineRule="auto"/>
        <w:ind w:left="898" w:hanging="898"/>
        <w:rPr>
          <w:rFonts w:hint="eastAsia" w:ascii="宋体" w:hAnsi="宋体"/>
          <w:sz w:val="24"/>
        </w:rPr>
      </w:pPr>
      <w:r>
        <w:rPr>
          <w:rFonts w:ascii="宋体" w:hAnsi="宋体"/>
          <w:sz w:val="24"/>
        </w:rPr>
        <w:t>11.2</w:t>
      </w:r>
      <w:r>
        <w:rPr>
          <w:rFonts w:ascii="宋体" w:hAnsi="宋体"/>
          <w:sz w:val="24"/>
        </w:rPr>
        <w:tab/>
      </w:r>
      <w:r>
        <w:rPr>
          <w:rFonts w:hint="eastAsia" w:ascii="宋体" w:hAnsi="宋体"/>
          <w:sz w:val="24"/>
        </w:rPr>
        <w:t>磋商保证金是为了保护采购单位免遭因供应商的行为蒙受损失而要求的。下列任何情况发生，磋商保证金不予退还：</w:t>
      </w:r>
    </w:p>
    <w:p w14:paraId="4D65242A">
      <w:pPr>
        <w:pStyle w:val="42"/>
        <w:tabs>
          <w:tab w:val="left" w:pos="2240"/>
        </w:tabs>
        <w:spacing w:line="360" w:lineRule="auto"/>
        <w:ind w:left="1497" w:leftChars="427" w:hanging="600" w:hangingChars="250"/>
        <w:rPr>
          <w:rFonts w:hint="eastAsia" w:hAnsi="宋体"/>
          <w:sz w:val="24"/>
        </w:rPr>
      </w:pPr>
      <w:r>
        <w:rPr>
          <w:rFonts w:hint="eastAsia" w:hAnsi="宋体"/>
          <w:sz w:val="24"/>
        </w:rPr>
        <w:t>（1）供应商在提交响应文件截止时间后撤回响应文件的，</w:t>
      </w:r>
      <w:r>
        <w:rPr>
          <w:rFonts w:hAnsi="宋体"/>
          <w:sz w:val="24"/>
        </w:rPr>
        <w:t>除《</w:t>
      </w:r>
      <w:r>
        <w:rPr>
          <w:rFonts w:hint="eastAsia" w:hAnsi="宋体"/>
          <w:sz w:val="24"/>
        </w:rPr>
        <w:t>政府</w:t>
      </w:r>
      <w:r>
        <w:rPr>
          <w:rFonts w:hAnsi="宋体"/>
          <w:sz w:val="24"/>
        </w:rPr>
        <w:t>采购竞争性磋商采购方式管理暂行办法》</w:t>
      </w:r>
      <w:r>
        <w:rPr>
          <w:rFonts w:hint="eastAsia" w:hAnsi="宋体"/>
          <w:sz w:val="24"/>
        </w:rPr>
        <w:t>第</w:t>
      </w:r>
      <w:r>
        <w:rPr>
          <w:rFonts w:hAnsi="宋体"/>
          <w:sz w:val="24"/>
        </w:rPr>
        <w:t>二十二条所述情形外</w:t>
      </w:r>
      <w:r>
        <w:rPr>
          <w:rFonts w:hint="eastAsia" w:hAnsi="宋体"/>
          <w:sz w:val="24"/>
        </w:rPr>
        <w:t>；</w:t>
      </w:r>
    </w:p>
    <w:p w14:paraId="3C29349A">
      <w:pPr>
        <w:pStyle w:val="42"/>
        <w:tabs>
          <w:tab w:val="left" w:pos="2240"/>
        </w:tabs>
        <w:spacing w:line="360" w:lineRule="auto"/>
        <w:ind w:left="-2" w:firstLine="900"/>
        <w:rPr>
          <w:rFonts w:hint="eastAsia" w:hAnsi="宋体"/>
          <w:sz w:val="24"/>
        </w:rPr>
      </w:pPr>
      <w:r>
        <w:rPr>
          <w:rFonts w:hint="eastAsia" w:hAnsi="宋体"/>
          <w:sz w:val="24"/>
        </w:rPr>
        <w:t>（2）供应商在响应文件中提供虚假材料的；</w:t>
      </w:r>
    </w:p>
    <w:p w14:paraId="13D3CD84">
      <w:pPr>
        <w:pStyle w:val="42"/>
        <w:tabs>
          <w:tab w:val="left" w:pos="2240"/>
        </w:tabs>
        <w:spacing w:line="360" w:lineRule="auto"/>
        <w:ind w:left="-2" w:firstLine="900"/>
        <w:rPr>
          <w:rFonts w:hint="eastAsia" w:hAnsi="宋体"/>
          <w:sz w:val="24"/>
        </w:rPr>
      </w:pPr>
      <w:r>
        <w:rPr>
          <w:rFonts w:hint="eastAsia" w:hAnsi="宋体"/>
          <w:sz w:val="24"/>
        </w:rPr>
        <w:t>（3）供应商未按要求向采购代理机构交纳成交服务费；</w:t>
      </w:r>
    </w:p>
    <w:p w14:paraId="3F800510">
      <w:pPr>
        <w:pStyle w:val="42"/>
        <w:tabs>
          <w:tab w:val="left" w:pos="2240"/>
        </w:tabs>
        <w:spacing w:line="360" w:lineRule="auto"/>
        <w:ind w:left="-2" w:firstLine="900"/>
        <w:rPr>
          <w:rFonts w:hint="eastAsia" w:hAnsi="宋体"/>
          <w:sz w:val="24"/>
        </w:rPr>
      </w:pPr>
      <w:r>
        <w:rPr>
          <w:rFonts w:hint="eastAsia" w:hAnsi="宋体"/>
          <w:sz w:val="24"/>
        </w:rPr>
        <w:t>（4）供应商存在本须知1.5条规定情形的；</w:t>
      </w:r>
    </w:p>
    <w:p w14:paraId="2D4F14ED">
      <w:pPr>
        <w:pStyle w:val="42"/>
        <w:tabs>
          <w:tab w:val="left" w:pos="2240"/>
        </w:tabs>
        <w:spacing w:line="360" w:lineRule="auto"/>
        <w:ind w:left="1497" w:leftChars="427" w:hanging="600" w:hangingChars="250"/>
        <w:rPr>
          <w:rFonts w:hint="eastAsia" w:hAnsi="宋体"/>
          <w:sz w:val="24"/>
        </w:rPr>
      </w:pPr>
      <w:r>
        <w:rPr>
          <w:rFonts w:hint="eastAsia" w:hAnsi="宋体"/>
          <w:sz w:val="24"/>
        </w:rPr>
        <w:t>（5）除因不可抗力或采购文件认可的情形以外，成交供应商不按本须知第27条的规定与采购人签订合同的；</w:t>
      </w:r>
    </w:p>
    <w:p w14:paraId="4DE280F8">
      <w:pPr>
        <w:pStyle w:val="42"/>
        <w:tabs>
          <w:tab w:val="left" w:pos="2240"/>
        </w:tabs>
        <w:spacing w:line="360" w:lineRule="auto"/>
        <w:ind w:left="-2" w:firstLine="900"/>
        <w:rPr>
          <w:rFonts w:hint="eastAsia" w:hAnsi="宋体"/>
          <w:sz w:val="24"/>
        </w:rPr>
      </w:pPr>
      <w:r>
        <w:rPr>
          <w:rFonts w:hint="eastAsia" w:hAnsi="宋体"/>
          <w:sz w:val="24"/>
        </w:rPr>
        <w:t>（6）供应商与采购人、其他供应商或者采购代理机构恶意串通的；</w:t>
      </w:r>
    </w:p>
    <w:p w14:paraId="057A7EC4">
      <w:pPr>
        <w:pStyle w:val="42"/>
        <w:tabs>
          <w:tab w:val="left" w:pos="2240"/>
        </w:tabs>
        <w:spacing w:line="360" w:lineRule="auto"/>
        <w:ind w:left="-2" w:firstLine="900"/>
        <w:rPr>
          <w:rFonts w:hint="eastAsia" w:hAnsi="宋体"/>
          <w:sz w:val="24"/>
        </w:rPr>
      </w:pPr>
      <w:r>
        <w:rPr>
          <w:rFonts w:hint="eastAsia" w:hAnsi="宋体"/>
          <w:sz w:val="24"/>
        </w:rPr>
        <w:t>（7）采购文件规定的其他情形。</w:t>
      </w:r>
    </w:p>
    <w:p w14:paraId="475DE26B">
      <w:pPr>
        <w:spacing w:line="360" w:lineRule="auto"/>
        <w:rPr>
          <w:rFonts w:hint="eastAsia" w:ascii="宋体" w:hAnsi="宋体"/>
          <w:sz w:val="24"/>
        </w:rPr>
      </w:pPr>
      <w:r>
        <w:rPr>
          <w:rFonts w:hint="eastAsia" w:ascii="宋体" w:hAnsi="宋体"/>
          <w:sz w:val="24"/>
        </w:rPr>
        <w:t>11.3</w:t>
      </w:r>
      <w:r>
        <w:rPr>
          <w:rFonts w:hint="eastAsia" w:ascii="宋体" w:hAnsi="宋体"/>
          <w:sz w:val="24"/>
        </w:rPr>
        <w:tab/>
      </w:r>
      <w:r>
        <w:rPr>
          <w:rFonts w:hint="eastAsia" w:ascii="宋体" w:hAnsi="宋体"/>
          <w:sz w:val="24"/>
        </w:rPr>
        <w:t xml:space="preserve">磋商保证金的货币为人民币，并采用下列任何一种形式：       </w:t>
      </w:r>
    </w:p>
    <w:p w14:paraId="77C40C11">
      <w:pPr>
        <w:spacing w:before="120" w:line="360" w:lineRule="auto"/>
        <w:ind w:left="899" w:leftChars="428"/>
        <w:rPr>
          <w:rFonts w:hint="eastAsia" w:ascii="宋体" w:hAnsi="宋体"/>
          <w:b/>
          <w:sz w:val="24"/>
        </w:rPr>
      </w:pPr>
      <w:r>
        <w:rPr>
          <w:rFonts w:hint="eastAsia" w:ascii="宋体" w:hAnsi="宋体"/>
          <w:sz w:val="24"/>
        </w:rPr>
        <w:t>电汇、支票（限北京使用）、银行汇票等</w:t>
      </w:r>
      <w:r>
        <w:rPr>
          <w:rFonts w:ascii="宋体" w:hAnsi="宋体"/>
          <w:b/>
          <w:sz w:val="24"/>
        </w:rPr>
        <w:t>非</w:t>
      </w:r>
      <w:r>
        <w:rPr>
          <w:rFonts w:hint="eastAsia" w:ascii="宋体" w:hAnsi="宋体"/>
          <w:b/>
          <w:sz w:val="24"/>
        </w:rPr>
        <w:t>现金形式。</w:t>
      </w:r>
    </w:p>
    <w:p w14:paraId="370FE947">
      <w:pPr>
        <w:spacing w:before="120" w:line="360" w:lineRule="auto"/>
        <w:ind w:left="900" w:hanging="900"/>
        <w:rPr>
          <w:rFonts w:hint="eastAsia" w:ascii="宋体" w:hAnsi="宋体"/>
          <w:sz w:val="24"/>
        </w:rPr>
      </w:pPr>
      <w:r>
        <w:rPr>
          <w:rFonts w:hint="eastAsia" w:ascii="宋体" w:hAnsi="宋体"/>
          <w:sz w:val="24"/>
        </w:rPr>
        <w:t>11.4</w:t>
      </w:r>
      <w:r>
        <w:rPr>
          <w:rFonts w:hint="eastAsia" w:ascii="宋体" w:hAnsi="宋体"/>
          <w:sz w:val="24"/>
        </w:rPr>
        <w:tab/>
      </w:r>
      <w:r>
        <w:rPr>
          <w:rFonts w:hint="eastAsia" w:ascii="宋体" w:hAnsi="宋体"/>
          <w:sz w:val="24"/>
        </w:rPr>
        <w:t>凡没有根据本须知11</w:t>
      </w:r>
      <w:r>
        <w:rPr>
          <w:rFonts w:ascii="宋体" w:hAnsi="宋体"/>
          <w:sz w:val="24"/>
        </w:rPr>
        <w:t>.1</w:t>
      </w:r>
      <w:r>
        <w:rPr>
          <w:rFonts w:hint="eastAsia" w:ascii="宋体" w:hAnsi="宋体"/>
          <w:sz w:val="24"/>
        </w:rPr>
        <w:t>和第</w:t>
      </w:r>
      <w:r>
        <w:rPr>
          <w:rFonts w:ascii="宋体" w:hAnsi="宋体"/>
          <w:sz w:val="24"/>
        </w:rPr>
        <w:t>11.3</w:t>
      </w:r>
      <w:r>
        <w:rPr>
          <w:rFonts w:hint="eastAsia" w:ascii="宋体" w:hAnsi="宋体"/>
          <w:sz w:val="24"/>
        </w:rPr>
        <w:t>条的规定，随附磋商保证金的报价，将被视为非响应性文件而予以拒绝。联合体报价的，可以由联合体中的一方或者多方共同交纳保证金，其交纳的保证金对联合体各方均具有约束力。</w:t>
      </w:r>
    </w:p>
    <w:p w14:paraId="7875216E">
      <w:pPr>
        <w:spacing w:line="360" w:lineRule="auto"/>
        <w:ind w:left="900" w:hanging="900" w:hangingChars="375"/>
        <w:rPr>
          <w:rFonts w:hint="eastAsia" w:ascii="宋体" w:hAnsi="宋体"/>
          <w:sz w:val="24"/>
        </w:rPr>
      </w:pPr>
      <w:r>
        <w:rPr>
          <w:rFonts w:hint="eastAsia" w:ascii="宋体" w:hAnsi="宋体"/>
          <w:sz w:val="24"/>
        </w:rPr>
        <w:t>11.5</w:t>
      </w:r>
      <w:r>
        <w:rPr>
          <w:rFonts w:hint="eastAsia" w:ascii="宋体" w:hAnsi="宋体"/>
          <w:sz w:val="24"/>
        </w:rPr>
        <w:tab/>
      </w:r>
      <w:r>
        <w:rPr>
          <w:rFonts w:hint="eastAsia" w:ascii="宋体" w:hAnsi="宋体"/>
          <w:sz w:val="24"/>
        </w:rPr>
        <w:t>成交人的磋商保证金，在成交人与采购人签订合同后5个工作日内退还。</w:t>
      </w:r>
    </w:p>
    <w:p w14:paraId="40907498">
      <w:pPr>
        <w:spacing w:line="360" w:lineRule="auto"/>
        <w:ind w:left="899" w:leftChars="428"/>
        <w:rPr>
          <w:rFonts w:hint="eastAsia" w:ascii="宋体" w:hAnsi="宋体"/>
          <w:sz w:val="24"/>
        </w:rPr>
      </w:pPr>
      <w:r>
        <w:rPr>
          <w:rFonts w:hint="eastAsia" w:ascii="宋体" w:hAnsi="宋体"/>
          <w:sz w:val="24"/>
        </w:rPr>
        <w:t>未成交的供应商的磋商保证金将于成交通知书发出后5个工作日内退还。</w:t>
      </w:r>
    </w:p>
    <w:p w14:paraId="00D5B9F9">
      <w:pPr>
        <w:spacing w:line="360" w:lineRule="auto"/>
        <w:rPr>
          <w:rFonts w:hint="eastAsia" w:ascii="宋体" w:hAnsi="宋体"/>
          <w:sz w:val="24"/>
        </w:rPr>
      </w:pPr>
      <w:r>
        <w:rPr>
          <w:rFonts w:hint="eastAsia" w:ascii="宋体" w:hAnsi="宋体"/>
          <w:sz w:val="24"/>
        </w:rPr>
        <w:t>11.6   成交服务费</w:t>
      </w:r>
    </w:p>
    <w:p w14:paraId="224C3543">
      <w:pPr>
        <w:spacing w:line="360" w:lineRule="auto"/>
        <w:rPr>
          <w:rFonts w:hint="eastAsia" w:ascii="宋体" w:hAnsi="宋体"/>
          <w:sz w:val="24"/>
        </w:rPr>
      </w:pPr>
      <w:r>
        <w:rPr>
          <w:rFonts w:hint="eastAsia" w:ascii="宋体" w:hAnsi="宋体"/>
          <w:sz w:val="24"/>
        </w:rPr>
        <w:t>11.6.1 成交</w:t>
      </w:r>
      <w:r>
        <w:rPr>
          <w:rFonts w:ascii="宋体" w:hAnsi="宋体"/>
          <w:sz w:val="24"/>
        </w:rPr>
        <w:t>服务费为：</w:t>
      </w:r>
      <w:r>
        <w:rPr>
          <w:rFonts w:hint="eastAsia" w:ascii="宋体" w:hAnsi="宋体"/>
          <w:sz w:val="24"/>
        </w:rPr>
        <w:t>成交人</w:t>
      </w:r>
      <w:r>
        <w:rPr>
          <w:rFonts w:ascii="宋体" w:hAnsi="宋体"/>
          <w:sz w:val="24"/>
        </w:rPr>
        <w:t>必须向</w:t>
      </w:r>
      <w:r>
        <w:rPr>
          <w:rFonts w:hint="eastAsia" w:ascii="宋体" w:hAnsi="宋体"/>
          <w:sz w:val="24"/>
        </w:rPr>
        <w:t>采购代理机构</w:t>
      </w:r>
      <w:r>
        <w:rPr>
          <w:rFonts w:ascii="宋体" w:hAnsi="宋体"/>
          <w:sz w:val="24"/>
        </w:rPr>
        <w:t>交纳</w:t>
      </w:r>
      <w:r>
        <w:rPr>
          <w:rFonts w:hint="eastAsia" w:ascii="宋体" w:hAnsi="宋体"/>
          <w:sz w:val="24"/>
        </w:rPr>
        <w:t>成交</w:t>
      </w:r>
      <w:r>
        <w:rPr>
          <w:rFonts w:ascii="宋体" w:hAnsi="宋体"/>
          <w:sz w:val="24"/>
        </w:rPr>
        <w:t>服务费。</w:t>
      </w:r>
    </w:p>
    <w:p w14:paraId="60A420D5">
      <w:pPr>
        <w:spacing w:line="360" w:lineRule="auto"/>
        <w:rPr>
          <w:rFonts w:hint="eastAsia" w:ascii="宋体" w:hAnsi="宋体"/>
          <w:sz w:val="24"/>
        </w:rPr>
      </w:pPr>
      <w:r>
        <w:rPr>
          <w:rFonts w:hint="eastAsia" w:ascii="宋体" w:hAnsi="宋体"/>
          <w:sz w:val="24"/>
        </w:rPr>
        <w:t xml:space="preserve">11.6.2 </w:t>
      </w:r>
      <w:r>
        <w:rPr>
          <w:rFonts w:ascii="宋体" w:hAnsi="宋体"/>
          <w:sz w:val="24"/>
        </w:rPr>
        <w:t>交纳</w:t>
      </w:r>
      <w:r>
        <w:rPr>
          <w:rFonts w:hint="eastAsia" w:ascii="宋体" w:hAnsi="宋体"/>
          <w:sz w:val="24"/>
        </w:rPr>
        <w:t>成交</w:t>
      </w:r>
      <w:r>
        <w:rPr>
          <w:rFonts w:ascii="宋体" w:hAnsi="宋体"/>
          <w:sz w:val="24"/>
        </w:rPr>
        <w:t>服务费的标准如下：</w:t>
      </w:r>
      <w:r>
        <w:rPr>
          <w:rFonts w:hint="eastAsia" w:ascii="宋体" w:hAnsi="宋体"/>
          <w:sz w:val="24"/>
        </w:rPr>
        <w:t>按照《招标代理服务收费管理暂行办法》（计价格[2002]1980号）和国家发改委办公厅《关于招标代理服务收费有关问题的通知》（发改办价格[2003]857号）的有关规定标准执行按成交金额差额定率累进法计算。</w:t>
      </w:r>
    </w:p>
    <w:p w14:paraId="138C7A63">
      <w:pPr>
        <w:pStyle w:val="6"/>
        <w:spacing w:line="360" w:lineRule="auto"/>
        <w:ind w:left="899" w:hanging="899"/>
        <w:rPr>
          <w:rFonts w:hint="eastAsia" w:hAnsi="宋体"/>
          <w:u w:val="none"/>
        </w:rPr>
      </w:pPr>
      <w:bookmarkStart w:id="92" w:name="_Toc142385501"/>
      <w:bookmarkStart w:id="93" w:name="_Toc518991924"/>
      <w:bookmarkStart w:id="94" w:name="_Toc130920515"/>
      <w:r>
        <w:rPr>
          <w:rFonts w:hint="eastAsia" w:hAnsi="宋体"/>
          <w:u w:val="none"/>
        </w:rPr>
        <w:t>12.</w:t>
      </w:r>
      <w:r>
        <w:rPr>
          <w:rFonts w:hint="eastAsia" w:hAnsi="宋体"/>
          <w:u w:val="none"/>
        </w:rPr>
        <w:tab/>
      </w:r>
      <w:r>
        <w:rPr>
          <w:rFonts w:hint="eastAsia" w:hAnsi="宋体"/>
          <w:u w:val="none"/>
        </w:rPr>
        <w:t>磋商有效期</w:t>
      </w:r>
      <w:bookmarkEnd w:id="92"/>
      <w:bookmarkEnd w:id="93"/>
      <w:bookmarkEnd w:id="94"/>
    </w:p>
    <w:p w14:paraId="0F3FF272">
      <w:pPr>
        <w:spacing w:before="120" w:line="360" w:lineRule="auto"/>
        <w:ind w:left="900" w:hanging="900"/>
        <w:rPr>
          <w:rFonts w:hint="eastAsia" w:ascii="宋体" w:hAnsi="宋体"/>
          <w:sz w:val="24"/>
        </w:rPr>
      </w:pPr>
      <w:r>
        <w:rPr>
          <w:rFonts w:hint="eastAsia" w:ascii="宋体" w:hAnsi="宋体"/>
          <w:sz w:val="24"/>
        </w:rPr>
        <w:t>12.1</w:t>
      </w:r>
      <w:r>
        <w:rPr>
          <w:rFonts w:hint="eastAsia" w:ascii="宋体" w:hAnsi="宋体"/>
          <w:sz w:val="24"/>
        </w:rPr>
        <w:tab/>
      </w:r>
      <w:r>
        <w:rPr>
          <w:rFonts w:hint="eastAsia" w:ascii="宋体" w:hAnsi="宋体"/>
          <w:sz w:val="24"/>
        </w:rPr>
        <w:t>响应文件应在规定的磋商日后的</w:t>
      </w:r>
      <w:r>
        <w:rPr>
          <w:rFonts w:hint="eastAsia" w:ascii="宋体" w:hAnsi="宋体"/>
          <w:sz w:val="24"/>
          <w:u w:val="single"/>
        </w:rPr>
        <w:t xml:space="preserve">  90  </w:t>
      </w:r>
      <w:r>
        <w:rPr>
          <w:rFonts w:hint="eastAsia" w:ascii="宋体" w:hAnsi="宋体"/>
          <w:sz w:val="24"/>
        </w:rPr>
        <w:t>天内保持有效，磋商有效期不满足要求的，将被视为非响应性文件而予以拒绝。</w:t>
      </w:r>
    </w:p>
    <w:p w14:paraId="2344C806">
      <w:pPr>
        <w:spacing w:before="120" w:line="360" w:lineRule="auto"/>
        <w:ind w:left="900" w:hanging="900"/>
        <w:rPr>
          <w:rFonts w:hint="eastAsia" w:ascii="宋体" w:hAnsi="宋体"/>
          <w:sz w:val="24"/>
        </w:rPr>
      </w:pPr>
      <w:r>
        <w:rPr>
          <w:rFonts w:hint="eastAsia" w:ascii="宋体" w:hAnsi="宋体"/>
          <w:sz w:val="24"/>
        </w:rPr>
        <w:t>12.2</w:t>
      </w:r>
      <w:r>
        <w:rPr>
          <w:rFonts w:hint="eastAsia" w:ascii="宋体" w:hAnsi="宋体"/>
          <w:sz w:val="24"/>
        </w:rPr>
        <w:tab/>
      </w:r>
      <w:r>
        <w:rPr>
          <w:rFonts w:hint="eastAsia" w:ascii="宋体" w:hAnsi="宋体"/>
          <w:sz w:val="24"/>
        </w:rPr>
        <w:t>采购单位可根据实际情况，在原磋商有效期截止之前，要求供应商同意延长响应文件的有效期。接受该要求的供应商将不会被要求和允许修正其响应文件，且本须知中有关保证金的要求将在延长了的有效期内继续有效。供应商也可以拒绝采购单位的这种要求，其保证金将不会被没收，但其响应文件失效。上述要求和答复都应以书面形式提交。</w:t>
      </w:r>
    </w:p>
    <w:p w14:paraId="20BA4208">
      <w:pPr>
        <w:pStyle w:val="6"/>
        <w:spacing w:line="360" w:lineRule="auto"/>
        <w:ind w:left="899" w:hanging="899"/>
        <w:rPr>
          <w:rFonts w:hint="eastAsia" w:hAnsi="宋体"/>
          <w:u w:val="none"/>
        </w:rPr>
      </w:pPr>
      <w:bookmarkStart w:id="95" w:name="_Toc518991925"/>
      <w:bookmarkStart w:id="96" w:name="_Toc142385502"/>
      <w:bookmarkStart w:id="97" w:name="_Toc130920516"/>
      <w:r>
        <w:rPr>
          <w:rFonts w:hint="eastAsia" w:hAnsi="宋体"/>
          <w:u w:val="none"/>
        </w:rPr>
        <w:t>13.</w:t>
      </w:r>
      <w:r>
        <w:rPr>
          <w:rFonts w:hint="eastAsia" w:hAnsi="宋体"/>
          <w:u w:val="none"/>
        </w:rPr>
        <w:tab/>
      </w:r>
      <w:r>
        <w:rPr>
          <w:rFonts w:hint="eastAsia" w:hAnsi="宋体"/>
          <w:u w:val="none"/>
        </w:rPr>
        <w:t>响应文件的签署及规定</w:t>
      </w:r>
      <w:bookmarkEnd w:id="95"/>
      <w:bookmarkEnd w:id="96"/>
      <w:bookmarkEnd w:id="97"/>
    </w:p>
    <w:p w14:paraId="2483FB0F">
      <w:pPr>
        <w:spacing w:before="120" w:line="360" w:lineRule="auto"/>
        <w:ind w:left="900" w:hanging="900"/>
        <w:rPr>
          <w:rFonts w:hint="eastAsia" w:ascii="宋体" w:hAnsi="宋体"/>
          <w:sz w:val="24"/>
        </w:rPr>
      </w:pPr>
      <w:r>
        <w:rPr>
          <w:rFonts w:hint="eastAsia" w:ascii="宋体" w:hAnsi="宋体"/>
          <w:sz w:val="24"/>
        </w:rPr>
        <w:t>13.1</w:t>
      </w:r>
      <w:r>
        <w:rPr>
          <w:rFonts w:hint="eastAsia" w:ascii="宋体" w:hAnsi="宋体"/>
          <w:sz w:val="24"/>
        </w:rPr>
        <w:tab/>
      </w:r>
      <w:r>
        <w:rPr>
          <w:rFonts w:hint="eastAsia" w:ascii="宋体" w:hAnsi="宋体"/>
          <w:b/>
          <w:sz w:val="24"/>
        </w:rPr>
        <w:t>供应商应准备“供应商须知前附表”中规定数量的正本和副本，（另提供电子版响应文件，可与正副本一起封装）每份响应文件须清楚地标明“正本”或“副本”。若正本和副本不符，以正本为准。</w:t>
      </w:r>
    </w:p>
    <w:p w14:paraId="7643333B">
      <w:pPr>
        <w:spacing w:before="120" w:line="360" w:lineRule="auto"/>
        <w:ind w:left="900" w:hanging="900"/>
        <w:rPr>
          <w:rFonts w:hint="eastAsia" w:ascii="宋体" w:hAnsi="宋体"/>
          <w:sz w:val="24"/>
        </w:rPr>
      </w:pPr>
      <w:r>
        <w:rPr>
          <w:rFonts w:hint="eastAsia" w:ascii="宋体" w:hAnsi="宋体"/>
          <w:sz w:val="24"/>
        </w:rPr>
        <w:t>13.2</w:t>
      </w:r>
      <w:r>
        <w:rPr>
          <w:rFonts w:hint="eastAsia" w:ascii="宋体" w:hAnsi="宋体"/>
          <w:sz w:val="24"/>
        </w:rPr>
        <w:tab/>
      </w:r>
      <w:r>
        <w:rPr>
          <w:rFonts w:hint="eastAsia" w:ascii="宋体" w:hAnsi="宋体"/>
          <w:sz w:val="24"/>
        </w:rPr>
        <w:t>响应文件的正本需打印或用不褪色墨水书写，并由供应商的法定代表人或经其正式授权的代表在响应文件上签字并加盖单位印章。授权代表须持有书面的“法定代表人授权书”（标准格式附后），并将其附在响应文件中。如对响应文件进行了修改，则应由供应商的法定代表人或经其正式授权的代表在修改的每一页上签字。响应文件的副本可采用正本的复印件。</w:t>
      </w:r>
    </w:p>
    <w:p w14:paraId="0B1154E6">
      <w:pPr>
        <w:spacing w:before="120" w:line="360" w:lineRule="auto"/>
        <w:ind w:left="900" w:hanging="900"/>
        <w:rPr>
          <w:rFonts w:hint="eastAsia" w:ascii="宋体" w:hAnsi="宋体"/>
          <w:sz w:val="24"/>
        </w:rPr>
      </w:pPr>
      <w:r>
        <w:rPr>
          <w:rFonts w:hint="eastAsia" w:ascii="宋体" w:hAnsi="宋体"/>
          <w:sz w:val="24"/>
        </w:rPr>
        <w:t>13.3</w:t>
      </w:r>
      <w:r>
        <w:rPr>
          <w:rFonts w:hint="eastAsia" w:ascii="宋体" w:hAnsi="宋体"/>
          <w:sz w:val="24"/>
        </w:rPr>
        <w:tab/>
      </w:r>
      <w:r>
        <w:rPr>
          <w:rFonts w:hint="eastAsia" w:ascii="宋体" w:hAnsi="宋体"/>
          <w:sz w:val="24"/>
        </w:rPr>
        <w:t>任何行间插字、涂改和增删，必须由响应文件签字人签字或供应商加盖公章后才有效。</w:t>
      </w:r>
    </w:p>
    <w:p w14:paraId="32F2B5C6">
      <w:pPr>
        <w:spacing w:before="120" w:line="360" w:lineRule="auto"/>
        <w:rPr>
          <w:rFonts w:hint="eastAsia" w:ascii="宋体" w:hAnsi="宋体"/>
          <w:sz w:val="24"/>
        </w:rPr>
      </w:pPr>
      <w:r>
        <w:rPr>
          <w:rFonts w:hint="eastAsia" w:ascii="宋体" w:hAnsi="宋体"/>
          <w:sz w:val="24"/>
        </w:rPr>
        <w:t>13.4</w:t>
      </w:r>
      <w:r>
        <w:rPr>
          <w:rFonts w:hint="eastAsia" w:ascii="宋体" w:hAnsi="宋体"/>
          <w:sz w:val="24"/>
        </w:rPr>
        <w:tab/>
      </w:r>
      <w:r>
        <w:rPr>
          <w:rFonts w:hint="eastAsia" w:ascii="宋体" w:hAnsi="宋体"/>
          <w:sz w:val="24"/>
        </w:rPr>
        <w:t>响应文件因字迹潦草或表达不清所引起的后果由供应商负责。</w:t>
      </w:r>
    </w:p>
    <w:p w14:paraId="24344BF1">
      <w:pPr>
        <w:spacing w:before="120" w:line="360" w:lineRule="auto"/>
        <w:ind w:left="900" w:hanging="900" w:hangingChars="375"/>
        <w:rPr>
          <w:rFonts w:hint="eastAsia" w:ascii="宋体" w:hAnsi="宋体"/>
          <w:sz w:val="24"/>
        </w:rPr>
      </w:pPr>
      <w:r>
        <w:rPr>
          <w:rFonts w:hint="eastAsia" w:ascii="宋体" w:hAnsi="宋体"/>
          <w:sz w:val="24"/>
        </w:rPr>
        <w:t>13.5   响应文件的封面应标注：“响应文件”、项目名称、采购项目编号、供应商名称并加盖供应商公章、正本或副本。</w:t>
      </w:r>
    </w:p>
    <w:p w14:paraId="05521C52">
      <w:pPr>
        <w:pStyle w:val="4"/>
        <w:spacing w:line="360" w:lineRule="auto"/>
        <w:rPr>
          <w:rFonts w:hint="eastAsia" w:ascii="宋体" w:hAnsi="宋体" w:eastAsia="宋体"/>
          <w:sz w:val="28"/>
          <w:szCs w:val="28"/>
        </w:rPr>
      </w:pPr>
      <w:bookmarkStart w:id="98" w:name="_Toc518991926"/>
      <w:bookmarkStart w:id="99" w:name="_Toc142385503"/>
      <w:bookmarkStart w:id="100" w:name="_Toc130920517"/>
      <w:r>
        <w:rPr>
          <w:rFonts w:hint="eastAsia" w:ascii="宋体" w:hAnsi="宋体" w:eastAsia="宋体"/>
          <w:sz w:val="28"/>
          <w:szCs w:val="28"/>
        </w:rPr>
        <w:t>四   响应文件的提交</w:t>
      </w:r>
      <w:bookmarkEnd w:id="98"/>
      <w:bookmarkEnd w:id="99"/>
      <w:bookmarkEnd w:id="100"/>
    </w:p>
    <w:p w14:paraId="3A151902">
      <w:pPr>
        <w:pStyle w:val="6"/>
        <w:spacing w:line="360" w:lineRule="auto"/>
        <w:ind w:left="899" w:hanging="899"/>
        <w:rPr>
          <w:rFonts w:hint="eastAsia" w:hAnsi="宋体"/>
          <w:u w:val="none"/>
        </w:rPr>
      </w:pPr>
      <w:bookmarkStart w:id="101" w:name="_Toc518991927"/>
      <w:bookmarkStart w:id="102" w:name="_Toc142385504"/>
      <w:bookmarkStart w:id="103" w:name="_Toc130920518"/>
      <w:r>
        <w:rPr>
          <w:rFonts w:hint="eastAsia" w:hAnsi="宋体"/>
          <w:u w:val="none"/>
        </w:rPr>
        <w:t>14.</w:t>
      </w:r>
      <w:r>
        <w:rPr>
          <w:rFonts w:hint="eastAsia" w:hAnsi="宋体"/>
          <w:u w:val="none"/>
        </w:rPr>
        <w:tab/>
      </w:r>
      <w:r>
        <w:rPr>
          <w:rFonts w:hint="eastAsia" w:hAnsi="宋体"/>
          <w:u w:val="none"/>
        </w:rPr>
        <w:t>响应文件的密封和标记</w:t>
      </w:r>
      <w:bookmarkEnd w:id="101"/>
      <w:bookmarkEnd w:id="102"/>
      <w:bookmarkEnd w:id="103"/>
    </w:p>
    <w:p w14:paraId="566D2370">
      <w:pPr>
        <w:numPr>
          <w:ilvl w:val="1"/>
          <w:numId w:val="2"/>
        </w:numPr>
        <w:tabs>
          <w:tab w:val="left" w:pos="900"/>
          <w:tab w:val="clear" w:pos="480"/>
        </w:tabs>
        <w:spacing w:line="360" w:lineRule="auto"/>
        <w:ind w:left="900" w:hanging="900"/>
        <w:rPr>
          <w:rFonts w:hint="eastAsia" w:ascii="宋体" w:hAnsi="宋体"/>
          <w:b/>
          <w:sz w:val="24"/>
        </w:rPr>
      </w:pPr>
      <w:r>
        <w:rPr>
          <w:rFonts w:hint="eastAsia" w:ascii="宋体" w:hAnsi="宋体"/>
          <w:b/>
          <w:sz w:val="24"/>
        </w:rPr>
        <w:t>供应商应将响应文件进行左侧胶装装订，正本和所有的副本密封装在一个或多个信封中。若分别密封的，应信封正面标明“正本”“副本”字样。</w:t>
      </w:r>
    </w:p>
    <w:p w14:paraId="33F564FE">
      <w:pPr>
        <w:numPr>
          <w:ilvl w:val="1"/>
          <w:numId w:val="2"/>
        </w:numPr>
        <w:tabs>
          <w:tab w:val="left" w:pos="900"/>
          <w:tab w:val="clear" w:pos="480"/>
        </w:tabs>
        <w:spacing w:line="360" w:lineRule="auto"/>
        <w:ind w:left="900" w:hanging="900"/>
        <w:rPr>
          <w:rFonts w:hint="eastAsia" w:ascii="宋体" w:hAnsi="宋体"/>
          <w:b/>
          <w:sz w:val="24"/>
        </w:rPr>
      </w:pPr>
      <w:r>
        <w:rPr>
          <w:rFonts w:hint="eastAsia" w:ascii="宋体" w:hAnsi="宋体"/>
          <w:b/>
          <w:sz w:val="24"/>
        </w:rPr>
        <w:t>供应商应单独密封一份“报价函及报价函附录</w:t>
      </w:r>
      <w:r>
        <w:rPr>
          <w:rFonts w:ascii="宋体" w:hAnsi="宋体"/>
          <w:b/>
          <w:sz w:val="24"/>
        </w:rPr>
        <w:t>”</w:t>
      </w:r>
      <w:r>
        <w:rPr>
          <w:rFonts w:hint="eastAsia" w:ascii="宋体" w:hAnsi="宋体"/>
          <w:b/>
          <w:sz w:val="24"/>
        </w:rPr>
        <w:t>，并在信封上标明“报价函”字样，在磋商时单独提交。</w:t>
      </w:r>
    </w:p>
    <w:p w14:paraId="68302DED">
      <w:pPr>
        <w:numPr>
          <w:ilvl w:val="1"/>
          <w:numId w:val="2"/>
        </w:numPr>
        <w:tabs>
          <w:tab w:val="left" w:pos="900"/>
          <w:tab w:val="clear" w:pos="480"/>
        </w:tabs>
        <w:spacing w:before="120" w:line="360" w:lineRule="auto"/>
        <w:ind w:left="900" w:hanging="900"/>
        <w:rPr>
          <w:rFonts w:hint="eastAsia" w:ascii="宋体" w:hAnsi="宋体"/>
          <w:b/>
          <w:sz w:val="24"/>
        </w:rPr>
      </w:pPr>
      <w:r>
        <w:rPr>
          <w:rFonts w:hint="eastAsia" w:ascii="宋体" w:hAnsi="宋体"/>
          <w:b/>
          <w:sz w:val="24"/>
        </w:rPr>
        <w:t>为方便核查保证金，供应商应将“保证金</w:t>
      </w:r>
      <w:r>
        <w:rPr>
          <w:rFonts w:ascii="宋体" w:hAnsi="宋体"/>
          <w:b/>
          <w:sz w:val="24"/>
        </w:rPr>
        <w:t>”</w:t>
      </w:r>
      <w:r>
        <w:rPr>
          <w:rFonts w:hint="eastAsia" w:ascii="宋体" w:hAnsi="宋体"/>
          <w:b/>
          <w:sz w:val="24"/>
        </w:rPr>
        <w:t>单独密封，并在信封上标明 “保证金”字样，在磋商时单独提交。</w:t>
      </w:r>
    </w:p>
    <w:p w14:paraId="1B5ECC25">
      <w:pPr>
        <w:numPr>
          <w:ilvl w:val="1"/>
          <w:numId w:val="2"/>
        </w:numPr>
        <w:tabs>
          <w:tab w:val="left" w:pos="900"/>
          <w:tab w:val="clear" w:pos="480"/>
        </w:tabs>
        <w:spacing w:before="120" w:line="360" w:lineRule="auto"/>
        <w:ind w:left="900" w:hanging="900"/>
        <w:rPr>
          <w:rFonts w:hint="eastAsia" w:ascii="宋体" w:hAnsi="宋体"/>
          <w:sz w:val="24"/>
        </w:rPr>
      </w:pPr>
      <w:r>
        <w:rPr>
          <w:rFonts w:hint="eastAsia" w:ascii="宋体" w:hAnsi="宋体"/>
          <w:sz w:val="24"/>
        </w:rPr>
        <w:t>所有信封上均应：</w:t>
      </w:r>
    </w:p>
    <w:p w14:paraId="1ECA6243">
      <w:pPr>
        <w:pStyle w:val="42"/>
        <w:tabs>
          <w:tab w:val="left" w:pos="630"/>
          <w:tab w:val="left" w:pos="1365"/>
        </w:tabs>
        <w:spacing w:line="360" w:lineRule="auto"/>
        <w:ind w:left="660" w:firstLine="240"/>
        <w:rPr>
          <w:rFonts w:hint="eastAsia" w:hAnsi="宋体"/>
          <w:sz w:val="24"/>
        </w:rPr>
      </w:pPr>
      <w:r>
        <w:rPr>
          <w:rFonts w:hint="eastAsia" w:hAnsi="宋体"/>
          <w:sz w:val="24"/>
        </w:rPr>
        <w:t>1）清楚标明提交至采购文件中所要求的地址。</w:t>
      </w:r>
    </w:p>
    <w:p w14:paraId="55286E5E">
      <w:pPr>
        <w:pStyle w:val="42"/>
        <w:tabs>
          <w:tab w:val="left" w:pos="1365"/>
        </w:tabs>
        <w:spacing w:line="360" w:lineRule="auto"/>
        <w:ind w:left="1259" w:hanging="360"/>
        <w:rPr>
          <w:rFonts w:hint="eastAsia" w:hAnsi="宋体"/>
          <w:sz w:val="24"/>
        </w:rPr>
      </w:pPr>
      <w:r>
        <w:rPr>
          <w:rFonts w:hint="eastAsia" w:hAnsi="宋体"/>
          <w:sz w:val="24"/>
        </w:rPr>
        <w:t>2）注明项目名称、采购项目编号和“在</w:t>
      </w:r>
      <w:r>
        <w:rPr>
          <w:rFonts w:hint="eastAsia" w:hAnsi="宋体"/>
          <w:sz w:val="24"/>
          <w:u w:val="single"/>
        </w:rPr>
        <w:t xml:space="preserve">    年   月   日   时之前不得启封</w:t>
      </w:r>
      <w:r>
        <w:rPr>
          <w:rFonts w:hint="eastAsia" w:hAnsi="宋体"/>
          <w:sz w:val="24"/>
        </w:rPr>
        <w:t>”的字样（填入规定的响应文件提交截止时间及磋商时间）。</w:t>
      </w:r>
    </w:p>
    <w:p w14:paraId="0B1EF7AD">
      <w:pPr>
        <w:pStyle w:val="42"/>
        <w:tabs>
          <w:tab w:val="left" w:pos="1365"/>
        </w:tabs>
        <w:spacing w:line="360" w:lineRule="auto"/>
        <w:ind w:left="1259" w:hanging="360"/>
        <w:rPr>
          <w:rFonts w:hint="eastAsia" w:hAnsi="宋体"/>
          <w:sz w:val="24"/>
        </w:rPr>
      </w:pPr>
      <w:r>
        <w:rPr>
          <w:rFonts w:hint="eastAsia" w:hAnsi="宋体"/>
          <w:sz w:val="24"/>
        </w:rPr>
        <w:t>3）在信封的封装处加盖供应商公章。</w:t>
      </w:r>
    </w:p>
    <w:p w14:paraId="3E104E10">
      <w:pPr>
        <w:pStyle w:val="24"/>
        <w:tabs>
          <w:tab w:val="clear" w:pos="567"/>
        </w:tabs>
        <w:spacing w:line="360" w:lineRule="auto"/>
        <w:ind w:left="900" w:hanging="900"/>
        <w:rPr>
          <w:rFonts w:hint="eastAsia"/>
        </w:rPr>
      </w:pPr>
      <w:r>
        <w:rPr>
          <w:rFonts w:hint="eastAsia"/>
        </w:rPr>
        <w:t>14.5</w:t>
      </w:r>
      <w:r>
        <w:rPr>
          <w:rFonts w:hint="eastAsia"/>
        </w:rPr>
        <w:tab/>
      </w:r>
      <w:r>
        <w:rPr>
          <w:rFonts w:hint="eastAsia"/>
        </w:rPr>
        <w:t>所有信封上还应写明供应商名称和地址，以便若其响应文件被宣布为“迟到”时，能原封退回。</w:t>
      </w:r>
    </w:p>
    <w:p w14:paraId="128F87B8">
      <w:pPr>
        <w:spacing w:before="120" w:line="360" w:lineRule="auto"/>
        <w:ind w:left="900" w:hanging="900"/>
        <w:rPr>
          <w:rFonts w:hint="eastAsia" w:ascii="宋体" w:hAnsi="宋体"/>
          <w:sz w:val="24"/>
        </w:rPr>
      </w:pPr>
      <w:r>
        <w:rPr>
          <w:rFonts w:hint="eastAsia" w:ascii="宋体" w:hAnsi="宋体"/>
          <w:sz w:val="24"/>
        </w:rPr>
        <w:t>14.6</w:t>
      </w:r>
      <w:r>
        <w:rPr>
          <w:rFonts w:hint="eastAsia" w:ascii="宋体" w:hAnsi="宋体"/>
          <w:sz w:val="24"/>
        </w:rPr>
        <w:tab/>
      </w:r>
      <w:r>
        <w:rPr>
          <w:rFonts w:hint="eastAsia" w:ascii="宋体" w:hAnsi="宋体"/>
          <w:sz w:val="24"/>
        </w:rPr>
        <w:t>如果供应商未按上述要求密封及加写标记，采购单位对响应文件的误投或过早启封概不负责。</w:t>
      </w:r>
    </w:p>
    <w:p w14:paraId="27565165">
      <w:pPr>
        <w:pStyle w:val="6"/>
        <w:spacing w:line="360" w:lineRule="auto"/>
        <w:ind w:left="899" w:hanging="899"/>
        <w:rPr>
          <w:rFonts w:hint="eastAsia" w:hAnsi="宋体"/>
          <w:u w:val="none"/>
        </w:rPr>
      </w:pPr>
      <w:bookmarkStart w:id="104" w:name="_Toc142385505"/>
      <w:bookmarkStart w:id="105" w:name="_Toc130920519"/>
      <w:bookmarkStart w:id="106" w:name="_Toc518991928"/>
      <w:r>
        <w:rPr>
          <w:rFonts w:hint="eastAsia" w:hAnsi="宋体"/>
          <w:u w:val="none"/>
        </w:rPr>
        <w:t>15.</w:t>
      </w:r>
      <w:r>
        <w:rPr>
          <w:rFonts w:hint="eastAsia" w:hAnsi="宋体"/>
          <w:u w:val="none"/>
        </w:rPr>
        <w:tab/>
      </w:r>
      <w:r>
        <w:rPr>
          <w:rFonts w:hint="eastAsia" w:hAnsi="宋体"/>
          <w:u w:val="none"/>
        </w:rPr>
        <w:t>响应文件提交截止期</w:t>
      </w:r>
      <w:bookmarkEnd w:id="104"/>
      <w:bookmarkEnd w:id="105"/>
      <w:bookmarkEnd w:id="106"/>
    </w:p>
    <w:p w14:paraId="357D6855">
      <w:pPr>
        <w:spacing w:before="120" w:line="360" w:lineRule="auto"/>
        <w:ind w:left="900" w:hanging="900"/>
        <w:rPr>
          <w:rFonts w:hint="eastAsia" w:ascii="宋体" w:hAnsi="宋体"/>
          <w:sz w:val="24"/>
        </w:rPr>
      </w:pPr>
      <w:r>
        <w:rPr>
          <w:rFonts w:hint="eastAsia" w:ascii="宋体" w:hAnsi="宋体"/>
          <w:sz w:val="24"/>
        </w:rPr>
        <w:t>15.1</w:t>
      </w:r>
      <w:r>
        <w:rPr>
          <w:rFonts w:hint="eastAsia" w:ascii="宋体" w:hAnsi="宋体"/>
          <w:sz w:val="24"/>
        </w:rPr>
        <w:tab/>
      </w:r>
      <w:r>
        <w:rPr>
          <w:rFonts w:hint="eastAsia" w:ascii="宋体" w:hAnsi="宋体"/>
          <w:sz w:val="24"/>
        </w:rPr>
        <w:t>供应商应按磋商邀请规定的截止日期、时间和地点，将响应文件提交采购单位。</w:t>
      </w:r>
    </w:p>
    <w:p w14:paraId="27185A26">
      <w:pPr>
        <w:spacing w:before="120" w:line="360" w:lineRule="auto"/>
        <w:ind w:left="900" w:hanging="900"/>
        <w:rPr>
          <w:rFonts w:hint="eastAsia" w:ascii="宋体" w:hAnsi="宋体"/>
          <w:sz w:val="24"/>
        </w:rPr>
      </w:pPr>
      <w:r>
        <w:rPr>
          <w:rFonts w:hint="eastAsia" w:ascii="宋体" w:hAnsi="宋体"/>
          <w:sz w:val="24"/>
        </w:rPr>
        <w:t>15.2</w:t>
      </w:r>
      <w:r>
        <w:rPr>
          <w:rFonts w:hint="eastAsia" w:ascii="宋体" w:hAnsi="宋体"/>
          <w:sz w:val="24"/>
        </w:rPr>
        <w:tab/>
      </w:r>
      <w:r>
        <w:rPr>
          <w:rFonts w:hint="eastAsia" w:ascii="宋体" w:hAnsi="宋体"/>
          <w:sz w:val="24"/>
        </w:rPr>
        <w:t>采购单位有权按本须知的规定，通过修改采购文件延长提交响应文件截止期。在此情况下，采购单位和供应商受提交响应文件截止期制约的所有权利和义务均应延长至新的截止期。</w:t>
      </w:r>
    </w:p>
    <w:p w14:paraId="6C473267">
      <w:pPr>
        <w:spacing w:before="120" w:line="360" w:lineRule="auto"/>
        <w:ind w:left="900" w:hanging="900"/>
        <w:rPr>
          <w:rFonts w:hint="eastAsia" w:ascii="宋体" w:hAnsi="宋体"/>
          <w:sz w:val="24"/>
        </w:rPr>
      </w:pPr>
      <w:r>
        <w:rPr>
          <w:rFonts w:hint="eastAsia" w:ascii="宋体" w:hAnsi="宋体"/>
          <w:sz w:val="24"/>
        </w:rPr>
        <w:t>15.3</w:t>
      </w:r>
      <w:r>
        <w:rPr>
          <w:rFonts w:hint="eastAsia" w:ascii="宋体" w:hAnsi="宋体"/>
          <w:sz w:val="24"/>
        </w:rPr>
        <w:tab/>
      </w:r>
      <w:r>
        <w:rPr>
          <w:rFonts w:hint="eastAsia" w:ascii="宋体" w:hAnsi="宋体"/>
          <w:sz w:val="24"/>
        </w:rPr>
        <w:t>采购单位将拒绝并原封退回在本须知规定的提交响应文件截止期后收到的任何响应文件。</w:t>
      </w:r>
    </w:p>
    <w:p w14:paraId="02658804">
      <w:pPr>
        <w:pStyle w:val="6"/>
        <w:spacing w:line="360" w:lineRule="auto"/>
        <w:ind w:left="899" w:hanging="899"/>
        <w:rPr>
          <w:rFonts w:hint="eastAsia" w:hAnsi="宋体"/>
          <w:u w:val="none"/>
        </w:rPr>
      </w:pPr>
      <w:bookmarkStart w:id="107" w:name="_Toc130920520"/>
      <w:bookmarkStart w:id="108" w:name="_Toc142385506"/>
      <w:bookmarkStart w:id="109" w:name="_Toc518991929"/>
      <w:r>
        <w:rPr>
          <w:rFonts w:hint="eastAsia" w:hAnsi="宋体"/>
          <w:u w:val="none"/>
        </w:rPr>
        <w:t>16.</w:t>
      </w:r>
      <w:r>
        <w:rPr>
          <w:rFonts w:hint="eastAsia" w:hAnsi="宋体"/>
          <w:u w:val="none"/>
        </w:rPr>
        <w:tab/>
      </w:r>
      <w:r>
        <w:rPr>
          <w:rFonts w:hint="eastAsia" w:hAnsi="宋体"/>
          <w:u w:val="none"/>
        </w:rPr>
        <w:t>响应文件的修改与撤回</w:t>
      </w:r>
      <w:bookmarkEnd w:id="107"/>
      <w:bookmarkEnd w:id="108"/>
      <w:bookmarkEnd w:id="109"/>
    </w:p>
    <w:p w14:paraId="0C1FB8D4">
      <w:pPr>
        <w:spacing w:before="120" w:line="360" w:lineRule="auto"/>
        <w:ind w:left="900" w:hanging="900"/>
        <w:rPr>
          <w:rFonts w:hint="eastAsia" w:ascii="宋体" w:hAnsi="宋体"/>
          <w:sz w:val="24"/>
        </w:rPr>
      </w:pPr>
      <w:r>
        <w:rPr>
          <w:rFonts w:hint="eastAsia" w:ascii="宋体" w:hAnsi="宋体"/>
          <w:sz w:val="24"/>
        </w:rPr>
        <w:t>16.1</w:t>
      </w:r>
      <w:r>
        <w:rPr>
          <w:rFonts w:hint="eastAsia" w:ascii="宋体" w:hAnsi="宋体"/>
          <w:sz w:val="24"/>
        </w:rPr>
        <w:tab/>
      </w:r>
      <w:r>
        <w:rPr>
          <w:rFonts w:hint="eastAsia" w:ascii="宋体" w:hAnsi="宋体"/>
          <w:sz w:val="24"/>
        </w:rPr>
        <w:t>响应文件提交以后，如果供应商提出书面修改或撤回要求，在响应文件提交截止时间前送达采购单位者，采购单位将予以接受。</w:t>
      </w:r>
    </w:p>
    <w:p w14:paraId="38025969">
      <w:pPr>
        <w:spacing w:before="120" w:line="360" w:lineRule="auto"/>
        <w:ind w:left="900" w:hanging="900"/>
        <w:rPr>
          <w:rFonts w:hint="eastAsia" w:ascii="宋体" w:hAnsi="宋体"/>
          <w:sz w:val="24"/>
        </w:rPr>
      </w:pPr>
      <w:r>
        <w:rPr>
          <w:rFonts w:hint="eastAsia" w:ascii="宋体" w:hAnsi="宋体"/>
          <w:sz w:val="24"/>
        </w:rPr>
        <w:t>16.2</w:t>
      </w:r>
      <w:r>
        <w:rPr>
          <w:rFonts w:hint="eastAsia" w:ascii="宋体" w:hAnsi="宋体"/>
          <w:sz w:val="24"/>
        </w:rPr>
        <w:tab/>
      </w:r>
      <w:r>
        <w:rPr>
          <w:rFonts w:hint="eastAsia" w:ascii="宋体" w:hAnsi="宋体"/>
          <w:sz w:val="24"/>
        </w:rPr>
        <w:t>供应商对响应文件的修改或撤回通知应按本须知规定编制、密封、标记和发送。</w:t>
      </w:r>
    </w:p>
    <w:p w14:paraId="4D2CEB0C">
      <w:pPr>
        <w:spacing w:before="120" w:line="360" w:lineRule="auto"/>
        <w:ind w:left="900" w:hanging="900"/>
        <w:rPr>
          <w:rFonts w:hint="eastAsia" w:ascii="宋体" w:hAnsi="宋体"/>
          <w:sz w:val="24"/>
        </w:rPr>
      </w:pPr>
      <w:r>
        <w:rPr>
          <w:rFonts w:hint="eastAsia" w:ascii="宋体" w:hAnsi="宋体"/>
          <w:sz w:val="24"/>
        </w:rPr>
        <w:t>16.3</w:t>
      </w:r>
      <w:r>
        <w:rPr>
          <w:rFonts w:hint="eastAsia" w:ascii="宋体" w:hAnsi="宋体"/>
          <w:sz w:val="24"/>
        </w:rPr>
        <w:tab/>
      </w:r>
      <w:r>
        <w:rPr>
          <w:rFonts w:hint="eastAsia" w:ascii="宋体" w:hAnsi="宋体"/>
          <w:sz w:val="24"/>
        </w:rPr>
        <w:t>在响应文件提交截止期之后，供应商不得对其响应文件做任何修改。</w:t>
      </w:r>
    </w:p>
    <w:p w14:paraId="4F421B14">
      <w:pPr>
        <w:spacing w:before="120" w:line="360" w:lineRule="auto"/>
        <w:ind w:left="900" w:hanging="900"/>
        <w:rPr>
          <w:rFonts w:hint="eastAsia" w:ascii="宋体" w:hAnsi="宋体"/>
          <w:sz w:val="24"/>
        </w:rPr>
      </w:pPr>
      <w:r>
        <w:rPr>
          <w:rFonts w:hint="eastAsia" w:ascii="宋体" w:hAnsi="宋体"/>
          <w:sz w:val="24"/>
        </w:rPr>
        <w:t>16.4</w:t>
      </w:r>
      <w:r>
        <w:rPr>
          <w:rFonts w:hint="eastAsia" w:ascii="宋体" w:hAnsi="宋体"/>
          <w:sz w:val="24"/>
        </w:rPr>
        <w:tab/>
      </w:r>
      <w:r>
        <w:rPr>
          <w:rFonts w:hint="eastAsia" w:ascii="宋体" w:hAnsi="宋体"/>
          <w:sz w:val="24"/>
        </w:rPr>
        <w:t>从响应文件提交截止期至供应商在响应文件中确定的磋商有效期之间，供应商不得撤回其响应文件，否则其保证金将按照本须知的规定不予退回，</w:t>
      </w:r>
      <w:r>
        <w:rPr>
          <w:rFonts w:ascii="宋体" w:hAnsi="宋体"/>
          <w:sz w:val="24"/>
        </w:rPr>
        <w:t>除本须知</w:t>
      </w:r>
      <w:r>
        <w:rPr>
          <w:rFonts w:hint="eastAsia" w:ascii="宋体" w:hAnsi="宋体"/>
          <w:sz w:val="24"/>
        </w:rPr>
        <w:t>11</w:t>
      </w:r>
      <w:r>
        <w:rPr>
          <w:rFonts w:ascii="宋体" w:hAnsi="宋体"/>
          <w:sz w:val="24"/>
        </w:rPr>
        <w:t>.2</w:t>
      </w:r>
      <w:r>
        <w:rPr>
          <w:rFonts w:hint="eastAsia" w:ascii="宋体" w:hAnsi="宋体"/>
          <w:sz w:val="24"/>
        </w:rPr>
        <w:t>（1</w:t>
      </w:r>
      <w:r>
        <w:rPr>
          <w:rFonts w:ascii="宋体" w:hAnsi="宋体"/>
          <w:sz w:val="24"/>
        </w:rPr>
        <w:t>）</w:t>
      </w:r>
      <w:r>
        <w:rPr>
          <w:rFonts w:hint="eastAsia" w:ascii="宋体" w:hAnsi="宋体"/>
          <w:sz w:val="24"/>
        </w:rPr>
        <w:t>款</w:t>
      </w:r>
      <w:r>
        <w:rPr>
          <w:rFonts w:ascii="宋体" w:hAnsi="宋体"/>
          <w:sz w:val="24"/>
        </w:rPr>
        <w:t>所述情形外</w:t>
      </w:r>
      <w:r>
        <w:rPr>
          <w:rFonts w:hint="eastAsia" w:ascii="宋体" w:hAnsi="宋体"/>
          <w:sz w:val="24"/>
        </w:rPr>
        <w:t>。</w:t>
      </w:r>
    </w:p>
    <w:p w14:paraId="3615A170">
      <w:pPr>
        <w:pStyle w:val="4"/>
        <w:spacing w:line="360" w:lineRule="auto"/>
        <w:rPr>
          <w:rFonts w:hint="eastAsia" w:ascii="宋体" w:hAnsi="宋体" w:eastAsia="宋体"/>
          <w:sz w:val="28"/>
          <w:szCs w:val="28"/>
        </w:rPr>
      </w:pPr>
      <w:bookmarkStart w:id="110" w:name="_Toc518991930"/>
      <w:bookmarkStart w:id="111" w:name="_Toc130920521"/>
      <w:bookmarkStart w:id="112" w:name="_Toc142385507"/>
      <w:r>
        <w:rPr>
          <w:rFonts w:hint="eastAsia" w:ascii="宋体" w:hAnsi="宋体" w:eastAsia="宋体"/>
          <w:sz w:val="28"/>
          <w:szCs w:val="28"/>
        </w:rPr>
        <w:t>五   磋商</w:t>
      </w:r>
      <w:bookmarkEnd w:id="110"/>
      <w:bookmarkEnd w:id="111"/>
      <w:bookmarkEnd w:id="112"/>
    </w:p>
    <w:p w14:paraId="76DF10FD">
      <w:pPr>
        <w:pStyle w:val="6"/>
        <w:spacing w:line="360" w:lineRule="auto"/>
        <w:ind w:left="899" w:hanging="899"/>
        <w:rPr>
          <w:rFonts w:hint="eastAsia" w:hAnsi="宋体"/>
          <w:u w:val="none"/>
        </w:rPr>
      </w:pPr>
      <w:bookmarkStart w:id="113" w:name="_Toc130920522"/>
      <w:bookmarkStart w:id="114" w:name="_Toc142385508"/>
      <w:bookmarkStart w:id="115" w:name="_Toc518991931"/>
      <w:r>
        <w:rPr>
          <w:rFonts w:hint="eastAsia" w:hAnsi="宋体"/>
          <w:u w:val="none"/>
        </w:rPr>
        <w:t>17．</w:t>
      </w:r>
      <w:r>
        <w:rPr>
          <w:rFonts w:hint="eastAsia" w:hAnsi="宋体"/>
          <w:szCs w:val="24"/>
          <w:u w:val="none"/>
        </w:rPr>
        <w:t>磋商</w:t>
      </w:r>
      <w:bookmarkEnd w:id="113"/>
      <w:bookmarkEnd w:id="114"/>
      <w:bookmarkEnd w:id="115"/>
    </w:p>
    <w:p w14:paraId="669BA8CD">
      <w:pPr>
        <w:spacing w:before="120" w:line="360" w:lineRule="auto"/>
        <w:ind w:left="898" w:hanging="898"/>
        <w:rPr>
          <w:rFonts w:hint="eastAsia" w:ascii="宋体" w:hAnsi="宋体"/>
          <w:sz w:val="24"/>
        </w:rPr>
      </w:pPr>
      <w:r>
        <w:rPr>
          <w:rFonts w:hint="eastAsia" w:ascii="宋体" w:hAnsi="宋体"/>
          <w:sz w:val="24"/>
        </w:rPr>
        <w:t>17.1</w:t>
      </w:r>
      <w:r>
        <w:rPr>
          <w:rFonts w:hint="eastAsia" w:ascii="宋体" w:hAnsi="宋体"/>
          <w:sz w:val="24"/>
        </w:rPr>
        <w:tab/>
      </w:r>
      <w:r>
        <w:rPr>
          <w:rFonts w:hint="eastAsia" w:ascii="宋体" w:hAnsi="宋体"/>
          <w:sz w:val="24"/>
        </w:rPr>
        <w:t>采购单位应当按采购文件的规定，在磋商时间和地点进行磋商。磋商时所有供应商代表、采购人和有关方面代表参加。供应商须派法定代表人或授权代表参加，签名报到以证明其出席。供应商授权代表需另携带一份法人授权书及被授权人身份证原件和复印件至开标现场,以备查验。</w:t>
      </w:r>
    </w:p>
    <w:p w14:paraId="7CA7BA14">
      <w:pPr>
        <w:spacing w:line="360" w:lineRule="auto"/>
        <w:rPr>
          <w:rFonts w:hint="eastAsia" w:ascii="宋体" w:hAnsi="宋体" w:cs="宋体"/>
          <w:kern w:val="0"/>
          <w:sz w:val="24"/>
        </w:rPr>
      </w:pPr>
      <w:r>
        <w:rPr>
          <w:rFonts w:hint="eastAsia" w:ascii="宋体" w:hAnsi="宋体"/>
          <w:sz w:val="24"/>
        </w:rPr>
        <w:t>17.2    磋商小组在供应商第一次报价之后组织磋商。</w:t>
      </w:r>
    </w:p>
    <w:p w14:paraId="499A89E6">
      <w:pPr>
        <w:spacing w:before="120" w:line="360" w:lineRule="auto"/>
        <w:ind w:left="898" w:hanging="898"/>
        <w:rPr>
          <w:rFonts w:hint="eastAsia" w:ascii="宋体" w:hAnsi="宋体"/>
          <w:sz w:val="24"/>
        </w:rPr>
      </w:pPr>
      <w:r>
        <w:rPr>
          <w:rFonts w:hint="eastAsia" w:ascii="宋体" w:hAnsi="宋体"/>
          <w:sz w:val="24"/>
        </w:rPr>
        <w:t>17.4</w:t>
      </w:r>
      <w:r>
        <w:rPr>
          <w:rFonts w:hint="eastAsia" w:ascii="宋体" w:hAnsi="宋体"/>
          <w:sz w:val="24"/>
        </w:rPr>
        <w:tab/>
      </w:r>
      <w:r>
        <w:rPr>
          <w:rFonts w:hint="eastAsia" w:ascii="宋体" w:hAnsi="宋体"/>
          <w:sz w:val="24"/>
        </w:rPr>
        <w:t>所有报价须由供应商代表签字确认。</w:t>
      </w:r>
    </w:p>
    <w:p w14:paraId="48A9277A">
      <w:pPr>
        <w:pStyle w:val="6"/>
        <w:spacing w:line="360" w:lineRule="auto"/>
        <w:ind w:left="899" w:hanging="899"/>
        <w:rPr>
          <w:rFonts w:hint="eastAsia" w:hAnsi="宋体"/>
          <w:u w:val="none"/>
        </w:rPr>
      </w:pPr>
      <w:bookmarkStart w:id="116" w:name="_Toc142385509"/>
      <w:bookmarkStart w:id="117" w:name="_Toc518991932"/>
      <w:bookmarkStart w:id="118" w:name="_Toc130920523"/>
      <w:r>
        <w:rPr>
          <w:rFonts w:hint="eastAsia" w:hAnsi="宋体"/>
          <w:u w:val="none"/>
        </w:rPr>
        <w:t>18．组建</w:t>
      </w:r>
      <w:r>
        <w:rPr>
          <w:rFonts w:hint="eastAsia" w:hAnsi="宋体"/>
          <w:szCs w:val="24"/>
          <w:u w:val="none"/>
        </w:rPr>
        <w:t>磋商小组（</w:t>
      </w:r>
      <w:r>
        <w:rPr>
          <w:rFonts w:hint="eastAsia" w:hAnsi="宋体"/>
          <w:u w:val="none"/>
        </w:rPr>
        <w:t>评审委员会）</w:t>
      </w:r>
      <w:bookmarkEnd w:id="116"/>
      <w:bookmarkEnd w:id="117"/>
      <w:bookmarkEnd w:id="118"/>
    </w:p>
    <w:p w14:paraId="1C5C54E1">
      <w:pPr>
        <w:pStyle w:val="5"/>
        <w:spacing w:line="360" w:lineRule="auto"/>
        <w:ind w:left="960" w:hanging="960" w:hangingChars="400"/>
        <w:rPr>
          <w:rFonts w:hint="eastAsia" w:hAnsi="宋体"/>
        </w:rPr>
      </w:pPr>
      <w:r>
        <w:rPr>
          <w:rFonts w:hint="eastAsia" w:hAnsi="宋体"/>
          <w:szCs w:val="24"/>
        </w:rPr>
        <w:t>18.1    磋商小组</w:t>
      </w:r>
      <w:r>
        <w:rPr>
          <w:rFonts w:hint="eastAsia" w:hAnsi="宋体"/>
        </w:rPr>
        <w:t>由</w:t>
      </w:r>
      <w:r>
        <w:rPr>
          <w:rFonts w:hAnsi="宋体"/>
          <w:szCs w:val="24"/>
        </w:rPr>
        <w:t>采购单位</w:t>
      </w:r>
      <w:r>
        <w:rPr>
          <w:rFonts w:hint="eastAsia" w:hAnsi="宋体"/>
        </w:rPr>
        <w:t>根据法律法规要求和采购工程/货物/服务的特点进行组建，并负责磋商和综合评分工作。</w:t>
      </w:r>
    </w:p>
    <w:p w14:paraId="1D310240">
      <w:pPr>
        <w:pStyle w:val="6"/>
        <w:spacing w:line="360" w:lineRule="auto"/>
        <w:ind w:left="899" w:hanging="899"/>
        <w:rPr>
          <w:rFonts w:hint="eastAsia" w:hAnsi="宋体"/>
          <w:u w:val="none"/>
        </w:rPr>
      </w:pPr>
      <w:bookmarkStart w:id="119" w:name="_Toc518991933"/>
      <w:bookmarkStart w:id="120" w:name="_Toc130920524"/>
      <w:bookmarkStart w:id="121" w:name="_Toc142385510"/>
      <w:r>
        <w:rPr>
          <w:rFonts w:hint="eastAsia" w:hAnsi="宋体"/>
          <w:u w:val="none"/>
        </w:rPr>
        <w:t>19．响应文件的初审与澄清</w:t>
      </w:r>
      <w:bookmarkEnd w:id="119"/>
      <w:bookmarkEnd w:id="120"/>
      <w:bookmarkEnd w:id="121"/>
    </w:p>
    <w:p w14:paraId="7C3001CD">
      <w:pPr>
        <w:pStyle w:val="5"/>
        <w:spacing w:line="360" w:lineRule="auto"/>
        <w:ind w:firstLine="0"/>
        <w:rPr>
          <w:rFonts w:hint="eastAsia" w:hAnsi="宋体"/>
        </w:rPr>
      </w:pPr>
      <w:r>
        <w:rPr>
          <w:rFonts w:hint="eastAsia" w:hAnsi="宋体"/>
          <w:kern w:val="2"/>
          <w:szCs w:val="24"/>
        </w:rPr>
        <w:t>19.1</w:t>
      </w:r>
      <w:r>
        <w:rPr>
          <w:rFonts w:hint="eastAsia" w:hAnsi="宋体"/>
        </w:rPr>
        <w:t xml:space="preserve">    响应文件的初审分为资格性检查和符合性检查。</w:t>
      </w:r>
    </w:p>
    <w:p w14:paraId="58C20A49">
      <w:pPr>
        <w:spacing w:line="360" w:lineRule="auto"/>
        <w:ind w:left="960" w:hanging="960" w:hangingChars="400"/>
        <w:rPr>
          <w:rFonts w:hint="eastAsia" w:ascii="宋体" w:hAnsi="宋体"/>
          <w:sz w:val="24"/>
        </w:rPr>
      </w:pPr>
      <w:r>
        <w:rPr>
          <w:rFonts w:hint="eastAsia" w:ascii="宋体" w:hAnsi="宋体"/>
          <w:sz w:val="24"/>
        </w:rPr>
        <w:t>19.1.1  资格性检查指依据法律、法规和采购文件的规定，对响应文件中的资格证明、磋商保证金等进行审查，以确定供应商是否具备磋商资格。</w:t>
      </w:r>
    </w:p>
    <w:p w14:paraId="27117341">
      <w:pPr>
        <w:spacing w:line="360" w:lineRule="auto"/>
        <w:ind w:left="960" w:hanging="960" w:hangingChars="400"/>
        <w:rPr>
          <w:rFonts w:hint="eastAsia" w:ascii="宋体" w:hAnsi="宋体"/>
          <w:sz w:val="24"/>
        </w:rPr>
      </w:pPr>
      <w:r>
        <w:rPr>
          <w:rFonts w:hint="eastAsia" w:ascii="宋体" w:hAnsi="宋体"/>
          <w:sz w:val="24"/>
        </w:rPr>
        <w:t>19.1.2  符合性检查指依据采购文件的规定，从响应文件的有效性、完整性和对采购文件的响应程度进行审查，以确定是否对采购文件的实质性要求作出响应。</w:t>
      </w:r>
    </w:p>
    <w:p w14:paraId="637F4B32">
      <w:pPr>
        <w:spacing w:line="360" w:lineRule="auto"/>
        <w:ind w:left="960" w:hanging="960" w:hangingChars="400"/>
        <w:rPr>
          <w:rFonts w:hint="eastAsia" w:ascii="宋体" w:hAnsi="宋体"/>
          <w:kern w:val="0"/>
          <w:sz w:val="24"/>
          <w:szCs w:val="20"/>
        </w:rPr>
      </w:pPr>
      <w:r>
        <w:rPr>
          <w:rFonts w:hint="eastAsia" w:ascii="宋体" w:hAnsi="宋体"/>
          <w:sz w:val="24"/>
        </w:rPr>
        <w:t>19.2</w:t>
      </w:r>
      <w:r>
        <w:rPr>
          <w:rFonts w:hint="eastAsia" w:ascii="宋体" w:hAnsi="宋体"/>
          <w:sz w:val="24"/>
        </w:rPr>
        <w:tab/>
      </w:r>
      <w:r>
        <w:rPr>
          <w:rFonts w:hint="eastAsia" w:ascii="宋体" w:hAnsi="宋体"/>
          <w:sz w:val="24"/>
        </w:rPr>
        <w:t>响应文件</w:t>
      </w:r>
      <w:r>
        <w:rPr>
          <w:rFonts w:hint="eastAsia" w:ascii="宋体" w:hAnsi="宋体"/>
          <w:kern w:val="0"/>
          <w:sz w:val="24"/>
          <w:szCs w:val="20"/>
        </w:rPr>
        <w:t>的澄清</w:t>
      </w:r>
    </w:p>
    <w:p w14:paraId="25749B0D">
      <w:pPr>
        <w:spacing w:line="360" w:lineRule="auto"/>
        <w:ind w:left="960" w:hanging="960" w:hangingChars="400"/>
        <w:rPr>
          <w:rFonts w:hint="eastAsia" w:ascii="宋体" w:hAnsi="宋体"/>
          <w:sz w:val="24"/>
        </w:rPr>
      </w:pPr>
      <w:r>
        <w:rPr>
          <w:rFonts w:hint="eastAsia" w:ascii="宋体" w:hAnsi="宋体"/>
          <w:sz w:val="24"/>
        </w:rPr>
        <w:t>19.2.1  在评审期间，磋商小组有权以书面方式要求供应商对其响应文件中含义不明确、对同类问题表述不一致或者有明显文字和计算错误的内容作必要的澄清。供应商澄清应在磋商小组规定的时间内以书面方式进行。</w:t>
      </w:r>
    </w:p>
    <w:p w14:paraId="056D0C0E">
      <w:pPr>
        <w:numPr>
          <w:ilvl w:val="2"/>
          <w:numId w:val="3"/>
        </w:numPr>
        <w:spacing w:line="360" w:lineRule="auto"/>
        <w:rPr>
          <w:rFonts w:hint="eastAsia" w:ascii="宋体" w:hAnsi="宋体"/>
          <w:sz w:val="24"/>
        </w:rPr>
      </w:pPr>
      <w:r>
        <w:rPr>
          <w:rFonts w:hint="eastAsia" w:ascii="宋体" w:hAnsi="宋体"/>
          <w:sz w:val="24"/>
        </w:rPr>
        <w:t xml:space="preserve">  澄清文件将作为响应文件内容的一部分。</w:t>
      </w:r>
    </w:p>
    <w:p w14:paraId="43742FC1">
      <w:pPr>
        <w:spacing w:line="360" w:lineRule="auto"/>
        <w:ind w:left="960" w:hanging="960" w:hangingChars="400"/>
        <w:rPr>
          <w:rFonts w:hint="eastAsia" w:ascii="宋体" w:hAnsi="宋体"/>
          <w:sz w:val="24"/>
        </w:rPr>
      </w:pPr>
      <w:r>
        <w:rPr>
          <w:rFonts w:hint="eastAsia" w:ascii="宋体" w:hAnsi="宋体"/>
          <w:sz w:val="24"/>
        </w:rPr>
        <w:t>19.2.3  算术错误将按以下方法更正：“报价函附录”内容与响应文件中“分项报价表”内容不一致的，以“报价函附录” 为准；若单价计算的结果与总价不一致，以单价为准修改总价，但单价金额小数点有明显错位的，应以总价为准并修改单价；若用文字表示的数值与数字表示的数值不一致，以文字表示的数值为准。对不同文字文本响应文件的解释发生异议的，以中文文本为准。如果供应商不接受对其错误的更改，其响应文件将被拒绝。</w:t>
      </w:r>
    </w:p>
    <w:p w14:paraId="5B58E191">
      <w:pPr>
        <w:pStyle w:val="6"/>
        <w:spacing w:line="360" w:lineRule="auto"/>
        <w:ind w:left="899" w:hanging="899"/>
        <w:rPr>
          <w:rFonts w:hint="eastAsia" w:hAnsi="宋体"/>
          <w:u w:val="none"/>
        </w:rPr>
      </w:pPr>
      <w:bookmarkStart w:id="122" w:name="_Toc142385511"/>
      <w:bookmarkStart w:id="123" w:name="_Toc130920525"/>
      <w:bookmarkStart w:id="124" w:name="_Toc518991934"/>
      <w:r>
        <w:rPr>
          <w:rFonts w:hint="eastAsia" w:hAnsi="宋体"/>
          <w:u w:val="none"/>
        </w:rPr>
        <w:t>20．报价偏离与非实质性响应</w:t>
      </w:r>
      <w:bookmarkEnd w:id="122"/>
      <w:bookmarkEnd w:id="123"/>
      <w:bookmarkEnd w:id="124"/>
    </w:p>
    <w:p w14:paraId="7BD26B70">
      <w:pPr>
        <w:spacing w:line="360" w:lineRule="auto"/>
        <w:ind w:left="960" w:hanging="960" w:hangingChars="400"/>
        <w:rPr>
          <w:rFonts w:hint="eastAsia" w:ascii="宋体" w:hAnsi="宋体"/>
          <w:sz w:val="24"/>
        </w:rPr>
      </w:pPr>
      <w:r>
        <w:rPr>
          <w:rFonts w:hint="eastAsia" w:ascii="宋体" w:hAnsi="宋体"/>
          <w:sz w:val="24"/>
        </w:rPr>
        <w:t>20.1    在比较与评价之前，根据本须知的规定，磋商小组要审查每份响应文件是否实质上响应了采购文件的要求。实质上响应的文件应该是与采购文件要求的全部条款、条件和规格相符，没有重大偏离。对关键条款，例如关于磋商保证金、适用法律等内容的偏离、保留和反对，将被认为是实质上的偏离。磋商小组决定文件的响应性只根据响应文件本身的内容，而不寻求外部的证据。</w:t>
      </w:r>
    </w:p>
    <w:p w14:paraId="527099E1">
      <w:pPr>
        <w:spacing w:line="360" w:lineRule="auto"/>
        <w:ind w:left="898" w:hanging="898"/>
        <w:rPr>
          <w:rFonts w:hint="eastAsia" w:ascii="宋体" w:hAnsi="宋体"/>
          <w:b/>
          <w:sz w:val="24"/>
        </w:rPr>
      </w:pPr>
      <w:r>
        <w:rPr>
          <w:rFonts w:hint="eastAsia" w:ascii="宋体" w:hAnsi="宋体"/>
          <w:b/>
          <w:sz w:val="24"/>
        </w:rPr>
        <w:t>20.2</w:t>
      </w:r>
      <w:r>
        <w:rPr>
          <w:rFonts w:hint="eastAsia" w:ascii="宋体" w:hAnsi="宋体"/>
          <w:b/>
          <w:sz w:val="24"/>
        </w:rPr>
        <w:tab/>
      </w:r>
      <w:r>
        <w:rPr>
          <w:rFonts w:hint="eastAsia" w:ascii="宋体" w:hAnsi="宋体"/>
          <w:b/>
          <w:sz w:val="24"/>
        </w:rPr>
        <w:t>实质上没有响应采购文件要求的响应文件将被拒绝。供应商不得通过修正或撤销不符合要求的偏离或保留从而使其文件成为实质上响应的文件。如发现下列情况之一的，其磋商将被拒绝：</w:t>
      </w:r>
    </w:p>
    <w:p w14:paraId="44CC1FAF">
      <w:pPr>
        <w:numPr>
          <w:ilvl w:val="0"/>
          <w:numId w:val="4"/>
        </w:numPr>
        <w:spacing w:line="360" w:lineRule="auto"/>
        <w:rPr>
          <w:rFonts w:hint="eastAsia" w:ascii="宋体" w:hAnsi="宋体"/>
          <w:b/>
          <w:sz w:val="24"/>
        </w:rPr>
      </w:pPr>
      <w:r>
        <w:rPr>
          <w:rFonts w:hint="eastAsia" w:ascii="宋体" w:hAnsi="宋体"/>
          <w:b/>
          <w:sz w:val="24"/>
        </w:rPr>
        <w:t>迟于采购文件规定的截止时间提交响应文件的；</w:t>
      </w:r>
    </w:p>
    <w:p w14:paraId="65E85955">
      <w:pPr>
        <w:numPr>
          <w:ilvl w:val="0"/>
          <w:numId w:val="4"/>
        </w:numPr>
        <w:spacing w:line="360" w:lineRule="auto"/>
        <w:rPr>
          <w:rFonts w:hint="eastAsia" w:ascii="宋体" w:hAnsi="宋体"/>
          <w:b/>
          <w:sz w:val="24"/>
        </w:rPr>
      </w:pPr>
      <w:r>
        <w:rPr>
          <w:rFonts w:hint="eastAsia" w:ascii="宋体" w:hAnsi="宋体"/>
          <w:b/>
          <w:sz w:val="24"/>
        </w:rPr>
        <w:t>未按采购文件要求提交磋商保证金的；</w:t>
      </w:r>
    </w:p>
    <w:p w14:paraId="1DB80D23">
      <w:pPr>
        <w:numPr>
          <w:ilvl w:val="0"/>
          <w:numId w:val="4"/>
        </w:numPr>
        <w:spacing w:line="360" w:lineRule="auto"/>
        <w:rPr>
          <w:rFonts w:hint="eastAsia" w:ascii="宋体" w:hAnsi="宋体"/>
          <w:b/>
          <w:sz w:val="24"/>
        </w:rPr>
      </w:pPr>
      <w:r>
        <w:rPr>
          <w:rFonts w:hint="eastAsia" w:ascii="宋体" w:hAnsi="宋体"/>
          <w:b/>
          <w:sz w:val="24"/>
        </w:rPr>
        <w:t>未按照采购文件规定要求签署、盖章，或签字人无法定代表人有效委托书的；</w:t>
      </w:r>
    </w:p>
    <w:p w14:paraId="38DCC9D6">
      <w:pPr>
        <w:numPr>
          <w:ilvl w:val="0"/>
          <w:numId w:val="4"/>
        </w:numPr>
        <w:spacing w:line="360" w:lineRule="auto"/>
        <w:rPr>
          <w:rFonts w:hint="eastAsia" w:ascii="宋体" w:hAnsi="宋体"/>
          <w:b/>
          <w:sz w:val="24"/>
        </w:rPr>
      </w:pPr>
      <w:r>
        <w:rPr>
          <w:rFonts w:hint="eastAsia" w:ascii="宋体" w:hAnsi="宋体"/>
          <w:b/>
          <w:sz w:val="24"/>
        </w:rPr>
        <w:t>磋商有效期不满足采购文件要求的；</w:t>
      </w:r>
    </w:p>
    <w:p w14:paraId="0937F395">
      <w:pPr>
        <w:numPr>
          <w:ilvl w:val="0"/>
          <w:numId w:val="4"/>
        </w:numPr>
        <w:spacing w:line="360" w:lineRule="auto"/>
        <w:rPr>
          <w:rFonts w:hint="eastAsia" w:ascii="宋体" w:hAnsi="宋体"/>
          <w:b/>
          <w:sz w:val="24"/>
        </w:rPr>
      </w:pPr>
      <w:r>
        <w:rPr>
          <w:rFonts w:hint="eastAsia" w:ascii="宋体" w:hAnsi="宋体"/>
          <w:b/>
          <w:sz w:val="24"/>
        </w:rPr>
        <w:t xml:space="preserve">供应商不符合国家或者采购文件中规定的资格条件； </w:t>
      </w:r>
    </w:p>
    <w:p w14:paraId="428850A1">
      <w:pPr>
        <w:numPr>
          <w:ilvl w:val="0"/>
          <w:numId w:val="4"/>
        </w:numPr>
        <w:spacing w:line="360" w:lineRule="auto"/>
        <w:rPr>
          <w:rFonts w:hint="eastAsia" w:ascii="宋体" w:hAnsi="宋体"/>
          <w:b/>
          <w:sz w:val="24"/>
        </w:rPr>
      </w:pPr>
      <w:r>
        <w:rPr>
          <w:rFonts w:hint="eastAsia" w:ascii="宋体" w:hAnsi="宋体"/>
          <w:b/>
          <w:sz w:val="24"/>
        </w:rPr>
        <w:t>响应</w:t>
      </w:r>
      <w:r>
        <w:rPr>
          <w:rFonts w:ascii="宋体" w:hAnsi="宋体"/>
          <w:b/>
          <w:sz w:val="24"/>
        </w:rPr>
        <w:t>文件没有对</w:t>
      </w:r>
      <w:r>
        <w:rPr>
          <w:rFonts w:hint="eastAsia" w:ascii="宋体" w:hAnsi="宋体"/>
          <w:b/>
          <w:sz w:val="24"/>
        </w:rPr>
        <w:t>采购文件</w:t>
      </w:r>
      <w:r>
        <w:rPr>
          <w:rFonts w:ascii="宋体" w:hAnsi="宋体"/>
          <w:b/>
          <w:sz w:val="24"/>
        </w:rPr>
        <w:t>的实质性要求和条件作出响应</w:t>
      </w:r>
      <w:r>
        <w:rPr>
          <w:rFonts w:hint="eastAsia" w:ascii="宋体" w:hAnsi="宋体"/>
          <w:b/>
          <w:sz w:val="24"/>
        </w:rPr>
        <w:t>（★号条款</w:t>
      </w:r>
      <w:r>
        <w:rPr>
          <w:rFonts w:ascii="宋体" w:hAnsi="宋体"/>
          <w:b/>
          <w:sz w:val="24"/>
        </w:rPr>
        <w:t>为必要条件，若未能提供将</w:t>
      </w:r>
      <w:r>
        <w:rPr>
          <w:rFonts w:hint="eastAsia" w:ascii="宋体" w:hAnsi="宋体"/>
          <w:b/>
          <w:sz w:val="24"/>
        </w:rPr>
        <w:t>按无效标处理）；</w:t>
      </w:r>
    </w:p>
    <w:p w14:paraId="0289FE7E">
      <w:pPr>
        <w:numPr>
          <w:ilvl w:val="0"/>
          <w:numId w:val="4"/>
        </w:numPr>
        <w:spacing w:line="360" w:lineRule="auto"/>
        <w:rPr>
          <w:rFonts w:hint="eastAsia" w:ascii="宋体" w:hAnsi="宋体"/>
          <w:b/>
          <w:sz w:val="24"/>
        </w:rPr>
      </w:pPr>
      <w:r>
        <w:rPr>
          <w:rFonts w:hint="eastAsia" w:ascii="宋体" w:hAnsi="宋体"/>
          <w:b/>
          <w:sz w:val="24"/>
        </w:rPr>
        <w:t>报价不符合磋商文件要求的：报价超过招标控制价金额；报价或分项报价明显不合理或者低于成本，有可能影响质量和不能诚信履约的，供应商不能合理说明和不能提供相关证明材料的；</w:t>
      </w:r>
    </w:p>
    <w:p w14:paraId="02F4DEA0">
      <w:pPr>
        <w:numPr>
          <w:ilvl w:val="0"/>
          <w:numId w:val="4"/>
        </w:numPr>
        <w:spacing w:line="360" w:lineRule="auto"/>
        <w:rPr>
          <w:rFonts w:hint="eastAsia" w:ascii="宋体" w:hAnsi="宋体"/>
          <w:b/>
          <w:sz w:val="24"/>
        </w:rPr>
      </w:pPr>
      <w:r>
        <w:rPr>
          <w:rFonts w:hint="eastAsia" w:ascii="宋体" w:hAnsi="宋体"/>
          <w:b/>
          <w:sz w:val="24"/>
        </w:rPr>
        <w:t>在同一份响应文件中，对同一采购内容报有两个或多个报价的，但采购文件要求提交备选方案报价的除外；</w:t>
      </w:r>
    </w:p>
    <w:p w14:paraId="070D521C">
      <w:pPr>
        <w:numPr>
          <w:ilvl w:val="0"/>
          <w:numId w:val="4"/>
        </w:numPr>
        <w:spacing w:line="360" w:lineRule="auto"/>
        <w:rPr>
          <w:rFonts w:hint="eastAsia" w:ascii="宋体" w:hAnsi="宋体"/>
          <w:b/>
          <w:sz w:val="24"/>
        </w:rPr>
      </w:pPr>
      <w:r>
        <w:rPr>
          <w:rFonts w:ascii="宋体" w:hAnsi="宋体"/>
          <w:b/>
          <w:sz w:val="24"/>
        </w:rPr>
        <w:t>不接受评委对</w:t>
      </w:r>
      <w:r>
        <w:rPr>
          <w:rFonts w:hint="eastAsia" w:ascii="宋体" w:hAnsi="宋体"/>
          <w:b/>
          <w:sz w:val="24"/>
        </w:rPr>
        <w:t>磋商</w:t>
      </w:r>
      <w:r>
        <w:rPr>
          <w:rFonts w:ascii="宋体" w:hAnsi="宋体"/>
          <w:b/>
          <w:sz w:val="24"/>
        </w:rPr>
        <w:t>文件中算术错误更正；</w:t>
      </w:r>
    </w:p>
    <w:p w14:paraId="2513A634">
      <w:pPr>
        <w:numPr>
          <w:ilvl w:val="0"/>
          <w:numId w:val="4"/>
        </w:numPr>
        <w:spacing w:line="360" w:lineRule="auto"/>
        <w:rPr>
          <w:rFonts w:hint="eastAsia" w:ascii="宋体" w:hAnsi="宋体"/>
          <w:b/>
          <w:sz w:val="24"/>
        </w:rPr>
      </w:pPr>
      <w:r>
        <w:rPr>
          <w:rFonts w:hint="eastAsia" w:ascii="宋体" w:hAnsi="宋体"/>
          <w:b/>
          <w:sz w:val="24"/>
        </w:rPr>
        <w:t>供应商有串通投标、弄虚作假、行贿等违法行为；</w:t>
      </w:r>
    </w:p>
    <w:p w14:paraId="7DDBE748">
      <w:pPr>
        <w:numPr>
          <w:ilvl w:val="0"/>
          <w:numId w:val="4"/>
        </w:numPr>
        <w:spacing w:line="360" w:lineRule="auto"/>
        <w:rPr>
          <w:rFonts w:hint="eastAsia" w:ascii="宋体" w:hAnsi="宋体"/>
          <w:b/>
          <w:sz w:val="24"/>
        </w:rPr>
      </w:pPr>
      <w:r>
        <w:rPr>
          <w:rFonts w:hint="eastAsia" w:ascii="宋体" w:hAnsi="宋体"/>
          <w:b/>
          <w:sz w:val="24"/>
        </w:rPr>
        <w:t>不符合法律、法规和采购文件中规定的其他实质性要求的。</w:t>
      </w:r>
    </w:p>
    <w:p w14:paraId="7844AD57">
      <w:pPr>
        <w:pStyle w:val="6"/>
        <w:spacing w:line="360" w:lineRule="auto"/>
        <w:ind w:left="899" w:hanging="899"/>
        <w:rPr>
          <w:rFonts w:hint="eastAsia" w:hAnsi="宋体"/>
          <w:u w:val="none"/>
        </w:rPr>
      </w:pPr>
      <w:bookmarkStart w:id="125" w:name="_Toc518991935"/>
      <w:bookmarkStart w:id="126" w:name="_Toc142385512"/>
      <w:bookmarkStart w:id="127" w:name="_Toc130920526"/>
      <w:r>
        <w:rPr>
          <w:rFonts w:hint="eastAsia" w:hAnsi="宋体"/>
          <w:u w:val="none"/>
        </w:rPr>
        <w:t>21．比较与评价</w:t>
      </w:r>
      <w:bookmarkEnd w:id="125"/>
      <w:bookmarkEnd w:id="126"/>
      <w:bookmarkEnd w:id="127"/>
    </w:p>
    <w:p w14:paraId="7DBAC9EE">
      <w:pPr>
        <w:spacing w:before="120" w:line="360" w:lineRule="auto"/>
        <w:ind w:left="900" w:hanging="900"/>
        <w:rPr>
          <w:rFonts w:hint="eastAsia" w:ascii="宋体" w:hAnsi="宋体"/>
          <w:sz w:val="24"/>
        </w:rPr>
      </w:pPr>
      <w:r>
        <w:rPr>
          <w:rFonts w:hint="eastAsia" w:ascii="宋体" w:hAnsi="宋体"/>
          <w:sz w:val="24"/>
        </w:rPr>
        <w:t>21.1</w:t>
      </w:r>
      <w:r>
        <w:rPr>
          <w:rFonts w:hint="eastAsia" w:ascii="宋体" w:hAnsi="宋体"/>
          <w:sz w:val="24"/>
        </w:rPr>
        <w:tab/>
      </w:r>
      <w:r>
        <w:rPr>
          <w:rFonts w:hint="eastAsia" w:ascii="宋体" w:hAnsi="宋体"/>
          <w:sz w:val="24"/>
        </w:rPr>
        <w:t>经初审合格的响应文件，磋商小组将根据采购文件的规定与各供应商就其提供的技术部分和服务部分进行磋商。</w:t>
      </w:r>
    </w:p>
    <w:p w14:paraId="01E19BE3">
      <w:pPr>
        <w:spacing w:before="120" w:line="360" w:lineRule="auto"/>
        <w:ind w:left="899" w:leftChars="428"/>
        <w:rPr>
          <w:rFonts w:hint="eastAsia" w:ascii="宋体" w:hAnsi="宋体"/>
          <w:sz w:val="24"/>
        </w:rPr>
      </w:pPr>
      <w:r>
        <w:rPr>
          <w:rFonts w:hint="eastAsia" w:ascii="宋体" w:hAnsi="宋体"/>
          <w:sz w:val="24"/>
        </w:rPr>
        <w:t>磋商顺序为按照供应商提交响应文件的顺序进行，即第一名提交响应文件的供应商先进行磋商。</w:t>
      </w:r>
    </w:p>
    <w:p w14:paraId="472600A6">
      <w:pPr>
        <w:spacing w:before="120" w:line="360" w:lineRule="auto"/>
        <w:ind w:left="900" w:hanging="900"/>
        <w:rPr>
          <w:rFonts w:hint="eastAsia" w:ascii="宋体" w:hAnsi="宋体"/>
          <w:sz w:val="24"/>
        </w:rPr>
      </w:pPr>
      <w:r>
        <w:rPr>
          <w:rFonts w:hint="eastAsia" w:ascii="宋体" w:hAnsi="宋体"/>
          <w:sz w:val="24"/>
        </w:rPr>
        <w:t>21.2   磋商小组所有成员集中与单一供应商分别进行磋商，给予所有参加磋商的供应商平等的磋商机会。</w:t>
      </w:r>
    </w:p>
    <w:p w14:paraId="17F3A817">
      <w:pPr>
        <w:spacing w:before="120" w:line="360" w:lineRule="auto"/>
        <w:ind w:left="899" w:leftChars="428"/>
        <w:rPr>
          <w:rFonts w:hint="eastAsia" w:ascii="宋体" w:hAnsi="宋体"/>
          <w:sz w:val="24"/>
        </w:rPr>
      </w:pPr>
      <w:r>
        <w:rPr>
          <w:rFonts w:hint="eastAsia" w:ascii="宋体" w:hAnsi="宋体"/>
          <w:sz w:val="24"/>
        </w:rPr>
        <w:t>在磋商过程中，磋商小组经采购人代表确认后可以根据磋商文件和磋商情况实质性变动采购需求中的技术、服务要求以及合同草案条款，并以书面形式通知所有参加磋商的供应商。对磋商文件作出的实质性变动是磋商文件的有效组成部分。</w:t>
      </w:r>
    </w:p>
    <w:p w14:paraId="79844548">
      <w:pPr>
        <w:spacing w:before="120" w:line="360" w:lineRule="auto"/>
        <w:rPr>
          <w:rFonts w:hint="eastAsia" w:ascii="宋体" w:hAnsi="宋体"/>
          <w:sz w:val="24"/>
        </w:rPr>
      </w:pPr>
      <w:r>
        <w:rPr>
          <w:rFonts w:hint="eastAsia" w:ascii="宋体" w:hAnsi="宋体"/>
          <w:sz w:val="24"/>
        </w:rPr>
        <w:t>21.3    最后报价</w:t>
      </w:r>
    </w:p>
    <w:p w14:paraId="6262CD92">
      <w:pPr>
        <w:spacing w:before="120" w:line="360" w:lineRule="auto"/>
        <w:ind w:left="898" w:hanging="898"/>
        <w:rPr>
          <w:rFonts w:hint="eastAsia" w:ascii="宋体" w:hAnsi="宋体"/>
          <w:sz w:val="24"/>
        </w:rPr>
      </w:pPr>
      <w:r>
        <w:rPr>
          <w:rFonts w:hint="eastAsia" w:ascii="宋体" w:hAnsi="宋体"/>
          <w:sz w:val="24"/>
        </w:rPr>
        <w:t>21.3.1根据供应商的数量、一次报价情况及各供应商的响应文件响应情况，由磋商小组现场决定最后报价的时间。报价次数详见“供应商须知前附表”。</w:t>
      </w:r>
    </w:p>
    <w:p w14:paraId="037541F8">
      <w:pPr>
        <w:spacing w:before="120" w:line="360" w:lineRule="auto"/>
        <w:ind w:left="898" w:hanging="898"/>
        <w:rPr>
          <w:rFonts w:hint="eastAsia" w:ascii="宋体" w:hAnsi="宋体"/>
          <w:sz w:val="24"/>
        </w:rPr>
      </w:pPr>
      <w:r>
        <w:rPr>
          <w:rFonts w:hint="eastAsia" w:ascii="宋体" w:hAnsi="宋体"/>
          <w:sz w:val="24"/>
        </w:rPr>
        <w:t>21.3.2 最后报价是供应商响应文件的有效组成部分。</w:t>
      </w:r>
    </w:p>
    <w:p w14:paraId="44707819">
      <w:pPr>
        <w:spacing w:before="120" w:line="360" w:lineRule="auto"/>
        <w:ind w:left="898" w:hanging="898"/>
        <w:rPr>
          <w:rFonts w:hint="eastAsia" w:ascii="宋体" w:hAnsi="宋体"/>
          <w:sz w:val="24"/>
        </w:rPr>
      </w:pPr>
      <w:r>
        <w:rPr>
          <w:rFonts w:hint="eastAsia" w:ascii="宋体" w:hAnsi="宋体"/>
          <w:sz w:val="24"/>
        </w:rPr>
        <w:t>21.3.3没有提交有效最后报价的供应商，视为放弃最后报价，以其第一次报价（响应文件报价）为准。</w:t>
      </w:r>
    </w:p>
    <w:p w14:paraId="29BC28FB">
      <w:pPr>
        <w:spacing w:before="120" w:line="360" w:lineRule="auto"/>
        <w:ind w:left="898" w:hanging="898"/>
        <w:rPr>
          <w:rFonts w:hint="eastAsia" w:ascii="宋体" w:hAnsi="宋体"/>
          <w:sz w:val="24"/>
        </w:rPr>
      </w:pPr>
      <w:r>
        <w:rPr>
          <w:rFonts w:hint="eastAsia" w:ascii="宋体" w:hAnsi="宋体"/>
          <w:sz w:val="24"/>
        </w:rPr>
        <w:t>21.4   综合评分</w:t>
      </w:r>
    </w:p>
    <w:p w14:paraId="327CED1E">
      <w:pPr>
        <w:spacing w:before="120" w:line="360" w:lineRule="auto"/>
        <w:ind w:left="898" w:hanging="898"/>
        <w:rPr>
          <w:rFonts w:hint="eastAsia" w:ascii="宋体" w:hAnsi="宋体"/>
          <w:sz w:val="24"/>
        </w:rPr>
      </w:pPr>
      <w:r>
        <w:rPr>
          <w:rFonts w:hint="eastAsia" w:ascii="宋体" w:hAnsi="宋体"/>
          <w:sz w:val="24"/>
        </w:rPr>
        <w:t>21.4.1 经磋商确定最终采购需求和提交报价的供应商后，磋商小组将采用综合评分法对提交最后报价的供应商的响应文件和最后报价进行综合评分。</w:t>
      </w:r>
    </w:p>
    <w:p w14:paraId="7DA159C2">
      <w:pPr>
        <w:spacing w:before="120" w:line="360" w:lineRule="auto"/>
        <w:ind w:left="898" w:hanging="898"/>
        <w:rPr>
          <w:rFonts w:hint="eastAsia" w:ascii="宋体" w:hAnsi="宋体"/>
          <w:sz w:val="24"/>
        </w:rPr>
      </w:pPr>
      <w:r>
        <w:rPr>
          <w:rFonts w:hint="eastAsia" w:ascii="宋体" w:hAnsi="宋体"/>
          <w:sz w:val="24"/>
        </w:rPr>
        <w:t>21.4.2综合评分法。响应</w:t>
      </w:r>
      <w:r>
        <w:rPr>
          <w:rFonts w:ascii="宋体" w:hAnsi="宋体"/>
          <w:sz w:val="24"/>
        </w:rPr>
        <w:t>文件满足磋商文件全部实质性要求</w:t>
      </w:r>
      <w:r>
        <w:rPr>
          <w:rFonts w:hint="eastAsia" w:ascii="宋体" w:hAnsi="宋体"/>
          <w:sz w:val="24"/>
        </w:rPr>
        <w:t>且</w:t>
      </w:r>
      <w:r>
        <w:rPr>
          <w:rFonts w:ascii="宋体" w:hAnsi="宋体"/>
          <w:sz w:val="24"/>
        </w:rPr>
        <w:t>按评审因素的量化指标评审得分最高的</w:t>
      </w:r>
      <w:r>
        <w:rPr>
          <w:rFonts w:hint="eastAsia" w:ascii="宋体" w:hAnsi="宋体"/>
          <w:sz w:val="24"/>
        </w:rPr>
        <w:t>供应商</w:t>
      </w:r>
      <w:r>
        <w:rPr>
          <w:rFonts w:ascii="宋体" w:hAnsi="宋体"/>
          <w:sz w:val="24"/>
        </w:rPr>
        <w:t>为成交候选供应商的评审方法。</w:t>
      </w:r>
    </w:p>
    <w:p w14:paraId="31FD5AB8">
      <w:pPr>
        <w:spacing w:before="120" w:line="360" w:lineRule="auto"/>
        <w:ind w:left="898" w:hanging="898"/>
        <w:rPr>
          <w:rFonts w:hint="eastAsia" w:ascii="宋体" w:hAnsi="宋体"/>
          <w:b/>
          <w:sz w:val="24"/>
        </w:rPr>
      </w:pPr>
      <w:r>
        <w:rPr>
          <w:rFonts w:ascii="宋体" w:hAnsi="宋体"/>
          <w:b/>
          <w:sz w:val="24"/>
        </w:rPr>
        <w:br w:type="page"/>
      </w:r>
      <w:r>
        <w:rPr>
          <w:rFonts w:hint="eastAsia" w:ascii="宋体" w:hAnsi="宋体"/>
          <w:b/>
          <w:sz w:val="24"/>
        </w:rPr>
        <w:t>评审标准</w:t>
      </w:r>
    </w:p>
    <w:p w14:paraId="5F8E0668">
      <w:pPr>
        <w:spacing w:before="120" w:line="360" w:lineRule="auto"/>
        <w:ind w:left="898" w:hanging="898"/>
        <w:jc w:val="center"/>
        <w:rPr>
          <w:rFonts w:hint="eastAsia" w:ascii="宋体" w:hAnsi="宋体"/>
          <w:b/>
          <w:szCs w:val="21"/>
        </w:rPr>
      </w:pPr>
      <w:r>
        <w:rPr>
          <w:rFonts w:hint="eastAsia" w:ascii="宋体" w:hAnsi="宋体"/>
          <w:b/>
          <w:szCs w:val="21"/>
        </w:rPr>
        <w:t>一、资格性</w:t>
      </w:r>
      <w:r>
        <w:rPr>
          <w:rFonts w:ascii="宋体" w:hAnsi="宋体"/>
          <w:b/>
          <w:szCs w:val="21"/>
        </w:rPr>
        <w:t>评审</w:t>
      </w:r>
    </w:p>
    <w:tbl>
      <w:tblPr>
        <w:tblStyle w:val="81"/>
        <w:tblW w:w="836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6"/>
        <w:gridCol w:w="2365"/>
        <w:gridCol w:w="5103"/>
      </w:tblGrid>
      <w:tr w14:paraId="038331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2" w:hRule="atLeast"/>
          <w:tblHeader/>
        </w:trPr>
        <w:tc>
          <w:tcPr>
            <w:tcW w:w="896" w:type="dxa"/>
            <w:vMerge w:val="restart"/>
            <w:tcBorders>
              <w:top w:val="single" w:color="auto" w:sz="4" w:space="0"/>
              <w:left w:val="single" w:color="auto" w:sz="4" w:space="0"/>
              <w:right w:val="single" w:color="auto" w:sz="4" w:space="0"/>
            </w:tcBorders>
            <w:vAlign w:val="center"/>
          </w:tcPr>
          <w:p w14:paraId="66989B25">
            <w:pPr>
              <w:spacing w:before="60" w:beforeLines="25" w:after="60" w:afterLines="25" w:line="360" w:lineRule="auto"/>
              <w:jc w:val="center"/>
              <w:rPr>
                <w:rFonts w:ascii="Arial" w:hAnsi="Arial" w:cs="Arial"/>
                <w:snapToGrid w:val="0"/>
                <w:kern w:val="0"/>
                <w:szCs w:val="21"/>
              </w:rPr>
            </w:pPr>
            <w:r>
              <w:rPr>
                <w:rFonts w:hint="eastAsia" w:ascii="Arial" w:hAnsi="Arial" w:cs="Arial"/>
                <w:snapToGrid w:val="0"/>
                <w:kern w:val="0"/>
                <w:szCs w:val="21"/>
              </w:rPr>
              <w:t>序号</w:t>
            </w:r>
          </w:p>
        </w:tc>
        <w:tc>
          <w:tcPr>
            <w:tcW w:w="2365" w:type="dxa"/>
            <w:vMerge w:val="restart"/>
            <w:tcBorders>
              <w:top w:val="single" w:color="auto" w:sz="4" w:space="0"/>
              <w:left w:val="single" w:color="auto" w:sz="4" w:space="0"/>
              <w:right w:val="single" w:color="auto" w:sz="4" w:space="0"/>
            </w:tcBorders>
            <w:vAlign w:val="center"/>
          </w:tcPr>
          <w:p w14:paraId="0784D2B5">
            <w:pPr>
              <w:spacing w:before="60" w:beforeLines="25" w:after="60" w:afterLines="25" w:line="360" w:lineRule="auto"/>
              <w:jc w:val="center"/>
              <w:rPr>
                <w:rFonts w:ascii="Arial" w:hAnsi="Arial" w:cs="Arial"/>
                <w:snapToGrid w:val="0"/>
                <w:kern w:val="0"/>
                <w:szCs w:val="21"/>
              </w:rPr>
            </w:pPr>
            <w:r>
              <w:rPr>
                <w:rFonts w:ascii="Arial" w:hAnsi="Arial" w:cs="Arial"/>
                <w:snapToGrid w:val="0"/>
                <w:kern w:val="0"/>
                <w:szCs w:val="21"/>
              </w:rPr>
              <w:t>评审</w:t>
            </w:r>
            <w:r>
              <w:rPr>
                <w:rFonts w:hint="eastAsia" w:ascii="Arial" w:hAnsi="Arial" w:cs="Arial"/>
                <w:snapToGrid w:val="0"/>
                <w:kern w:val="0"/>
                <w:szCs w:val="21"/>
              </w:rPr>
              <w:t>因素</w:t>
            </w:r>
          </w:p>
        </w:tc>
        <w:tc>
          <w:tcPr>
            <w:tcW w:w="5103" w:type="dxa"/>
            <w:vMerge w:val="restart"/>
            <w:tcBorders>
              <w:top w:val="single" w:color="auto" w:sz="4" w:space="0"/>
              <w:left w:val="single" w:color="auto" w:sz="4" w:space="0"/>
            </w:tcBorders>
            <w:vAlign w:val="center"/>
          </w:tcPr>
          <w:p w14:paraId="0D940B53">
            <w:pPr>
              <w:widowControl/>
              <w:spacing w:line="360" w:lineRule="auto"/>
              <w:jc w:val="center"/>
              <w:rPr>
                <w:rFonts w:ascii="Arial" w:hAnsi="Arial" w:cs="Arial"/>
                <w:snapToGrid w:val="0"/>
                <w:kern w:val="0"/>
                <w:szCs w:val="21"/>
              </w:rPr>
            </w:pPr>
            <w:r>
              <w:rPr>
                <w:rFonts w:hint="eastAsia" w:ascii="Arial" w:hAnsi="Arial" w:cs="Arial"/>
                <w:snapToGrid w:val="0"/>
                <w:kern w:val="0"/>
                <w:szCs w:val="21"/>
              </w:rPr>
              <w:t>评审标准</w:t>
            </w:r>
          </w:p>
        </w:tc>
      </w:tr>
      <w:tr w14:paraId="7693E1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1" w:hRule="atLeast"/>
          <w:tblHeader/>
        </w:trPr>
        <w:tc>
          <w:tcPr>
            <w:tcW w:w="896" w:type="dxa"/>
            <w:vMerge w:val="continue"/>
            <w:tcBorders>
              <w:left w:val="single" w:color="auto" w:sz="4" w:space="0"/>
              <w:bottom w:val="single" w:color="auto" w:sz="4" w:space="0"/>
              <w:right w:val="single" w:color="auto" w:sz="4" w:space="0"/>
            </w:tcBorders>
            <w:vAlign w:val="center"/>
          </w:tcPr>
          <w:p w14:paraId="5AFC3354">
            <w:pPr>
              <w:spacing w:before="60" w:beforeLines="25" w:after="60" w:afterLines="25" w:line="360" w:lineRule="auto"/>
              <w:jc w:val="center"/>
              <w:rPr>
                <w:rFonts w:ascii="Arial" w:hAnsi="Arial" w:cs="Arial"/>
                <w:snapToGrid w:val="0"/>
                <w:kern w:val="0"/>
                <w:szCs w:val="21"/>
              </w:rPr>
            </w:pPr>
          </w:p>
        </w:tc>
        <w:tc>
          <w:tcPr>
            <w:tcW w:w="2365" w:type="dxa"/>
            <w:vMerge w:val="continue"/>
            <w:tcBorders>
              <w:left w:val="single" w:color="auto" w:sz="4" w:space="0"/>
              <w:bottom w:val="single" w:color="auto" w:sz="4" w:space="0"/>
              <w:right w:val="single" w:color="auto" w:sz="4" w:space="0"/>
            </w:tcBorders>
            <w:vAlign w:val="center"/>
          </w:tcPr>
          <w:p w14:paraId="184A054B">
            <w:pPr>
              <w:spacing w:before="60" w:beforeLines="25" w:after="60" w:afterLines="25" w:line="360" w:lineRule="auto"/>
              <w:jc w:val="center"/>
              <w:rPr>
                <w:rFonts w:ascii="Arial" w:hAnsi="Arial" w:cs="Arial"/>
                <w:snapToGrid w:val="0"/>
                <w:kern w:val="0"/>
                <w:szCs w:val="21"/>
              </w:rPr>
            </w:pPr>
          </w:p>
        </w:tc>
        <w:tc>
          <w:tcPr>
            <w:tcW w:w="5103" w:type="dxa"/>
            <w:vMerge w:val="continue"/>
            <w:tcBorders>
              <w:left w:val="single" w:color="auto" w:sz="4" w:space="0"/>
              <w:bottom w:val="single" w:color="auto" w:sz="4" w:space="0"/>
              <w:right w:val="single" w:color="auto" w:sz="4" w:space="0"/>
            </w:tcBorders>
            <w:vAlign w:val="center"/>
          </w:tcPr>
          <w:p w14:paraId="6AB9D7AC">
            <w:pPr>
              <w:spacing w:before="60" w:beforeLines="25" w:after="60" w:afterLines="25" w:line="360" w:lineRule="auto"/>
              <w:rPr>
                <w:rFonts w:ascii="Arial" w:hAnsi="Arial" w:cs="Arial"/>
                <w:snapToGrid w:val="0"/>
                <w:kern w:val="0"/>
                <w:szCs w:val="21"/>
              </w:rPr>
            </w:pPr>
          </w:p>
        </w:tc>
      </w:tr>
      <w:tr w14:paraId="73ED90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4" w:hRule="atLeast"/>
        </w:trPr>
        <w:tc>
          <w:tcPr>
            <w:tcW w:w="896" w:type="dxa"/>
            <w:tcBorders>
              <w:top w:val="single" w:color="auto" w:sz="4" w:space="0"/>
              <w:left w:val="single" w:color="auto" w:sz="4" w:space="0"/>
              <w:bottom w:val="single" w:color="auto" w:sz="4" w:space="0"/>
              <w:right w:val="single" w:color="auto" w:sz="4" w:space="0"/>
            </w:tcBorders>
            <w:vAlign w:val="center"/>
          </w:tcPr>
          <w:p w14:paraId="22516E18">
            <w:pPr>
              <w:spacing w:line="320" w:lineRule="exact"/>
              <w:jc w:val="center"/>
              <w:rPr>
                <w:rFonts w:ascii="Arial" w:hAnsi="Arial" w:cs="Arial"/>
                <w:snapToGrid w:val="0"/>
                <w:kern w:val="0"/>
                <w:szCs w:val="21"/>
              </w:rPr>
            </w:pPr>
            <w:r>
              <w:rPr>
                <w:rFonts w:hint="eastAsia" w:ascii="Arial" w:hAnsi="Arial" w:cs="Arial"/>
                <w:snapToGrid w:val="0"/>
                <w:kern w:val="0"/>
                <w:szCs w:val="21"/>
              </w:rPr>
              <w:t>1</w:t>
            </w:r>
          </w:p>
        </w:tc>
        <w:tc>
          <w:tcPr>
            <w:tcW w:w="2365" w:type="dxa"/>
            <w:tcBorders>
              <w:top w:val="single" w:color="auto" w:sz="4" w:space="0"/>
              <w:left w:val="single" w:color="auto" w:sz="4" w:space="0"/>
              <w:bottom w:val="single" w:color="auto" w:sz="4" w:space="0"/>
              <w:right w:val="single" w:color="auto" w:sz="4" w:space="0"/>
            </w:tcBorders>
            <w:vAlign w:val="center"/>
          </w:tcPr>
          <w:p w14:paraId="28F957C7">
            <w:pPr>
              <w:spacing w:line="320" w:lineRule="exact"/>
              <w:jc w:val="center"/>
              <w:rPr>
                <w:snapToGrid w:val="0"/>
                <w:kern w:val="0"/>
                <w:szCs w:val="21"/>
              </w:rPr>
            </w:pPr>
            <w:r>
              <w:rPr>
                <w:snapToGrid w:val="0"/>
                <w:kern w:val="0"/>
                <w:szCs w:val="21"/>
              </w:rPr>
              <w:t>营业执照</w:t>
            </w:r>
          </w:p>
        </w:tc>
        <w:tc>
          <w:tcPr>
            <w:tcW w:w="5103" w:type="dxa"/>
            <w:tcBorders>
              <w:top w:val="single" w:color="auto" w:sz="4" w:space="0"/>
              <w:left w:val="single" w:color="auto" w:sz="4" w:space="0"/>
              <w:bottom w:val="single" w:color="auto" w:sz="4" w:space="0"/>
              <w:right w:val="single" w:color="auto" w:sz="4" w:space="0"/>
            </w:tcBorders>
            <w:vAlign w:val="center"/>
          </w:tcPr>
          <w:p w14:paraId="00A92498">
            <w:pPr>
              <w:spacing w:line="320" w:lineRule="exact"/>
              <w:rPr>
                <w:rFonts w:ascii="Arial" w:hAnsi="Arial" w:cs="Arial"/>
                <w:snapToGrid w:val="0"/>
                <w:kern w:val="0"/>
                <w:szCs w:val="21"/>
              </w:rPr>
            </w:pPr>
            <w:r>
              <w:rPr>
                <w:snapToGrid w:val="0"/>
                <w:kern w:val="0"/>
                <w:szCs w:val="21"/>
              </w:rPr>
              <w:t>具备有效的营业执照</w:t>
            </w:r>
          </w:p>
        </w:tc>
      </w:tr>
      <w:tr w14:paraId="65346B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4" w:hRule="atLeast"/>
        </w:trPr>
        <w:tc>
          <w:tcPr>
            <w:tcW w:w="896" w:type="dxa"/>
            <w:tcBorders>
              <w:top w:val="single" w:color="auto" w:sz="4" w:space="0"/>
              <w:left w:val="single" w:color="auto" w:sz="4" w:space="0"/>
              <w:bottom w:val="single" w:color="auto" w:sz="4" w:space="0"/>
              <w:right w:val="single" w:color="auto" w:sz="4" w:space="0"/>
            </w:tcBorders>
            <w:vAlign w:val="center"/>
          </w:tcPr>
          <w:p w14:paraId="5A5393D2">
            <w:pPr>
              <w:spacing w:line="320" w:lineRule="exact"/>
              <w:jc w:val="center"/>
              <w:rPr>
                <w:rFonts w:ascii="Arial" w:hAnsi="Arial" w:cs="Arial"/>
                <w:snapToGrid w:val="0"/>
                <w:kern w:val="0"/>
                <w:szCs w:val="21"/>
              </w:rPr>
            </w:pPr>
            <w:r>
              <w:rPr>
                <w:rFonts w:hint="eastAsia" w:ascii="Arial" w:hAnsi="Arial" w:cs="Arial"/>
                <w:snapToGrid w:val="0"/>
                <w:kern w:val="0"/>
                <w:szCs w:val="21"/>
              </w:rPr>
              <w:t>2</w:t>
            </w:r>
          </w:p>
        </w:tc>
        <w:tc>
          <w:tcPr>
            <w:tcW w:w="2365" w:type="dxa"/>
            <w:tcBorders>
              <w:top w:val="single" w:color="auto" w:sz="4" w:space="0"/>
              <w:left w:val="single" w:color="auto" w:sz="4" w:space="0"/>
              <w:bottom w:val="single" w:color="auto" w:sz="4" w:space="0"/>
              <w:right w:val="single" w:color="auto" w:sz="4" w:space="0"/>
            </w:tcBorders>
            <w:vAlign w:val="center"/>
          </w:tcPr>
          <w:p w14:paraId="535AD454">
            <w:pPr>
              <w:spacing w:line="320" w:lineRule="exact"/>
              <w:jc w:val="center"/>
              <w:rPr>
                <w:snapToGrid w:val="0"/>
                <w:kern w:val="0"/>
                <w:szCs w:val="21"/>
              </w:rPr>
            </w:pPr>
            <w:r>
              <w:rPr>
                <w:rFonts w:hint="eastAsia"/>
                <w:snapToGrid w:val="0"/>
                <w:kern w:val="0"/>
                <w:szCs w:val="21"/>
              </w:rPr>
              <w:t>安全生产许可证</w:t>
            </w:r>
          </w:p>
        </w:tc>
        <w:tc>
          <w:tcPr>
            <w:tcW w:w="5103" w:type="dxa"/>
            <w:tcBorders>
              <w:top w:val="single" w:color="auto" w:sz="4" w:space="0"/>
              <w:left w:val="single" w:color="auto" w:sz="4" w:space="0"/>
              <w:bottom w:val="single" w:color="auto" w:sz="4" w:space="0"/>
              <w:right w:val="single" w:color="auto" w:sz="4" w:space="0"/>
            </w:tcBorders>
            <w:vAlign w:val="center"/>
          </w:tcPr>
          <w:p w14:paraId="5E9069B7">
            <w:pPr>
              <w:spacing w:line="320" w:lineRule="exact"/>
              <w:rPr>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”第1.2项规定</w:t>
            </w:r>
          </w:p>
        </w:tc>
      </w:tr>
      <w:tr w14:paraId="3D0AE3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4" w:hRule="atLeast"/>
        </w:trPr>
        <w:tc>
          <w:tcPr>
            <w:tcW w:w="896" w:type="dxa"/>
            <w:tcBorders>
              <w:top w:val="single" w:color="auto" w:sz="4" w:space="0"/>
              <w:left w:val="single" w:color="auto" w:sz="4" w:space="0"/>
              <w:bottom w:val="single" w:color="auto" w:sz="4" w:space="0"/>
              <w:right w:val="single" w:color="auto" w:sz="4" w:space="0"/>
            </w:tcBorders>
            <w:vAlign w:val="center"/>
          </w:tcPr>
          <w:p w14:paraId="18A13C7B">
            <w:pPr>
              <w:spacing w:line="320" w:lineRule="exact"/>
              <w:jc w:val="center"/>
              <w:rPr>
                <w:rFonts w:ascii="Arial" w:hAnsi="Arial" w:cs="Arial"/>
                <w:snapToGrid w:val="0"/>
                <w:kern w:val="0"/>
                <w:szCs w:val="21"/>
              </w:rPr>
            </w:pPr>
            <w:r>
              <w:rPr>
                <w:rFonts w:ascii="Arial" w:hAnsi="Arial" w:cs="Arial"/>
                <w:snapToGrid w:val="0"/>
                <w:kern w:val="0"/>
                <w:szCs w:val="21"/>
              </w:rPr>
              <w:t>3</w:t>
            </w:r>
          </w:p>
        </w:tc>
        <w:tc>
          <w:tcPr>
            <w:tcW w:w="2365" w:type="dxa"/>
            <w:tcBorders>
              <w:top w:val="single" w:color="auto" w:sz="4" w:space="0"/>
              <w:left w:val="single" w:color="auto" w:sz="4" w:space="0"/>
              <w:bottom w:val="single" w:color="auto" w:sz="4" w:space="0"/>
              <w:right w:val="single" w:color="auto" w:sz="4" w:space="0"/>
            </w:tcBorders>
            <w:vAlign w:val="center"/>
          </w:tcPr>
          <w:p w14:paraId="7C99FAAB">
            <w:pPr>
              <w:spacing w:line="320" w:lineRule="exact"/>
              <w:jc w:val="center"/>
              <w:rPr>
                <w:snapToGrid w:val="0"/>
                <w:kern w:val="0"/>
                <w:szCs w:val="21"/>
              </w:rPr>
            </w:pPr>
            <w:r>
              <w:rPr>
                <w:snapToGrid w:val="0"/>
                <w:kern w:val="0"/>
                <w:szCs w:val="21"/>
              </w:rPr>
              <w:t>资质等级</w:t>
            </w:r>
          </w:p>
        </w:tc>
        <w:tc>
          <w:tcPr>
            <w:tcW w:w="5103" w:type="dxa"/>
            <w:tcBorders>
              <w:top w:val="single" w:color="auto" w:sz="4" w:space="0"/>
              <w:left w:val="single" w:color="auto" w:sz="4" w:space="0"/>
              <w:bottom w:val="single" w:color="auto" w:sz="4" w:space="0"/>
              <w:right w:val="single" w:color="auto" w:sz="4" w:space="0"/>
            </w:tcBorders>
            <w:vAlign w:val="center"/>
          </w:tcPr>
          <w:p w14:paraId="3A3276F8">
            <w:pPr>
              <w:spacing w:line="320" w:lineRule="exact"/>
              <w:rPr>
                <w:rFonts w:ascii="Arial" w:hAnsi="Arial" w:cs="Arial"/>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”第1.2项规定</w:t>
            </w:r>
          </w:p>
        </w:tc>
      </w:tr>
      <w:tr w14:paraId="350F9D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4" w:hRule="atLeast"/>
        </w:trPr>
        <w:tc>
          <w:tcPr>
            <w:tcW w:w="896" w:type="dxa"/>
            <w:tcBorders>
              <w:top w:val="single" w:color="auto" w:sz="4" w:space="0"/>
              <w:left w:val="single" w:color="auto" w:sz="4" w:space="0"/>
              <w:bottom w:val="single" w:color="auto" w:sz="4" w:space="0"/>
              <w:right w:val="single" w:color="auto" w:sz="4" w:space="0"/>
            </w:tcBorders>
            <w:vAlign w:val="center"/>
          </w:tcPr>
          <w:p w14:paraId="06A828BA">
            <w:pPr>
              <w:spacing w:line="320" w:lineRule="exact"/>
              <w:jc w:val="center"/>
              <w:rPr>
                <w:rFonts w:ascii="Arial" w:hAnsi="Arial" w:cs="Arial"/>
                <w:snapToGrid w:val="0"/>
                <w:kern w:val="0"/>
                <w:szCs w:val="21"/>
              </w:rPr>
            </w:pPr>
            <w:r>
              <w:rPr>
                <w:rFonts w:ascii="Arial" w:hAnsi="Arial" w:cs="Arial"/>
                <w:snapToGrid w:val="0"/>
                <w:kern w:val="0"/>
                <w:szCs w:val="21"/>
              </w:rPr>
              <w:t>4</w:t>
            </w:r>
          </w:p>
        </w:tc>
        <w:tc>
          <w:tcPr>
            <w:tcW w:w="2365" w:type="dxa"/>
            <w:tcBorders>
              <w:top w:val="single" w:color="auto" w:sz="4" w:space="0"/>
              <w:left w:val="single" w:color="auto" w:sz="4" w:space="0"/>
              <w:bottom w:val="single" w:color="auto" w:sz="4" w:space="0"/>
              <w:right w:val="single" w:color="auto" w:sz="4" w:space="0"/>
            </w:tcBorders>
            <w:vAlign w:val="center"/>
          </w:tcPr>
          <w:p w14:paraId="7C2F19C5">
            <w:pPr>
              <w:spacing w:line="320" w:lineRule="exact"/>
              <w:jc w:val="center"/>
              <w:rPr>
                <w:snapToGrid w:val="0"/>
                <w:kern w:val="0"/>
                <w:szCs w:val="21"/>
              </w:rPr>
            </w:pPr>
            <w:r>
              <w:rPr>
                <w:snapToGrid w:val="0"/>
                <w:kern w:val="0"/>
                <w:szCs w:val="21"/>
              </w:rPr>
              <w:t>财务状况</w:t>
            </w:r>
          </w:p>
        </w:tc>
        <w:tc>
          <w:tcPr>
            <w:tcW w:w="5103" w:type="dxa"/>
            <w:tcBorders>
              <w:top w:val="single" w:color="auto" w:sz="4" w:space="0"/>
              <w:left w:val="single" w:color="auto" w:sz="4" w:space="0"/>
              <w:bottom w:val="single" w:color="auto" w:sz="4" w:space="0"/>
              <w:right w:val="single" w:color="auto" w:sz="4" w:space="0"/>
            </w:tcBorders>
            <w:vAlign w:val="center"/>
          </w:tcPr>
          <w:p w14:paraId="35FC8F3B">
            <w:pPr>
              <w:spacing w:line="320" w:lineRule="exact"/>
              <w:rPr>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”第1.2项规定</w:t>
            </w:r>
          </w:p>
        </w:tc>
      </w:tr>
      <w:tr w14:paraId="770DBA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4" w:hRule="atLeast"/>
        </w:trPr>
        <w:tc>
          <w:tcPr>
            <w:tcW w:w="896" w:type="dxa"/>
            <w:tcBorders>
              <w:top w:val="single" w:color="auto" w:sz="4" w:space="0"/>
              <w:left w:val="single" w:color="auto" w:sz="4" w:space="0"/>
              <w:bottom w:val="single" w:color="auto" w:sz="4" w:space="0"/>
              <w:right w:val="single" w:color="auto" w:sz="4" w:space="0"/>
            </w:tcBorders>
            <w:vAlign w:val="center"/>
          </w:tcPr>
          <w:p w14:paraId="782F6ED5">
            <w:pPr>
              <w:spacing w:before="60" w:beforeLines="25" w:after="60" w:afterLines="25" w:line="360" w:lineRule="auto"/>
              <w:jc w:val="center"/>
              <w:rPr>
                <w:rFonts w:ascii="Arial" w:hAnsi="Arial" w:cs="Arial"/>
                <w:snapToGrid w:val="0"/>
                <w:kern w:val="0"/>
                <w:szCs w:val="21"/>
              </w:rPr>
            </w:pPr>
            <w:r>
              <w:rPr>
                <w:rFonts w:ascii="Arial" w:hAnsi="Arial" w:cs="Arial"/>
                <w:snapToGrid w:val="0"/>
                <w:kern w:val="0"/>
                <w:szCs w:val="21"/>
              </w:rPr>
              <w:t>5</w:t>
            </w:r>
          </w:p>
        </w:tc>
        <w:tc>
          <w:tcPr>
            <w:tcW w:w="2365" w:type="dxa"/>
            <w:tcBorders>
              <w:top w:val="single" w:color="auto" w:sz="4" w:space="0"/>
              <w:left w:val="single" w:color="auto" w:sz="4" w:space="0"/>
              <w:bottom w:val="single" w:color="auto" w:sz="4" w:space="0"/>
              <w:right w:val="single" w:color="auto" w:sz="4" w:space="0"/>
            </w:tcBorders>
            <w:vAlign w:val="center"/>
          </w:tcPr>
          <w:p w14:paraId="4EBBCC9A">
            <w:pPr>
              <w:spacing w:line="360" w:lineRule="auto"/>
              <w:jc w:val="center"/>
              <w:rPr>
                <w:snapToGrid w:val="0"/>
                <w:kern w:val="0"/>
                <w:szCs w:val="21"/>
              </w:rPr>
            </w:pPr>
            <w:r>
              <w:rPr>
                <w:snapToGrid w:val="0"/>
                <w:kern w:val="0"/>
                <w:szCs w:val="21"/>
              </w:rPr>
              <w:t>信誉</w:t>
            </w:r>
          </w:p>
        </w:tc>
        <w:tc>
          <w:tcPr>
            <w:tcW w:w="5103" w:type="dxa"/>
            <w:tcBorders>
              <w:top w:val="single" w:color="auto" w:sz="4" w:space="0"/>
              <w:left w:val="single" w:color="auto" w:sz="4" w:space="0"/>
              <w:bottom w:val="single" w:color="auto" w:sz="4" w:space="0"/>
              <w:right w:val="single" w:color="auto" w:sz="4" w:space="0"/>
            </w:tcBorders>
            <w:vAlign w:val="center"/>
          </w:tcPr>
          <w:p w14:paraId="15A50717">
            <w:pPr>
              <w:spacing w:before="60" w:beforeLines="25" w:after="60" w:afterLines="25" w:line="360" w:lineRule="auto"/>
              <w:rPr>
                <w:rFonts w:ascii="Arial" w:hAnsi="Arial" w:cs="Arial"/>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”第1.2项规定</w:t>
            </w:r>
          </w:p>
        </w:tc>
      </w:tr>
      <w:tr w14:paraId="7AF042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4" w:hRule="atLeast"/>
        </w:trPr>
        <w:tc>
          <w:tcPr>
            <w:tcW w:w="896" w:type="dxa"/>
            <w:tcBorders>
              <w:top w:val="single" w:color="auto" w:sz="4" w:space="0"/>
              <w:left w:val="single" w:color="auto" w:sz="4" w:space="0"/>
              <w:bottom w:val="single" w:color="auto" w:sz="4" w:space="0"/>
              <w:right w:val="single" w:color="auto" w:sz="4" w:space="0"/>
            </w:tcBorders>
            <w:vAlign w:val="center"/>
          </w:tcPr>
          <w:p w14:paraId="184ABC43">
            <w:pPr>
              <w:spacing w:before="60" w:beforeLines="25" w:after="60" w:afterLines="25" w:line="360" w:lineRule="auto"/>
              <w:jc w:val="center"/>
              <w:rPr>
                <w:rFonts w:ascii="Arial" w:hAnsi="Arial" w:cs="Arial"/>
                <w:snapToGrid w:val="0"/>
                <w:kern w:val="0"/>
                <w:szCs w:val="21"/>
              </w:rPr>
            </w:pPr>
            <w:r>
              <w:rPr>
                <w:rFonts w:ascii="Arial" w:hAnsi="Arial" w:cs="Arial"/>
                <w:snapToGrid w:val="0"/>
                <w:kern w:val="0"/>
                <w:szCs w:val="21"/>
              </w:rPr>
              <w:t>6</w:t>
            </w:r>
          </w:p>
        </w:tc>
        <w:tc>
          <w:tcPr>
            <w:tcW w:w="2365" w:type="dxa"/>
            <w:tcBorders>
              <w:top w:val="single" w:color="auto" w:sz="4" w:space="0"/>
              <w:left w:val="single" w:color="auto" w:sz="4" w:space="0"/>
              <w:bottom w:val="single" w:color="auto" w:sz="4" w:space="0"/>
              <w:right w:val="single" w:color="auto" w:sz="4" w:space="0"/>
            </w:tcBorders>
            <w:vAlign w:val="center"/>
          </w:tcPr>
          <w:p w14:paraId="062504E0">
            <w:pPr>
              <w:spacing w:line="360" w:lineRule="auto"/>
              <w:jc w:val="center"/>
              <w:rPr>
                <w:snapToGrid w:val="0"/>
                <w:kern w:val="0"/>
                <w:szCs w:val="21"/>
              </w:rPr>
            </w:pPr>
            <w:r>
              <w:rPr>
                <w:snapToGrid w:val="0"/>
                <w:kern w:val="0"/>
                <w:szCs w:val="21"/>
              </w:rPr>
              <w:t>项目经理</w:t>
            </w:r>
          </w:p>
        </w:tc>
        <w:tc>
          <w:tcPr>
            <w:tcW w:w="5103" w:type="dxa"/>
            <w:tcBorders>
              <w:top w:val="single" w:color="auto" w:sz="4" w:space="0"/>
              <w:left w:val="single" w:color="auto" w:sz="4" w:space="0"/>
              <w:bottom w:val="single" w:color="auto" w:sz="4" w:space="0"/>
              <w:right w:val="single" w:color="auto" w:sz="4" w:space="0"/>
            </w:tcBorders>
            <w:vAlign w:val="center"/>
          </w:tcPr>
          <w:p w14:paraId="5538B122">
            <w:pPr>
              <w:spacing w:before="60" w:beforeLines="25" w:after="60" w:afterLines="25" w:line="360" w:lineRule="auto"/>
              <w:rPr>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”第1.2项规定</w:t>
            </w:r>
          </w:p>
        </w:tc>
      </w:tr>
      <w:tr w14:paraId="09D8A1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4" w:hRule="atLeast"/>
        </w:trPr>
        <w:tc>
          <w:tcPr>
            <w:tcW w:w="896" w:type="dxa"/>
            <w:tcBorders>
              <w:top w:val="single" w:color="auto" w:sz="4" w:space="0"/>
              <w:left w:val="single" w:color="auto" w:sz="4" w:space="0"/>
              <w:bottom w:val="single" w:color="auto" w:sz="4" w:space="0"/>
              <w:right w:val="single" w:color="auto" w:sz="4" w:space="0"/>
            </w:tcBorders>
            <w:vAlign w:val="center"/>
          </w:tcPr>
          <w:p w14:paraId="64B2BCA0">
            <w:pPr>
              <w:spacing w:before="60" w:beforeLines="25" w:after="60" w:afterLines="25" w:line="360" w:lineRule="auto"/>
              <w:jc w:val="center"/>
              <w:rPr>
                <w:rFonts w:ascii="Arial" w:hAnsi="Arial" w:cs="Arial"/>
                <w:snapToGrid w:val="0"/>
                <w:kern w:val="0"/>
                <w:szCs w:val="21"/>
              </w:rPr>
            </w:pPr>
            <w:r>
              <w:rPr>
                <w:rFonts w:ascii="Arial" w:hAnsi="Arial" w:cs="Arial"/>
                <w:snapToGrid w:val="0"/>
                <w:kern w:val="0"/>
                <w:szCs w:val="21"/>
              </w:rPr>
              <w:t>7</w:t>
            </w:r>
          </w:p>
        </w:tc>
        <w:tc>
          <w:tcPr>
            <w:tcW w:w="2365" w:type="dxa"/>
            <w:tcBorders>
              <w:top w:val="single" w:color="auto" w:sz="4" w:space="0"/>
              <w:left w:val="single" w:color="auto" w:sz="4" w:space="0"/>
              <w:bottom w:val="single" w:color="auto" w:sz="4" w:space="0"/>
              <w:right w:val="single" w:color="auto" w:sz="4" w:space="0"/>
            </w:tcBorders>
            <w:vAlign w:val="center"/>
          </w:tcPr>
          <w:p w14:paraId="37FB2D4D">
            <w:pPr>
              <w:spacing w:line="360" w:lineRule="auto"/>
              <w:jc w:val="center"/>
              <w:rPr>
                <w:snapToGrid w:val="0"/>
                <w:kern w:val="0"/>
                <w:szCs w:val="21"/>
              </w:rPr>
            </w:pPr>
            <w:r>
              <w:rPr>
                <w:rFonts w:hint="eastAsia"/>
                <w:snapToGrid w:val="0"/>
                <w:kern w:val="0"/>
                <w:szCs w:val="21"/>
              </w:rPr>
              <w:t>中小企业声明函</w:t>
            </w:r>
          </w:p>
        </w:tc>
        <w:tc>
          <w:tcPr>
            <w:tcW w:w="5103" w:type="dxa"/>
            <w:tcBorders>
              <w:top w:val="single" w:color="auto" w:sz="4" w:space="0"/>
              <w:left w:val="single" w:color="auto" w:sz="4" w:space="0"/>
              <w:bottom w:val="single" w:color="auto" w:sz="4" w:space="0"/>
              <w:right w:val="single" w:color="auto" w:sz="4" w:space="0"/>
            </w:tcBorders>
            <w:vAlign w:val="center"/>
          </w:tcPr>
          <w:p w14:paraId="3A05C162">
            <w:pPr>
              <w:spacing w:before="60" w:beforeLines="25" w:after="60" w:afterLines="25" w:line="360" w:lineRule="auto"/>
              <w:rPr>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”第1.2项规定</w:t>
            </w:r>
          </w:p>
        </w:tc>
      </w:tr>
      <w:tr w14:paraId="23655A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4" w:hRule="atLeast"/>
        </w:trPr>
        <w:tc>
          <w:tcPr>
            <w:tcW w:w="896" w:type="dxa"/>
            <w:tcBorders>
              <w:top w:val="single" w:color="auto" w:sz="4" w:space="0"/>
              <w:left w:val="single" w:color="auto" w:sz="4" w:space="0"/>
              <w:bottom w:val="single" w:color="auto" w:sz="4" w:space="0"/>
              <w:right w:val="single" w:color="auto" w:sz="4" w:space="0"/>
            </w:tcBorders>
            <w:vAlign w:val="center"/>
          </w:tcPr>
          <w:p w14:paraId="016B1351">
            <w:pPr>
              <w:spacing w:before="60" w:beforeLines="25" w:after="60" w:afterLines="25" w:line="360" w:lineRule="auto"/>
              <w:jc w:val="center"/>
              <w:rPr>
                <w:rFonts w:ascii="Arial" w:hAnsi="Arial" w:cs="Arial"/>
                <w:snapToGrid w:val="0"/>
                <w:kern w:val="0"/>
                <w:szCs w:val="21"/>
              </w:rPr>
            </w:pPr>
            <w:r>
              <w:rPr>
                <w:rFonts w:ascii="Arial" w:hAnsi="Arial" w:cs="Arial"/>
                <w:snapToGrid w:val="0"/>
                <w:kern w:val="0"/>
                <w:szCs w:val="21"/>
              </w:rPr>
              <w:t>8</w:t>
            </w:r>
          </w:p>
        </w:tc>
        <w:tc>
          <w:tcPr>
            <w:tcW w:w="2365" w:type="dxa"/>
            <w:tcBorders>
              <w:top w:val="single" w:color="auto" w:sz="4" w:space="0"/>
              <w:left w:val="single" w:color="auto" w:sz="4" w:space="0"/>
              <w:bottom w:val="single" w:color="auto" w:sz="4" w:space="0"/>
              <w:right w:val="single" w:color="auto" w:sz="4" w:space="0"/>
            </w:tcBorders>
            <w:vAlign w:val="center"/>
          </w:tcPr>
          <w:p w14:paraId="03D0B909">
            <w:pPr>
              <w:spacing w:line="360" w:lineRule="auto"/>
              <w:jc w:val="center"/>
              <w:rPr>
                <w:snapToGrid w:val="0"/>
                <w:kern w:val="0"/>
                <w:szCs w:val="21"/>
              </w:rPr>
            </w:pPr>
            <w:r>
              <w:rPr>
                <w:rFonts w:hint="eastAsia"/>
                <w:snapToGrid w:val="0"/>
                <w:kern w:val="0"/>
                <w:szCs w:val="21"/>
              </w:rPr>
              <w:t>其他要求</w:t>
            </w:r>
          </w:p>
        </w:tc>
        <w:tc>
          <w:tcPr>
            <w:tcW w:w="5103" w:type="dxa"/>
            <w:tcBorders>
              <w:top w:val="single" w:color="auto" w:sz="4" w:space="0"/>
              <w:left w:val="single" w:color="auto" w:sz="4" w:space="0"/>
              <w:bottom w:val="single" w:color="auto" w:sz="4" w:space="0"/>
              <w:right w:val="single" w:color="auto" w:sz="4" w:space="0"/>
            </w:tcBorders>
            <w:vAlign w:val="center"/>
          </w:tcPr>
          <w:p w14:paraId="795740FE">
            <w:pPr>
              <w:spacing w:before="60" w:beforeLines="25" w:after="60" w:afterLines="25" w:line="360" w:lineRule="auto"/>
              <w:rPr>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”第1.2项规定</w:t>
            </w:r>
          </w:p>
        </w:tc>
      </w:tr>
    </w:tbl>
    <w:p w14:paraId="56B29784">
      <w:pPr>
        <w:spacing w:before="120" w:line="360" w:lineRule="auto"/>
        <w:ind w:left="898" w:hanging="898"/>
        <w:rPr>
          <w:rFonts w:hint="eastAsia" w:ascii="宋体" w:hAnsi="宋体"/>
          <w:b/>
          <w:szCs w:val="21"/>
        </w:rPr>
      </w:pPr>
    </w:p>
    <w:p w14:paraId="1C6B8809">
      <w:pPr>
        <w:spacing w:before="120" w:line="360" w:lineRule="auto"/>
        <w:jc w:val="center"/>
        <w:rPr>
          <w:rFonts w:hint="eastAsia" w:ascii="宋体" w:hAnsi="宋体"/>
          <w:b/>
          <w:szCs w:val="21"/>
        </w:rPr>
      </w:pPr>
      <w:r>
        <w:rPr>
          <w:rFonts w:hint="eastAsia" w:ascii="宋体" w:hAnsi="宋体"/>
          <w:b/>
          <w:szCs w:val="21"/>
        </w:rPr>
        <w:t>二、符合性评审</w:t>
      </w:r>
    </w:p>
    <w:tbl>
      <w:tblPr>
        <w:tblStyle w:val="81"/>
        <w:tblW w:w="836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6"/>
        <w:gridCol w:w="2365"/>
        <w:gridCol w:w="5103"/>
      </w:tblGrid>
      <w:tr w14:paraId="7C690E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2" w:hRule="atLeast"/>
        </w:trPr>
        <w:tc>
          <w:tcPr>
            <w:tcW w:w="896" w:type="dxa"/>
            <w:vMerge w:val="restart"/>
            <w:tcBorders>
              <w:top w:val="single" w:color="auto" w:sz="4" w:space="0"/>
              <w:left w:val="single" w:color="auto" w:sz="4" w:space="0"/>
              <w:right w:val="single" w:color="auto" w:sz="4" w:space="0"/>
            </w:tcBorders>
            <w:vAlign w:val="center"/>
          </w:tcPr>
          <w:p w14:paraId="644E7604">
            <w:pPr>
              <w:spacing w:before="60" w:beforeLines="25" w:after="60" w:afterLines="25" w:line="360" w:lineRule="auto"/>
              <w:jc w:val="center"/>
              <w:rPr>
                <w:rFonts w:ascii="Arial" w:hAnsi="Arial" w:cs="Arial"/>
                <w:snapToGrid w:val="0"/>
                <w:kern w:val="0"/>
                <w:szCs w:val="21"/>
              </w:rPr>
            </w:pPr>
            <w:r>
              <w:rPr>
                <w:rFonts w:hint="eastAsia" w:ascii="Arial" w:hAnsi="Arial" w:cs="Arial"/>
                <w:snapToGrid w:val="0"/>
                <w:kern w:val="0"/>
                <w:szCs w:val="21"/>
              </w:rPr>
              <w:t>序号</w:t>
            </w:r>
          </w:p>
        </w:tc>
        <w:tc>
          <w:tcPr>
            <w:tcW w:w="2365" w:type="dxa"/>
            <w:vMerge w:val="restart"/>
            <w:tcBorders>
              <w:top w:val="single" w:color="auto" w:sz="4" w:space="0"/>
              <w:left w:val="single" w:color="auto" w:sz="4" w:space="0"/>
              <w:right w:val="single" w:color="auto" w:sz="4" w:space="0"/>
            </w:tcBorders>
            <w:vAlign w:val="center"/>
          </w:tcPr>
          <w:p w14:paraId="311272DC">
            <w:pPr>
              <w:spacing w:before="60" w:beforeLines="25" w:after="60" w:afterLines="25" w:line="360" w:lineRule="auto"/>
              <w:jc w:val="center"/>
              <w:rPr>
                <w:rFonts w:ascii="Arial" w:hAnsi="Arial" w:cs="Arial"/>
                <w:snapToGrid w:val="0"/>
                <w:kern w:val="0"/>
                <w:szCs w:val="21"/>
              </w:rPr>
            </w:pPr>
            <w:r>
              <w:rPr>
                <w:rFonts w:ascii="Arial" w:hAnsi="Arial" w:cs="Arial"/>
                <w:snapToGrid w:val="0"/>
                <w:kern w:val="0"/>
                <w:szCs w:val="21"/>
              </w:rPr>
              <w:t>评审</w:t>
            </w:r>
            <w:r>
              <w:rPr>
                <w:rFonts w:hint="eastAsia" w:ascii="Arial" w:hAnsi="Arial" w:cs="Arial"/>
                <w:snapToGrid w:val="0"/>
                <w:kern w:val="0"/>
                <w:szCs w:val="21"/>
              </w:rPr>
              <w:t>因素</w:t>
            </w:r>
          </w:p>
        </w:tc>
        <w:tc>
          <w:tcPr>
            <w:tcW w:w="5103" w:type="dxa"/>
            <w:vMerge w:val="restart"/>
            <w:tcBorders>
              <w:top w:val="single" w:color="auto" w:sz="4" w:space="0"/>
              <w:left w:val="single" w:color="auto" w:sz="4" w:space="0"/>
            </w:tcBorders>
            <w:vAlign w:val="center"/>
          </w:tcPr>
          <w:p w14:paraId="2BCD41FB">
            <w:pPr>
              <w:widowControl/>
              <w:spacing w:line="360" w:lineRule="auto"/>
              <w:jc w:val="center"/>
              <w:rPr>
                <w:rFonts w:ascii="Arial" w:hAnsi="Arial" w:cs="Arial"/>
                <w:snapToGrid w:val="0"/>
                <w:kern w:val="0"/>
                <w:szCs w:val="21"/>
              </w:rPr>
            </w:pPr>
            <w:r>
              <w:rPr>
                <w:rFonts w:hint="eastAsia" w:ascii="Arial" w:hAnsi="Arial" w:cs="Arial"/>
                <w:snapToGrid w:val="0"/>
                <w:kern w:val="0"/>
                <w:szCs w:val="21"/>
              </w:rPr>
              <w:t>评审标准</w:t>
            </w:r>
          </w:p>
        </w:tc>
      </w:tr>
      <w:tr w14:paraId="3CF12D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1" w:hRule="atLeast"/>
        </w:trPr>
        <w:tc>
          <w:tcPr>
            <w:tcW w:w="896" w:type="dxa"/>
            <w:vMerge w:val="continue"/>
            <w:tcBorders>
              <w:left w:val="single" w:color="auto" w:sz="4" w:space="0"/>
              <w:bottom w:val="single" w:color="auto" w:sz="4" w:space="0"/>
              <w:right w:val="single" w:color="auto" w:sz="4" w:space="0"/>
            </w:tcBorders>
            <w:vAlign w:val="center"/>
          </w:tcPr>
          <w:p w14:paraId="6568C4E7">
            <w:pPr>
              <w:spacing w:before="60" w:beforeLines="25" w:after="60" w:afterLines="25" w:line="360" w:lineRule="auto"/>
              <w:jc w:val="center"/>
              <w:rPr>
                <w:rFonts w:ascii="Arial" w:hAnsi="Arial" w:cs="Arial"/>
                <w:snapToGrid w:val="0"/>
                <w:kern w:val="0"/>
                <w:szCs w:val="21"/>
              </w:rPr>
            </w:pPr>
          </w:p>
        </w:tc>
        <w:tc>
          <w:tcPr>
            <w:tcW w:w="2365" w:type="dxa"/>
            <w:vMerge w:val="continue"/>
            <w:tcBorders>
              <w:left w:val="single" w:color="auto" w:sz="4" w:space="0"/>
              <w:bottom w:val="single" w:color="auto" w:sz="4" w:space="0"/>
              <w:right w:val="single" w:color="auto" w:sz="4" w:space="0"/>
            </w:tcBorders>
            <w:vAlign w:val="center"/>
          </w:tcPr>
          <w:p w14:paraId="7F56BF3C">
            <w:pPr>
              <w:spacing w:before="60" w:beforeLines="25" w:after="60" w:afterLines="25" w:line="360" w:lineRule="auto"/>
              <w:jc w:val="center"/>
              <w:rPr>
                <w:rFonts w:ascii="Arial" w:hAnsi="Arial" w:cs="Arial"/>
                <w:snapToGrid w:val="0"/>
                <w:kern w:val="0"/>
                <w:szCs w:val="21"/>
              </w:rPr>
            </w:pPr>
          </w:p>
        </w:tc>
        <w:tc>
          <w:tcPr>
            <w:tcW w:w="5103" w:type="dxa"/>
            <w:vMerge w:val="continue"/>
            <w:tcBorders>
              <w:left w:val="single" w:color="auto" w:sz="4" w:space="0"/>
              <w:bottom w:val="single" w:color="auto" w:sz="4" w:space="0"/>
              <w:right w:val="single" w:color="auto" w:sz="4" w:space="0"/>
            </w:tcBorders>
            <w:vAlign w:val="center"/>
          </w:tcPr>
          <w:p w14:paraId="3DF36186">
            <w:pPr>
              <w:spacing w:before="60" w:beforeLines="25" w:after="60" w:afterLines="25" w:line="360" w:lineRule="auto"/>
              <w:rPr>
                <w:rFonts w:ascii="Arial" w:hAnsi="Arial" w:cs="Arial"/>
                <w:snapToGrid w:val="0"/>
                <w:kern w:val="0"/>
                <w:szCs w:val="21"/>
              </w:rPr>
            </w:pPr>
          </w:p>
        </w:tc>
      </w:tr>
      <w:tr w14:paraId="68F645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1" w:hRule="atLeast"/>
        </w:trPr>
        <w:tc>
          <w:tcPr>
            <w:tcW w:w="896" w:type="dxa"/>
            <w:tcBorders>
              <w:top w:val="single" w:color="auto" w:sz="4" w:space="0"/>
              <w:left w:val="single" w:color="auto" w:sz="4" w:space="0"/>
              <w:bottom w:val="single" w:color="auto" w:sz="4" w:space="0"/>
              <w:right w:val="single" w:color="auto" w:sz="4" w:space="0"/>
            </w:tcBorders>
            <w:vAlign w:val="center"/>
          </w:tcPr>
          <w:p w14:paraId="0B7B5ADA">
            <w:pPr>
              <w:spacing w:line="320" w:lineRule="exact"/>
              <w:jc w:val="center"/>
              <w:rPr>
                <w:rFonts w:ascii="Arial" w:hAnsi="Arial" w:cs="Arial"/>
                <w:snapToGrid w:val="0"/>
                <w:kern w:val="0"/>
                <w:szCs w:val="21"/>
              </w:rPr>
            </w:pPr>
            <w:r>
              <w:rPr>
                <w:rFonts w:hint="eastAsia" w:ascii="Arial" w:hAnsi="Arial" w:cs="Arial"/>
                <w:snapToGrid w:val="0"/>
                <w:kern w:val="0"/>
                <w:szCs w:val="21"/>
              </w:rPr>
              <w:t>1</w:t>
            </w:r>
          </w:p>
        </w:tc>
        <w:tc>
          <w:tcPr>
            <w:tcW w:w="2365" w:type="dxa"/>
            <w:tcBorders>
              <w:top w:val="single" w:color="auto" w:sz="4" w:space="0"/>
              <w:left w:val="single" w:color="auto" w:sz="4" w:space="0"/>
              <w:bottom w:val="single" w:color="auto" w:sz="4" w:space="0"/>
              <w:right w:val="single" w:color="auto" w:sz="4" w:space="0"/>
            </w:tcBorders>
            <w:vAlign w:val="center"/>
          </w:tcPr>
          <w:p w14:paraId="165925CE">
            <w:pPr>
              <w:spacing w:line="320" w:lineRule="exact"/>
              <w:jc w:val="center"/>
              <w:rPr>
                <w:snapToGrid w:val="0"/>
                <w:kern w:val="0"/>
                <w:szCs w:val="21"/>
              </w:rPr>
            </w:pPr>
            <w:r>
              <w:rPr>
                <w:rFonts w:hint="eastAsia"/>
                <w:snapToGrid w:val="0"/>
                <w:kern w:val="0"/>
                <w:szCs w:val="21"/>
              </w:rPr>
              <w:t>响应文件</w:t>
            </w:r>
            <w:r>
              <w:rPr>
                <w:snapToGrid w:val="0"/>
                <w:kern w:val="0"/>
                <w:szCs w:val="21"/>
              </w:rPr>
              <w:t>内容</w:t>
            </w:r>
          </w:p>
        </w:tc>
        <w:tc>
          <w:tcPr>
            <w:tcW w:w="5103" w:type="dxa"/>
            <w:tcBorders>
              <w:top w:val="single" w:color="auto" w:sz="4" w:space="0"/>
              <w:left w:val="single" w:color="auto" w:sz="4" w:space="0"/>
              <w:bottom w:val="single" w:color="auto" w:sz="4" w:space="0"/>
              <w:right w:val="single" w:color="auto" w:sz="4" w:space="0"/>
            </w:tcBorders>
            <w:vAlign w:val="center"/>
          </w:tcPr>
          <w:p w14:paraId="750C03AF">
            <w:pPr>
              <w:spacing w:line="320" w:lineRule="exact"/>
              <w:rPr>
                <w:rFonts w:ascii="Arial" w:hAnsi="Arial" w:cs="Arial"/>
                <w:snapToGrid w:val="0"/>
                <w:kern w:val="0"/>
                <w:szCs w:val="21"/>
              </w:rPr>
            </w:pPr>
            <w:r>
              <w:rPr>
                <w:rFonts w:hint="eastAsia" w:ascii="Arial" w:hAnsi="Arial" w:cs="Arial"/>
                <w:snapToGrid w:val="0"/>
                <w:kern w:val="0"/>
                <w:szCs w:val="21"/>
              </w:rPr>
              <w:t>符合磋商文件采购需求</w:t>
            </w:r>
          </w:p>
        </w:tc>
      </w:tr>
      <w:tr w14:paraId="099564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1" w:hRule="atLeast"/>
        </w:trPr>
        <w:tc>
          <w:tcPr>
            <w:tcW w:w="896" w:type="dxa"/>
            <w:tcBorders>
              <w:top w:val="single" w:color="auto" w:sz="4" w:space="0"/>
              <w:left w:val="single" w:color="auto" w:sz="4" w:space="0"/>
              <w:bottom w:val="single" w:color="auto" w:sz="4" w:space="0"/>
              <w:right w:val="single" w:color="auto" w:sz="4" w:space="0"/>
            </w:tcBorders>
            <w:vAlign w:val="center"/>
          </w:tcPr>
          <w:p w14:paraId="4AC54837">
            <w:pPr>
              <w:spacing w:line="320" w:lineRule="exact"/>
              <w:jc w:val="center"/>
              <w:rPr>
                <w:rFonts w:ascii="Arial" w:hAnsi="Arial" w:cs="Arial"/>
                <w:snapToGrid w:val="0"/>
                <w:kern w:val="0"/>
                <w:szCs w:val="21"/>
              </w:rPr>
            </w:pPr>
            <w:r>
              <w:rPr>
                <w:rFonts w:hint="eastAsia" w:ascii="Arial" w:hAnsi="Arial" w:cs="Arial"/>
                <w:snapToGrid w:val="0"/>
                <w:kern w:val="0"/>
                <w:szCs w:val="21"/>
              </w:rPr>
              <w:t>2</w:t>
            </w:r>
          </w:p>
        </w:tc>
        <w:tc>
          <w:tcPr>
            <w:tcW w:w="2365" w:type="dxa"/>
            <w:tcBorders>
              <w:top w:val="single" w:color="auto" w:sz="4" w:space="0"/>
              <w:left w:val="single" w:color="auto" w:sz="4" w:space="0"/>
              <w:bottom w:val="single" w:color="auto" w:sz="4" w:space="0"/>
              <w:right w:val="single" w:color="auto" w:sz="4" w:space="0"/>
            </w:tcBorders>
            <w:vAlign w:val="center"/>
          </w:tcPr>
          <w:p w14:paraId="0D703D0D">
            <w:pPr>
              <w:spacing w:line="320" w:lineRule="exact"/>
              <w:jc w:val="center"/>
              <w:rPr>
                <w:snapToGrid w:val="0"/>
                <w:kern w:val="0"/>
                <w:szCs w:val="21"/>
              </w:rPr>
            </w:pPr>
            <w:r>
              <w:rPr>
                <w:snapToGrid w:val="0"/>
                <w:kern w:val="0"/>
                <w:szCs w:val="21"/>
              </w:rPr>
              <w:t>工期</w:t>
            </w:r>
          </w:p>
        </w:tc>
        <w:tc>
          <w:tcPr>
            <w:tcW w:w="5103" w:type="dxa"/>
            <w:tcBorders>
              <w:top w:val="single" w:color="auto" w:sz="4" w:space="0"/>
              <w:left w:val="single" w:color="auto" w:sz="4" w:space="0"/>
              <w:bottom w:val="single" w:color="auto" w:sz="4" w:space="0"/>
              <w:right w:val="single" w:color="auto" w:sz="4" w:space="0"/>
            </w:tcBorders>
            <w:vAlign w:val="center"/>
          </w:tcPr>
          <w:p w14:paraId="25E2D1BF">
            <w:pPr>
              <w:spacing w:line="320" w:lineRule="exact"/>
              <w:rPr>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”第22.1项规定</w:t>
            </w:r>
          </w:p>
        </w:tc>
      </w:tr>
      <w:tr w14:paraId="65BE1E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1" w:hRule="atLeast"/>
        </w:trPr>
        <w:tc>
          <w:tcPr>
            <w:tcW w:w="896" w:type="dxa"/>
            <w:tcBorders>
              <w:top w:val="single" w:color="auto" w:sz="4" w:space="0"/>
              <w:left w:val="single" w:color="auto" w:sz="4" w:space="0"/>
              <w:bottom w:val="single" w:color="auto" w:sz="4" w:space="0"/>
              <w:right w:val="single" w:color="auto" w:sz="4" w:space="0"/>
            </w:tcBorders>
            <w:vAlign w:val="center"/>
          </w:tcPr>
          <w:p w14:paraId="4348F333">
            <w:pPr>
              <w:spacing w:line="320" w:lineRule="exact"/>
              <w:jc w:val="center"/>
              <w:rPr>
                <w:rFonts w:ascii="Arial" w:hAnsi="Arial" w:cs="Arial"/>
                <w:snapToGrid w:val="0"/>
                <w:kern w:val="0"/>
                <w:szCs w:val="21"/>
              </w:rPr>
            </w:pPr>
            <w:r>
              <w:rPr>
                <w:rFonts w:ascii="Arial" w:hAnsi="Arial" w:cs="Arial"/>
                <w:snapToGrid w:val="0"/>
                <w:kern w:val="0"/>
                <w:szCs w:val="21"/>
              </w:rPr>
              <w:t>3</w:t>
            </w:r>
          </w:p>
        </w:tc>
        <w:tc>
          <w:tcPr>
            <w:tcW w:w="2365" w:type="dxa"/>
            <w:tcBorders>
              <w:top w:val="single" w:color="auto" w:sz="4" w:space="0"/>
              <w:left w:val="single" w:color="auto" w:sz="4" w:space="0"/>
              <w:bottom w:val="single" w:color="auto" w:sz="4" w:space="0"/>
              <w:right w:val="single" w:color="auto" w:sz="4" w:space="0"/>
            </w:tcBorders>
            <w:vAlign w:val="center"/>
          </w:tcPr>
          <w:p w14:paraId="60A6C67D">
            <w:pPr>
              <w:spacing w:line="320" w:lineRule="exact"/>
              <w:jc w:val="center"/>
              <w:rPr>
                <w:snapToGrid w:val="0"/>
                <w:kern w:val="0"/>
                <w:szCs w:val="21"/>
              </w:rPr>
            </w:pPr>
            <w:r>
              <w:rPr>
                <w:snapToGrid w:val="0"/>
                <w:kern w:val="0"/>
                <w:szCs w:val="21"/>
              </w:rPr>
              <w:t>工程质量</w:t>
            </w:r>
          </w:p>
        </w:tc>
        <w:tc>
          <w:tcPr>
            <w:tcW w:w="5103" w:type="dxa"/>
            <w:tcBorders>
              <w:top w:val="single" w:color="auto" w:sz="4" w:space="0"/>
              <w:left w:val="single" w:color="auto" w:sz="4" w:space="0"/>
              <w:bottom w:val="single" w:color="auto" w:sz="4" w:space="0"/>
              <w:right w:val="single" w:color="auto" w:sz="4" w:space="0"/>
            </w:tcBorders>
            <w:vAlign w:val="center"/>
          </w:tcPr>
          <w:p w14:paraId="791996E1">
            <w:pPr>
              <w:spacing w:line="320" w:lineRule="exact"/>
              <w:rPr>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”第22.1项规定</w:t>
            </w:r>
          </w:p>
        </w:tc>
      </w:tr>
      <w:tr w14:paraId="4485F0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1" w:hRule="atLeast"/>
        </w:trPr>
        <w:tc>
          <w:tcPr>
            <w:tcW w:w="896" w:type="dxa"/>
            <w:tcBorders>
              <w:top w:val="single" w:color="auto" w:sz="4" w:space="0"/>
              <w:left w:val="single" w:color="auto" w:sz="4" w:space="0"/>
              <w:bottom w:val="single" w:color="auto" w:sz="4" w:space="0"/>
              <w:right w:val="single" w:color="auto" w:sz="4" w:space="0"/>
            </w:tcBorders>
            <w:vAlign w:val="center"/>
          </w:tcPr>
          <w:p w14:paraId="4993397A">
            <w:pPr>
              <w:spacing w:line="320" w:lineRule="exact"/>
              <w:jc w:val="center"/>
              <w:rPr>
                <w:rFonts w:ascii="Arial" w:hAnsi="Arial" w:cs="Arial"/>
                <w:snapToGrid w:val="0"/>
                <w:kern w:val="0"/>
                <w:szCs w:val="21"/>
              </w:rPr>
            </w:pPr>
            <w:r>
              <w:rPr>
                <w:rFonts w:ascii="Arial" w:hAnsi="Arial" w:cs="Arial"/>
                <w:snapToGrid w:val="0"/>
                <w:kern w:val="0"/>
                <w:szCs w:val="21"/>
              </w:rPr>
              <w:t>4</w:t>
            </w:r>
          </w:p>
        </w:tc>
        <w:tc>
          <w:tcPr>
            <w:tcW w:w="2365" w:type="dxa"/>
            <w:tcBorders>
              <w:top w:val="single" w:color="auto" w:sz="4" w:space="0"/>
              <w:left w:val="single" w:color="auto" w:sz="4" w:space="0"/>
              <w:bottom w:val="single" w:color="auto" w:sz="4" w:space="0"/>
              <w:right w:val="single" w:color="auto" w:sz="4" w:space="0"/>
            </w:tcBorders>
            <w:vAlign w:val="center"/>
          </w:tcPr>
          <w:p w14:paraId="3010E0FA">
            <w:pPr>
              <w:spacing w:line="320" w:lineRule="exact"/>
              <w:jc w:val="center"/>
              <w:rPr>
                <w:snapToGrid w:val="0"/>
                <w:kern w:val="0"/>
                <w:szCs w:val="21"/>
              </w:rPr>
            </w:pPr>
            <w:r>
              <w:rPr>
                <w:rFonts w:hint="eastAsia"/>
                <w:snapToGrid w:val="0"/>
                <w:kern w:val="0"/>
                <w:szCs w:val="21"/>
              </w:rPr>
              <w:t>磋商有效期</w:t>
            </w:r>
          </w:p>
        </w:tc>
        <w:tc>
          <w:tcPr>
            <w:tcW w:w="5103" w:type="dxa"/>
            <w:tcBorders>
              <w:top w:val="single" w:color="auto" w:sz="4" w:space="0"/>
              <w:left w:val="single" w:color="auto" w:sz="4" w:space="0"/>
              <w:bottom w:val="single" w:color="auto" w:sz="4" w:space="0"/>
              <w:right w:val="single" w:color="auto" w:sz="4" w:space="0"/>
            </w:tcBorders>
            <w:vAlign w:val="center"/>
          </w:tcPr>
          <w:p w14:paraId="1293A0A1">
            <w:pPr>
              <w:spacing w:line="320" w:lineRule="exact"/>
              <w:rPr>
                <w:rFonts w:ascii="Arial" w:hAnsi="Arial" w:cs="Arial"/>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”第12.1项规定</w:t>
            </w:r>
          </w:p>
        </w:tc>
      </w:tr>
      <w:tr w14:paraId="7C34AF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1" w:hRule="atLeast"/>
        </w:trPr>
        <w:tc>
          <w:tcPr>
            <w:tcW w:w="896" w:type="dxa"/>
            <w:tcBorders>
              <w:top w:val="single" w:color="auto" w:sz="4" w:space="0"/>
              <w:left w:val="single" w:color="auto" w:sz="4" w:space="0"/>
              <w:bottom w:val="single" w:color="auto" w:sz="4" w:space="0"/>
              <w:right w:val="single" w:color="auto" w:sz="4" w:space="0"/>
            </w:tcBorders>
            <w:vAlign w:val="center"/>
          </w:tcPr>
          <w:p w14:paraId="617181F6">
            <w:pPr>
              <w:spacing w:line="320" w:lineRule="exact"/>
              <w:jc w:val="center"/>
              <w:rPr>
                <w:rFonts w:ascii="Arial" w:hAnsi="Arial" w:cs="Arial"/>
                <w:snapToGrid w:val="0"/>
                <w:kern w:val="0"/>
                <w:szCs w:val="21"/>
              </w:rPr>
            </w:pPr>
            <w:r>
              <w:rPr>
                <w:rFonts w:hint="eastAsia" w:ascii="Arial" w:hAnsi="Arial" w:cs="Arial"/>
                <w:snapToGrid w:val="0"/>
                <w:kern w:val="0"/>
                <w:szCs w:val="21"/>
              </w:rPr>
              <w:t>5</w:t>
            </w:r>
          </w:p>
        </w:tc>
        <w:tc>
          <w:tcPr>
            <w:tcW w:w="2365" w:type="dxa"/>
            <w:tcBorders>
              <w:top w:val="single" w:color="auto" w:sz="4" w:space="0"/>
              <w:left w:val="single" w:color="auto" w:sz="4" w:space="0"/>
              <w:bottom w:val="single" w:color="auto" w:sz="4" w:space="0"/>
              <w:right w:val="single" w:color="auto" w:sz="4" w:space="0"/>
            </w:tcBorders>
            <w:vAlign w:val="center"/>
          </w:tcPr>
          <w:p w14:paraId="5A93AB82">
            <w:pPr>
              <w:spacing w:line="320" w:lineRule="exact"/>
              <w:jc w:val="center"/>
              <w:rPr>
                <w:snapToGrid w:val="0"/>
                <w:kern w:val="0"/>
                <w:szCs w:val="21"/>
              </w:rPr>
            </w:pPr>
            <w:r>
              <w:rPr>
                <w:rFonts w:hint="eastAsia"/>
                <w:snapToGrid w:val="0"/>
                <w:kern w:val="0"/>
                <w:szCs w:val="21"/>
              </w:rPr>
              <w:t>磋商</w:t>
            </w:r>
            <w:r>
              <w:rPr>
                <w:snapToGrid w:val="0"/>
                <w:kern w:val="0"/>
                <w:szCs w:val="21"/>
              </w:rPr>
              <w:t>保证金</w:t>
            </w:r>
          </w:p>
        </w:tc>
        <w:tc>
          <w:tcPr>
            <w:tcW w:w="5103" w:type="dxa"/>
            <w:tcBorders>
              <w:top w:val="single" w:color="auto" w:sz="4" w:space="0"/>
              <w:left w:val="single" w:color="auto" w:sz="4" w:space="0"/>
              <w:bottom w:val="single" w:color="auto" w:sz="4" w:space="0"/>
              <w:right w:val="single" w:color="auto" w:sz="4" w:space="0"/>
            </w:tcBorders>
            <w:vAlign w:val="center"/>
          </w:tcPr>
          <w:p w14:paraId="6E277EB4">
            <w:pPr>
              <w:spacing w:line="320" w:lineRule="exact"/>
              <w:rPr>
                <w:snapToGrid w:val="0"/>
                <w:kern w:val="0"/>
                <w:szCs w:val="21"/>
              </w:rPr>
            </w:pPr>
            <w:r>
              <w:rPr>
                <w:snapToGrid w:val="0"/>
                <w:kern w:val="0"/>
                <w:szCs w:val="21"/>
              </w:rPr>
              <w:t>符合第二章“</w:t>
            </w:r>
            <w:r>
              <w:rPr>
                <w:rFonts w:hint="eastAsia"/>
                <w:snapToGrid w:val="0"/>
                <w:kern w:val="0"/>
                <w:szCs w:val="21"/>
              </w:rPr>
              <w:t>供应商须知前附表</w:t>
            </w:r>
            <w:r>
              <w:rPr>
                <w:snapToGrid w:val="0"/>
                <w:kern w:val="0"/>
                <w:szCs w:val="21"/>
              </w:rPr>
              <w:t>”第11项规定</w:t>
            </w:r>
          </w:p>
        </w:tc>
      </w:tr>
      <w:tr w14:paraId="1CAC6B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1" w:hRule="atLeast"/>
        </w:trPr>
        <w:tc>
          <w:tcPr>
            <w:tcW w:w="896" w:type="dxa"/>
            <w:tcBorders>
              <w:top w:val="single" w:color="auto" w:sz="4" w:space="0"/>
              <w:left w:val="single" w:color="auto" w:sz="4" w:space="0"/>
              <w:bottom w:val="single" w:color="auto" w:sz="4" w:space="0"/>
              <w:right w:val="single" w:color="auto" w:sz="4" w:space="0"/>
            </w:tcBorders>
            <w:vAlign w:val="center"/>
          </w:tcPr>
          <w:p w14:paraId="0C3CF7B3">
            <w:pPr>
              <w:spacing w:line="320" w:lineRule="exact"/>
              <w:jc w:val="center"/>
              <w:rPr>
                <w:rFonts w:ascii="Arial" w:hAnsi="Arial" w:cs="Arial"/>
                <w:snapToGrid w:val="0"/>
                <w:kern w:val="0"/>
                <w:szCs w:val="21"/>
              </w:rPr>
            </w:pPr>
            <w:r>
              <w:rPr>
                <w:rFonts w:ascii="Arial" w:hAnsi="Arial" w:cs="Arial"/>
                <w:snapToGrid w:val="0"/>
                <w:kern w:val="0"/>
                <w:szCs w:val="21"/>
              </w:rPr>
              <w:t>6</w:t>
            </w:r>
          </w:p>
        </w:tc>
        <w:tc>
          <w:tcPr>
            <w:tcW w:w="2365" w:type="dxa"/>
            <w:tcBorders>
              <w:top w:val="single" w:color="auto" w:sz="4" w:space="0"/>
              <w:left w:val="single" w:color="auto" w:sz="4" w:space="0"/>
              <w:bottom w:val="single" w:color="auto" w:sz="4" w:space="0"/>
              <w:right w:val="single" w:color="auto" w:sz="4" w:space="0"/>
            </w:tcBorders>
            <w:vAlign w:val="center"/>
          </w:tcPr>
          <w:p w14:paraId="19F744CD">
            <w:pPr>
              <w:spacing w:line="320" w:lineRule="exact"/>
              <w:jc w:val="center"/>
              <w:rPr>
                <w:snapToGrid w:val="0"/>
                <w:kern w:val="0"/>
                <w:szCs w:val="21"/>
              </w:rPr>
            </w:pPr>
            <w:r>
              <w:rPr>
                <w:snapToGrid w:val="0"/>
                <w:kern w:val="0"/>
                <w:szCs w:val="21"/>
              </w:rPr>
              <w:t>已标价工程量清单</w:t>
            </w:r>
          </w:p>
        </w:tc>
        <w:tc>
          <w:tcPr>
            <w:tcW w:w="5103" w:type="dxa"/>
            <w:tcBorders>
              <w:top w:val="single" w:color="auto" w:sz="4" w:space="0"/>
              <w:left w:val="single" w:color="auto" w:sz="4" w:space="0"/>
              <w:bottom w:val="single" w:color="auto" w:sz="4" w:space="0"/>
              <w:right w:val="single" w:color="auto" w:sz="4" w:space="0"/>
            </w:tcBorders>
            <w:vAlign w:val="center"/>
          </w:tcPr>
          <w:p w14:paraId="3E173DD8">
            <w:pPr>
              <w:spacing w:line="320" w:lineRule="exact"/>
              <w:rPr>
                <w:rFonts w:ascii="Arial" w:hAnsi="Arial" w:cs="Arial"/>
                <w:snapToGrid w:val="0"/>
                <w:kern w:val="0"/>
                <w:szCs w:val="21"/>
              </w:rPr>
            </w:pPr>
            <w:r>
              <w:rPr>
                <w:snapToGrid w:val="0"/>
                <w:kern w:val="0"/>
                <w:szCs w:val="21"/>
              </w:rPr>
              <w:t>符合第</w:t>
            </w:r>
            <w:r>
              <w:rPr>
                <w:rFonts w:hint="eastAsia"/>
                <w:snapToGrid w:val="0"/>
                <w:kern w:val="0"/>
                <w:szCs w:val="21"/>
              </w:rPr>
              <w:t>六</w:t>
            </w:r>
            <w:r>
              <w:rPr>
                <w:snapToGrid w:val="0"/>
                <w:kern w:val="0"/>
                <w:szCs w:val="21"/>
              </w:rPr>
              <w:t>章“</w:t>
            </w:r>
            <w:r>
              <w:rPr>
                <w:rFonts w:hint="eastAsia"/>
                <w:snapToGrid w:val="0"/>
                <w:kern w:val="0"/>
                <w:szCs w:val="21"/>
              </w:rPr>
              <w:t>工程量清单及图纸</w:t>
            </w:r>
            <w:r>
              <w:rPr>
                <w:snapToGrid w:val="0"/>
                <w:kern w:val="0"/>
                <w:szCs w:val="21"/>
              </w:rPr>
              <w:t>”规定</w:t>
            </w:r>
          </w:p>
        </w:tc>
      </w:tr>
      <w:tr w14:paraId="15C744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1" w:hRule="atLeast"/>
        </w:trPr>
        <w:tc>
          <w:tcPr>
            <w:tcW w:w="896" w:type="dxa"/>
            <w:tcBorders>
              <w:top w:val="single" w:color="auto" w:sz="4" w:space="0"/>
              <w:left w:val="single" w:color="auto" w:sz="4" w:space="0"/>
              <w:bottom w:val="single" w:color="auto" w:sz="4" w:space="0"/>
              <w:right w:val="single" w:color="auto" w:sz="4" w:space="0"/>
            </w:tcBorders>
            <w:vAlign w:val="center"/>
          </w:tcPr>
          <w:p w14:paraId="1D9F140B">
            <w:pPr>
              <w:spacing w:before="60" w:beforeLines="25" w:after="60" w:afterLines="25" w:line="360" w:lineRule="auto"/>
              <w:jc w:val="center"/>
              <w:rPr>
                <w:rFonts w:ascii="Arial" w:hAnsi="Arial" w:cs="Arial"/>
                <w:snapToGrid w:val="0"/>
                <w:kern w:val="0"/>
                <w:szCs w:val="21"/>
              </w:rPr>
            </w:pPr>
            <w:r>
              <w:rPr>
                <w:rFonts w:hint="eastAsia" w:ascii="Arial" w:hAnsi="Arial" w:cs="Arial"/>
                <w:snapToGrid w:val="0"/>
                <w:kern w:val="0"/>
                <w:szCs w:val="21"/>
              </w:rPr>
              <w:t>7</w:t>
            </w:r>
          </w:p>
        </w:tc>
        <w:tc>
          <w:tcPr>
            <w:tcW w:w="2365" w:type="dxa"/>
            <w:tcBorders>
              <w:top w:val="single" w:color="auto" w:sz="4" w:space="0"/>
              <w:left w:val="single" w:color="auto" w:sz="4" w:space="0"/>
              <w:bottom w:val="single" w:color="auto" w:sz="4" w:space="0"/>
              <w:right w:val="single" w:color="auto" w:sz="4" w:space="0"/>
            </w:tcBorders>
            <w:vAlign w:val="center"/>
          </w:tcPr>
          <w:p w14:paraId="7AD0B43F">
            <w:pPr>
              <w:spacing w:line="360" w:lineRule="auto"/>
              <w:jc w:val="center"/>
              <w:rPr>
                <w:snapToGrid w:val="0"/>
                <w:kern w:val="0"/>
                <w:szCs w:val="21"/>
              </w:rPr>
            </w:pPr>
            <w:r>
              <w:rPr>
                <w:rFonts w:hint="eastAsia"/>
                <w:snapToGrid w:val="0"/>
                <w:kern w:val="0"/>
                <w:szCs w:val="21"/>
              </w:rPr>
              <w:t>其它废标情况</w:t>
            </w:r>
          </w:p>
        </w:tc>
        <w:tc>
          <w:tcPr>
            <w:tcW w:w="5103" w:type="dxa"/>
            <w:tcBorders>
              <w:top w:val="single" w:color="auto" w:sz="4" w:space="0"/>
              <w:left w:val="single" w:color="auto" w:sz="4" w:space="0"/>
              <w:bottom w:val="single" w:color="auto" w:sz="4" w:space="0"/>
              <w:right w:val="single" w:color="auto" w:sz="4" w:space="0"/>
            </w:tcBorders>
            <w:vAlign w:val="center"/>
          </w:tcPr>
          <w:p w14:paraId="339FD551">
            <w:pPr>
              <w:spacing w:before="60" w:beforeLines="25" w:after="60" w:afterLines="25" w:line="360" w:lineRule="auto"/>
              <w:rPr>
                <w:rFonts w:ascii="Arial" w:hAnsi="Arial" w:cs="Arial"/>
                <w:snapToGrid w:val="0"/>
                <w:kern w:val="0"/>
                <w:szCs w:val="21"/>
              </w:rPr>
            </w:pPr>
            <w:r>
              <w:rPr>
                <w:rFonts w:hint="eastAsia" w:ascii="Arial" w:hAnsi="Arial" w:cs="Arial"/>
                <w:snapToGrid w:val="0"/>
                <w:kern w:val="0"/>
                <w:szCs w:val="21"/>
              </w:rPr>
              <w:t>未出现其它不符合文件要求的情况</w:t>
            </w:r>
          </w:p>
        </w:tc>
      </w:tr>
    </w:tbl>
    <w:p w14:paraId="18A6D459">
      <w:pPr>
        <w:spacing w:before="120" w:line="360" w:lineRule="auto"/>
        <w:ind w:left="898" w:hanging="898"/>
        <w:rPr>
          <w:rFonts w:hint="eastAsia" w:ascii="宋体" w:hAnsi="宋体"/>
          <w:sz w:val="24"/>
        </w:rPr>
      </w:pPr>
    </w:p>
    <w:p w14:paraId="532D2170">
      <w:pPr>
        <w:spacing w:before="120" w:line="360" w:lineRule="auto"/>
        <w:jc w:val="center"/>
        <w:rPr>
          <w:rFonts w:hint="eastAsia" w:ascii="宋体" w:hAnsi="宋体"/>
          <w:b/>
          <w:szCs w:val="21"/>
        </w:rPr>
      </w:pPr>
      <w:r>
        <w:rPr>
          <w:rFonts w:hint="eastAsia" w:ascii="宋体" w:hAnsi="宋体"/>
          <w:b/>
          <w:szCs w:val="21"/>
        </w:rPr>
        <w:t>三、详细评审</w:t>
      </w:r>
    </w:p>
    <w:tbl>
      <w:tblPr>
        <w:tblStyle w:val="81"/>
        <w:tblW w:w="8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2333"/>
        <w:gridCol w:w="5103"/>
        <w:gridCol w:w="711"/>
      </w:tblGrid>
      <w:tr w14:paraId="1BE79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778" w:type="dxa"/>
            <w:gridSpan w:val="4"/>
            <w:tcBorders>
              <w:top w:val="single" w:color="auto" w:sz="4" w:space="0"/>
              <w:left w:val="single" w:color="auto" w:sz="4" w:space="0"/>
              <w:bottom w:val="single" w:color="auto" w:sz="4" w:space="0"/>
              <w:right w:val="single" w:color="auto" w:sz="4" w:space="0"/>
            </w:tcBorders>
            <w:vAlign w:val="center"/>
          </w:tcPr>
          <w:p w14:paraId="0568ADFE">
            <w:pPr>
              <w:adjustRightInd w:val="0"/>
              <w:snapToGrid w:val="0"/>
              <w:jc w:val="center"/>
              <w:rPr>
                <w:rFonts w:hint="eastAsia" w:ascii="宋体" w:hAnsi="宋体" w:cs="宋体"/>
                <w:szCs w:val="21"/>
              </w:rPr>
            </w:pPr>
            <w:r>
              <w:rPr>
                <w:rFonts w:hint="eastAsia" w:ascii="宋体" w:hAnsi="宋体" w:cs="宋体"/>
              </w:rPr>
              <w:t>商务部分（20分）</w:t>
            </w:r>
          </w:p>
        </w:tc>
      </w:tr>
      <w:tr w14:paraId="74702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14:paraId="1E8F4DC5">
            <w:pPr>
              <w:adjustRightInd w:val="0"/>
              <w:snapToGrid w:val="0"/>
              <w:jc w:val="center"/>
              <w:rPr>
                <w:rFonts w:hint="eastAsia" w:ascii="宋体" w:hAnsi="宋体" w:cs="宋体"/>
                <w:szCs w:val="21"/>
              </w:rPr>
            </w:pPr>
            <w:r>
              <w:rPr>
                <w:rFonts w:hint="eastAsia" w:ascii="宋体" w:hAnsi="宋体" w:cs="宋体"/>
                <w:szCs w:val="21"/>
              </w:rPr>
              <w:t>序号</w:t>
            </w:r>
          </w:p>
        </w:tc>
        <w:tc>
          <w:tcPr>
            <w:tcW w:w="2333" w:type="dxa"/>
            <w:tcBorders>
              <w:top w:val="single" w:color="auto" w:sz="4" w:space="0"/>
              <w:left w:val="single" w:color="auto" w:sz="4" w:space="0"/>
              <w:bottom w:val="single" w:color="auto" w:sz="4" w:space="0"/>
              <w:right w:val="single" w:color="auto" w:sz="4" w:space="0"/>
            </w:tcBorders>
            <w:vAlign w:val="center"/>
          </w:tcPr>
          <w:p w14:paraId="7AA7485E">
            <w:pPr>
              <w:adjustRightInd w:val="0"/>
              <w:snapToGrid w:val="0"/>
              <w:jc w:val="center"/>
              <w:rPr>
                <w:rFonts w:hint="eastAsia" w:ascii="宋体" w:hAnsi="宋体" w:cs="宋体"/>
                <w:szCs w:val="21"/>
              </w:rPr>
            </w:pPr>
            <w:r>
              <w:rPr>
                <w:rFonts w:hint="eastAsia" w:ascii="宋体" w:hAnsi="宋体" w:cs="宋体"/>
                <w:szCs w:val="21"/>
              </w:rPr>
              <w:t>项目</w:t>
            </w:r>
          </w:p>
        </w:tc>
        <w:tc>
          <w:tcPr>
            <w:tcW w:w="5103" w:type="dxa"/>
            <w:tcBorders>
              <w:top w:val="single" w:color="auto" w:sz="4" w:space="0"/>
              <w:left w:val="single" w:color="auto" w:sz="4" w:space="0"/>
              <w:bottom w:val="single" w:color="auto" w:sz="4" w:space="0"/>
              <w:right w:val="single" w:color="auto" w:sz="4" w:space="0"/>
            </w:tcBorders>
            <w:vAlign w:val="center"/>
          </w:tcPr>
          <w:p w14:paraId="7E903B20">
            <w:pPr>
              <w:adjustRightInd w:val="0"/>
              <w:snapToGrid w:val="0"/>
              <w:jc w:val="center"/>
              <w:rPr>
                <w:rFonts w:hint="eastAsia" w:ascii="宋体" w:hAnsi="宋体" w:cs="宋体"/>
                <w:szCs w:val="21"/>
              </w:rPr>
            </w:pPr>
            <w:r>
              <w:rPr>
                <w:rFonts w:hint="eastAsia" w:ascii="宋体" w:hAnsi="宋体" w:cs="宋体"/>
                <w:szCs w:val="21"/>
              </w:rPr>
              <w:t>评分标准</w:t>
            </w:r>
          </w:p>
        </w:tc>
        <w:tc>
          <w:tcPr>
            <w:tcW w:w="711" w:type="dxa"/>
            <w:tcBorders>
              <w:top w:val="single" w:color="auto" w:sz="4" w:space="0"/>
              <w:left w:val="single" w:color="auto" w:sz="4" w:space="0"/>
              <w:bottom w:val="single" w:color="auto" w:sz="4" w:space="0"/>
              <w:right w:val="single" w:color="auto" w:sz="4" w:space="0"/>
            </w:tcBorders>
            <w:vAlign w:val="center"/>
          </w:tcPr>
          <w:p w14:paraId="7E3939ED">
            <w:pPr>
              <w:adjustRightInd w:val="0"/>
              <w:snapToGrid w:val="0"/>
              <w:jc w:val="center"/>
              <w:rPr>
                <w:rFonts w:hint="eastAsia" w:ascii="宋体" w:hAnsi="宋体" w:cs="宋体"/>
                <w:szCs w:val="21"/>
              </w:rPr>
            </w:pPr>
            <w:r>
              <w:rPr>
                <w:rFonts w:hint="eastAsia" w:ascii="宋体" w:hAnsi="宋体" w:cs="宋体"/>
                <w:szCs w:val="21"/>
              </w:rPr>
              <w:t>得分</w:t>
            </w:r>
          </w:p>
        </w:tc>
      </w:tr>
      <w:tr w14:paraId="1C018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exact"/>
          <w:jc w:val="center"/>
        </w:trPr>
        <w:tc>
          <w:tcPr>
            <w:tcW w:w="631" w:type="dxa"/>
            <w:tcBorders>
              <w:top w:val="single" w:color="auto" w:sz="4" w:space="0"/>
              <w:left w:val="single" w:color="auto" w:sz="4" w:space="0"/>
              <w:right w:val="single" w:color="auto" w:sz="4" w:space="0"/>
            </w:tcBorders>
            <w:vAlign w:val="center"/>
          </w:tcPr>
          <w:p w14:paraId="0E142A97">
            <w:pPr>
              <w:adjustRightInd w:val="0"/>
              <w:snapToGrid w:val="0"/>
              <w:jc w:val="center"/>
              <w:rPr>
                <w:rFonts w:hint="eastAsia" w:ascii="宋体" w:hAnsi="宋体" w:cs="宋体"/>
                <w:szCs w:val="21"/>
              </w:rPr>
            </w:pPr>
            <w:r>
              <w:rPr>
                <w:rFonts w:hint="eastAsia" w:ascii="宋体" w:hAnsi="宋体" w:cs="宋体"/>
                <w:szCs w:val="21"/>
              </w:rPr>
              <w:t>1</w:t>
            </w:r>
          </w:p>
        </w:tc>
        <w:tc>
          <w:tcPr>
            <w:tcW w:w="2333" w:type="dxa"/>
            <w:tcBorders>
              <w:top w:val="single" w:color="auto" w:sz="4" w:space="0"/>
              <w:left w:val="single" w:color="auto" w:sz="4" w:space="0"/>
              <w:right w:val="single" w:color="auto" w:sz="4" w:space="0"/>
            </w:tcBorders>
            <w:vAlign w:val="center"/>
          </w:tcPr>
          <w:p w14:paraId="36B28925">
            <w:pPr>
              <w:adjustRightInd w:val="0"/>
              <w:snapToGrid w:val="0"/>
              <w:jc w:val="center"/>
              <w:rPr>
                <w:rFonts w:hint="eastAsia" w:ascii="宋体" w:hAnsi="宋体" w:cs="宋体"/>
              </w:rPr>
            </w:pPr>
            <w:r>
              <w:rPr>
                <w:rFonts w:hint="eastAsia" w:ascii="宋体" w:hAnsi="宋体" w:cs="宋体"/>
              </w:rPr>
              <w:t>项目管理机构评分标准</w:t>
            </w:r>
          </w:p>
          <w:p w14:paraId="7A44234F">
            <w:pPr>
              <w:adjustRightInd w:val="0"/>
              <w:snapToGrid w:val="0"/>
              <w:jc w:val="center"/>
              <w:rPr>
                <w:rFonts w:hint="eastAsia" w:ascii="宋体" w:hAnsi="宋体" w:cs="宋体"/>
                <w:szCs w:val="21"/>
              </w:rPr>
            </w:pPr>
            <w:r>
              <w:rPr>
                <w:rFonts w:hint="eastAsia" w:ascii="宋体" w:hAnsi="宋体" w:cs="宋体"/>
              </w:rPr>
              <w:t>（10分）</w:t>
            </w:r>
          </w:p>
        </w:tc>
        <w:tc>
          <w:tcPr>
            <w:tcW w:w="5103" w:type="dxa"/>
            <w:tcBorders>
              <w:top w:val="single" w:color="auto" w:sz="4" w:space="0"/>
              <w:left w:val="single" w:color="auto" w:sz="4" w:space="0"/>
              <w:right w:val="single" w:color="auto" w:sz="4" w:space="0"/>
            </w:tcBorders>
            <w:vAlign w:val="center"/>
          </w:tcPr>
          <w:p w14:paraId="230B89DC">
            <w:pPr>
              <w:adjustRightInd w:val="0"/>
              <w:snapToGrid w:val="0"/>
              <w:rPr>
                <w:rFonts w:hint="eastAsia" w:ascii="宋体" w:hAnsi="宋体" w:cs="宋体"/>
                <w:szCs w:val="21"/>
              </w:rPr>
            </w:pPr>
            <w:r>
              <w:rPr>
                <w:rFonts w:hint="eastAsia" w:ascii="宋体" w:hAnsi="宋体" w:cs="宋体"/>
                <w:szCs w:val="21"/>
              </w:rPr>
              <w:t>管理机构配备充分合理，人员</w:t>
            </w:r>
            <w:r>
              <w:rPr>
                <w:rFonts w:ascii="宋体" w:hAnsi="宋体" w:cs="宋体"/>
                <w:szCs w:val="21"/>
              </w:rPr>
              <w:t>配备齐全</w:t>
            </w:r>
            <w:r>
              <w:rPr>
                <w:rFonts w:hint="eastAsia" w:ascii="宋体" w:hAnsi="宋体" w:cs="宋体"/>
                <w:szCs w:val="21"/>
              </w:rPr>
              <w:t>，得</w:t>
            </w:r>
            <w:r>
              <w:rPr>
                <w:rFonts w:ascii="宋体" w:hAnsi="宋体" w:cs="宋体"/>
                <w:szCs w:val="21"/>
              </w:rPr>
              <w:t>10</w:t>
            </w:r>
            <w:r>
              <w:rPr>
                <w:rFonts w:hint="eastAsia" w:ascii="宋体" w:hAnsi="宋体" w:cs="宋体"/>
                <w:szCs w:val="21"/>
              </w:rPr>
              <w:t>分；</w:t>
            </w:r>
          </w:p>
          <w:p w14:paraId="0CB46FA7">
            <w:pPr>
              <w:adjustRightInd w:val="0"/>
              <w:snapToGrid w:val="0"/>
              <w:rPr>
                <w:rFonts w:hint="eastAsia" w:ascii="宋体" w:hAnsi="宋体" w:cs="宋体"/>
                <w:szCs w:val="21"/>
              </w:rPr>
            </w:pPr>
            <w:r>
              <w:rPr>
                <w:rFonts w:hint="eastAsia" w:ascii="宋体" w:hAnsi="宋体" w:cs="宋体"/>
                <w:szCs w:val="21"/>
              </w:rPr>
              <w:t>管理机构配备较合理，人员</w:t>
            </w:r>
            <w:r>
              <w:rPr>
                <w:rFonts w:ascii="宋体" w:hAnsi="宋体" w:cs="宋体"/>
                <w:szCs w:val="21"/>
              </w:rPr>
              <w:t>配备</w:t>
            </w:r>
            <w:r>
              <w:rPr>
                <w:rFonts w:hint="eastAsia" w:ascii="宋体" w:hAnsi="宋体" w:cs="宋体"/>
                <w:szCs w:val="21"/>
              </w:rPr>
              <w:t>较</w:t>
            </w:r>
            <w:r>
              <w:rPr>
                <w:rFonts w:ascii="宋体" w:hAnsi="宋体" w:cs="宋体"/>
                <w:szCs w:val="21"/>
              </w:rPr>
              <w:t>齐全</w:t>
            </w:r>
            <w:r>
              <w:rPr>
                <w:rFonts w:hint="eastAsia" w:ascii="宋体" w:hAnsi="宋体" w:cs="宋体"/>
                <w:szCs w:val="21"/>
              </w:rPr>
              <w:t>，得</w:t>
            </w:r>
            <w:r>
              <w:rPr>
                <w:rFonts w:ascii="宋体" w:hAnsi="宋体" w:cs="宋体"/>
                <w:szCs w:val="21"/>
              </w:rPr>
              <w:t>7</w:t>
            </w:r>
            <w:r>
              <w:rPr>
                <w:rFonts w:hint="eastAsia" w:ascii="宋体" w:hAnsi="宋体" w:cs="宋体"/>
                <w:szCs w:val="21"/>
              </w:rPr>
              <w:t>分；</w:t>
            </w:r>
          </w:p>
          <w:p w14:paraId="012C0C06">
            <w:pPr>
              <w:adjustRightInd w:val="0"/>
              <w:snapToGrid w:val="0"/>
              <w:rPr>
                <w:rFonts w:hint="eastAsia" w:ascii="宋体" w:hAnsi="宋体" w:cs="宋体"/>
                <w:szCs w:val="21"/>
              </w:rPr>
            </w:pPr>
            <w:r>
              <w:rPr>
                <w:rFonts w:hint="eastAsia" w:ascii="宋体" w:hAnsi="宋体" w:cs="宋体"/>
                <w:szCs w:val="21"/>
              </w:rPr>
              <w:t>管理机构配备基本合理，人员</w:t>
            </w:r>
            <w:r>
              <w:rPr>
                <w:rFonts w:ascii="宋体" w:hAnsi="宋体" w:cs="宋体"/>
                <w:szCs w:val="21"/>
              </w:rPr>
              <w:t>配备</w:t>
            </w:r>
            <w:r>
              <w:rPr>
                <w:rFonts w:hint="eastAsia" w:ascii="宋体" w:hAnsi="宋体" w:cs="宋体"/>
                <w:szCs w:val="21"/>
              </w:rPr>
              <w:t>基本</w:t>
            </w:r>
            <w:r>
              <w:rPr>
                <w:rFonts w:ascii="宋体" w:hAnsi="宋体" w:cs="宋体"/>
                <w:szCs w:val="21"/>
              </w:rPr>
              <w:t>齐全</w:t>
            </w:r>
            <w:r>
              <w:rPr>
                <w:rFonts w:hint="eastAsia" w:ascii="宋体" w:hAnsi="宋体" w:cs="宋体"/>
                <w:szCs w:val="21"/>
              </w:rPr>
              <w:t>，得</w:t>
            </w:r>
            <w:r>
              <w:rPr>
                <w:rFonts w:ascii="宋体" w:hAnsi="宋体" w:cs="宋体"/>
                <w:szCs w:val="21"/>
              </w:rPr>
              <w:t>4</w:t>
            </w:r>
            <w:r>
              <w:rPr>
                <w:rFonts w:hint="eastAsia" w:ascii="宋体" w:hAnsi="宋体" w:cs="宋体"/>
                <w:szCs w:val="21"/>
              </w:rPr>
              <w:t>分；</w:t>
            </w:r>
          </w:p>
          <w:p w14:paraId="11D5F80E">
            <w:pPr>
              <w:adjustRightInd w:val="0"/>
              <w:snapToGrid w:val="0"/>
              <w:rPr>
                <w:rFonts w:hint="eastAsia" w:ascii="宋体" w:hAnsi="宋体" w:cs="宋体"/>
                <w:szCs w:val="21"/>
              </w:rPr>
            </w:pPr>
            <w:r>
              <w:rPr>
                <w:rFonts w:hint="eastAsia" w:ascii="宋体" w:hAnsi="宋体" w:cs="宋体"/>
                <w:szCs w:val="21"/>
              </w:rPr>
              <w:t>管理机构配备不合理，</w:t>
            </w:r>
            <w:r>
              <w:rPr>
                <w:rFonts w:ascii="宋体" w:hAnsi="宋体" w:cs="宋体"/>
                <w:szCs w:val="21"/>
              </w:rPr>
              <w:t>人员</w:t>
            </w:r>
            <w:r>
              <w:rPr>
                <w:rFonts w:hint="eastAsia" w:ascii="宋体" w:hAnsi="宋体" w:cs="宋体"/>
                <w:szCs w:val="21"/>
              </w:rPr>
              <w:t>配备不</w:t>
            </w:r>
            <w:r>
              <w:rPr>
                <w:rFonts w:ascii="宋体" w:hAnsi="宋体" w:cs="宋体"/>
                <w:szCs w:val="21"/>
              </w:rPr>
              <w:t>齐备</w:t>
            </w:r>
            <w:r>
              <w:rPr>
                <w:rFonts w:hint="eastAsia" w:ascii="宋体" w:hAnsi="宋体" w:cs="宋体"/>
                <w:szCs w:val="21"/>
              </w:rPr>
              <w:t>，得</w:t>
            </w:r>
            <w:r>
              <w:rPr>
                <w:rFonts w:ascii="宋体" w:hAnsi="宋体" w:cs="宋体"/>
                <w:szCs w:val="21"/>
              </w:rPr>
              <w:t>1</w:t>
            </w:r>
            <w:r>
              <w:rPr>
                <w:rFonts w:hint="eastAsia" w:ascii="宋体" w:hAnsi="宋体" w:cs="宋体"/>
                <w:szCs w:val="21"/>
              </w:rPr>
              <w:t>分；</w:t>
            </w:r>
          </w:p>
          <w:p w14:paraId="5899FB91">
            <w:pPr>
              <w:adjustRightInd w:val="0"/>
              <w:snapToGrid w:val="0"/>
              <w:rPr>
                <w:rFonts w:hint="eastAsia" w:ascii="宋体" w:hAnsi="宋体" w:cs="宋体"/>
                <w:szCs w:val="21"/>
              </w:rPr>
            </w:pPr>
            <w:r>
              <w:rPr>
                <w:rFonts w:hint="eastAsia" w:ascii="宋体" w:hAnsi="宋体" w:cs="宋体"/>
                <w:szCs w:val="21"/>
              </w:rPr>
              <w:t>未提供</w:t>
            </w:r>
            <w:r>
              <w:rPr>
                <w:rFonts w:ascii="宋体" w:hAnsi="宋体" w:cs="宋体"/>
                <w:szCs w:val="21"/>
              </w:rPr>
              <w:t>得</w:t>
            </w:r>
            <w:r>
              <w:rPr>
                <w:rFonts w:hint="eastAsia" w:ascii="宋体" w:hAnsi="宋体" w:cs="宋体"/>
                <w:szCs w:val="21"/>
              </w:rPr>
              <w:t>0分。</w:t>
            </w:r>
          </w:p>
        </w:tc>
        <w:tc>
          <w:tcPr>
            <w:tcW w:w="711" w:type="dxa"/>
            <w:tcBorders>
              <w:top w:val="single" w:color="auto" w:sz="4" w:space="0"/>
              <w:left w:val="single" w:color="auto" w:sz="4" w:space="0"/>
              <w:right w:val="single" w:color="auto" w:sz="4" w:space="0"/>
            </w:tcBorders>
            <w:vAlign w:val="center"/>
          </w:tcPr>
          <w:p w14:paraId="2654BDC9">
            <w:pPr>
              <w:adjustRightInd w:val="0"/>
              <w:snapToGrid w:val="0"/>
              <w:jc w:val="center"/>
              <w:rPr>
                <w:rFonts w:hint="eastAsia" w:ascii="宋体" w:hAnsi="宋体" w:cs="宋体"/>
                <w:szCs w:val="21"/>
              </w:rPr>
            </w:pPr>
            <w:r>
              <w:rPr>
                <w:rFonts w:hint="eastAsia" w:ascii="宋体" w:hAnsi="宋体" w:cs="宋体"/>
                <w:szCs w:val="21"/>
              </w:rPr>
              <w:t>10</w:t>
            </w:r>
          </w:p>
        </w:tc>
      </w:tr>
      <w:tr w14:paraId="42602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631" w:type="dxa"/>
            <w:tcBorders>
              <w:top w:val="single" w:color="auto" w:sz="4" w:space="0"/>
              <w:left w:val="single" w:color="auto" w:sz="4" w:space="0"/>
              <w:right w:val="single" w:color="auto" w:sz="4" w:space="0"/>
            </w:tcBorders>
            <w:vAlign w:val="center"/>
          </w:tcPr>
          <w:p w14:paraId="022D4ED1">
            <w:pPr>
              <w:adjustRightInd w:val="0"/>
              <w:snapToGrid w:val="0"/>
              <w:jc w:val="center"/>
              <w:rPr>
                <w:rFonts w:hint="eastAsia" w:ascii="宋体" w:hAnsi="宋体" w:cs="宋体"/>
                <w:szCs w:val="21"/>
              </w:rPr>
            </w:pPr>
            <w:r>
              <w:rPr>
                <w:rFonts w:hint="eastAsia" w:ascii="宋体" w:hAnsi="宋体" w:cs="宋体"/>
                <w:szCs w:val="21"/>
              </w:rPr>
              <w:t>2</w:t>
            </w:r>
          </w:p>
        </w:tc>
        <w:tc>
          <w:tcPr>
            <w:tcW w:w="2333" w:type="dxa"/>
            <w:tcBorders>
              <w:top w:val="single" w:color="auto" w:sz="4" w:space="0"/>
              <w:left w:val="single" w:color="auto" w:sz="4" w:space="0"/>
              <w:right w:val="single" w:color="auto" w:sz="4" w:space="0"/>
            </w:tcBorders>
            <w:vAlign w:val="center"/>
          </w:tcPr>
          <w:p w14:paraId="1F356A9D">
            <w:pPr>
              <w:adjustRightInd w:val="0"/>
              <w:snapToGrid w:val="0"/>
              <w:jc w:val="center"/>
              <w:rPr>
                <w:rFonts w:hint="eastAsia" w:ascii="宋体" w:hAnsi="宋体" w:cs="宋体"/>
              </w:rPr>
            </w:pPr>
            <w:r>
              <w:rPr>
                <w:rFonts w:hint="eastAsia" w:ascii="宋体" w:hAnsi="宋体" w:cs="宋体"/>
              </w:rPr>
              <w:t>拟投入施工机械情况</w:t>
            </w:r>
          </w:p>
          <w:p w14:paraId="5F47D5D6">
            <w:pPr>
              <w:adjustRightInd w:val="0"/>
              <w:snapToGrid w:val="0"/>
              <w:jc w:val="center"/>
              <w:rPr>
                <w:rFonts w:hint="eastAsia" w:ascii="宋体" w:hAnsi="宋体" w:cs="宋体"/>
              </w:rPr>
            </w:pPr>
            <w:r>
              <w:rPr>
                <w:rFonts w:hint="eastAsia" w:ascii="宋体" w:hAnsi="宋体" w:cs="宋体"/>
              </w:rPr>
              <w:t>（4分）</w:t>
            </w:r>
          </w:p>
        </w:tc>
        <w:tc>
          <w:tcPr>
            <w:tcW w:w="5103" w:type="dxa"/>
            <w:tcBorders>
              <w:top w:val="single" w:color="auto" w:sz="4" w:space="0"/>
              <w:left w:val="single" w:color="auto" w:sz="4" w:space="0"/>
              <w:right w:val="single" w:color="auto" w:sz="4" w:space="0"/>
            </w:tcBorders>
            <w:vAlign w:val="center"/>
          </w:tcPr>
          <w:p w14:paraId="61E36A8D">
            <w:pPr>
              <w:adjustRightInd w:val="0"/>
              <w:snapToGrid w:val="0"/>
              <w:rPr>
                <w:rFonts w:hint="eastAsia" w:ascii="宋体" w:hAnsi="宋体" w:cs="宋体"/>
                <w:szCs w:val="21"/>
              </w:rPr>
            </w:pPr>
            <w:r>
              <w:rPr>
                <w:rFonts w:hint="eastAsia" w:ascii="宋体" w:hAnsi="宋体" w:cs="宋体"/>
                <w:szCs w:val="21"/>
              </w:rPr>
              <w:t>配置合理，能完全满足工程施工需要，得4分；</w:t>
            </w:r>
          </w:p>
          <w:p w14:paraId="6C7B8E11">
            <w:pPr>
              <w:adjustRightInd w:val="0"/>
              <w:snapToGrid w:val="0"/>
              <w:rPr>
                <w:rFonts w:hint="eastAsia" w:ascii="宋体" w:hAnsi="宋体" w:cs="宋体"/>
                <w:szCs w:val="21"/>
              </w:rPr>
            </w:pPr>
            <w:r>
              <w:rPr>
                <w:rFonts w:hint="eastAsia" w:ascii="宋体" w:hAnsi="宋体" w:cs="宋体"/>
                <w:szCs w:val="21"/>
              </w:rPr>
              <w:t>配置合理性较好，能满足工程施工需要，得3分；</w:t>
            </w:r>
          </w:p>
          <w:p w14:paraId="5B062320">
            <w:pPr>
              <w:adjustRightInd w:val="0"/>
              <w:snapToGrid w:val="0"/>
              <w:rPr>
                <w:rFonts w:hint="eastAsia" w:ascii="宋体" w:hAnsi="宋体" w:cs="宋体"/>
                <w:szCs w:val="21"/>
              </w:rPr>
            </w:pPr>
            <w:r>
              <w:rPr>
                <w:rFonts w:hint="eastAsia" w:ascii="宋体" w:hAnsi="宋体" w:cs="宋体"/>
                <w:szCs w:val="21"/>
              </w:rPr>
              <w:t>配置基本合理，基本能满足工程施工需要，得2分；</w:t>
            </w:r>
          </w:p>
          <w:p w14:paraId="157E73B2">
            <w:pPr>
              <w:adjustRightInd w:val="0"/>
              <w:snapToGrid w:val="0"/>
              <w:rPr>
                <w:rFonts w:hint="eastAsia" w:ascii="宋体" w:hAnsi="宋体" w:cs="宋体"/>
                <w:szCs w:val="21"/>
              </w:rPr>
            </w:pPr>
            <w:r>
              <w:rPr>
                <w:rFonts w:hint="eastAsia" w:ascii="宋体" w:hAnsi="宋体" w:cs="宋体"/>
                <w:szCs w:val="21"/>
              </w:rPr>
              <w:t>配置不合理，不能满足工程施工需要，得</w:t>
            </w:r>
            <w:r>
              <w:rPr>
                <w:rFonts w:ascii="宋体" w:hAnsi="宋体" w:cs="宋体"/>
                <w:szCs w:val="21"/>
              </w:rPr>
              <w:t>1</w:t>
            </w:r>
            <w:r>
              <w:rPr>
                <w:rFonts w:hint="eastAsia" w:ascii="宋体" w:hAnsi="宋体" w:cs="宋体"/>
                <w:szCs w:val="21"/>
              </w:rPr>
              <w:t>分；</w:t>
            </w:r>
          </w:p>
          <w:p w14:paraId="2F292AD0">
            <w:pPr>
              <w:adjustRightInd w:val="0"/>
              <w:snapToGrid w:val="0"/>
              <w:rPr>
                <w:rFonts w:hint="eastAsia" w:ascii="宋体" w:hAnsi="宋体" w:cs="宋体"/>
                <w:szCs w:val="21"/>
              </w:rPr>
            </w:pPr>
            <w:r>
              <w:rPr>
                <w:rFonts w:hint="eastAsia" w:ascii="宋体" w:hAnsi="宋体" w:cs="宋体"/>
                <w:szCs w:val="21"/>
              </w:rPr>
              <w:t>未提供</w:t>
            </w:r>
            <w:r>
              <w:rPr>
                <w:rFonts w:ascii="宋体" w:hAnsi="宋体" w:cs="宋体"/>
                <w:szCs w:val="21"/>
              </w:rPr>
              <w:t>得</w:t>
            </w:r>
            <w:r>
              <w:rPr>
                <w:rFonts w:hint="eastAsia" w:ascii="宋体" w:hAnsi="宋体" w:cs="宋体"/>
                <w:szCs w:val="21"/>
              </w:rPr>
              <w:t>0分。</w:t>
            </w:r>
          </w:p>
        </w:tc>
        <w:tc>
          <w:tcPr>
            <w:tcW w:w="711" w:type="dxa"/>
            <w:tcBorders>
              <w:top w:val="single" w:color="auto" w:sz="4" w:space="0"/>
              <w:left w:val="single" w:color="auto" w:sz="4" w:space="0"/>
              <w:right w:val="single" w:color="auto" w:sz="4" w:space="0"/>
            </w:tcBorders>
            <w:vAlign w:val="center"/>
          </w:tcPr>
          <w:p w14:paraId="595C3B69">
            <w:pPr>
              <w:adjustRightInd w:val="0"/>
              <w:snapToGrid w:val="0"/>
              <w:jc w:val="center"/>
              <w:rPr>
                <w:rFonts w:hint="eastAsia" w:ascii="宋体" w:hAnsi="宋体" w:cs="宋体"/>
                <w:szCs w:val="21"/>
              </w:rPr>
            </w:pPr>
            <w:r>
              <w:rPr>
                <w:rFonts w:hint="eastAsia" w:ascii="宋体" w:hAnsi="宋体" w:cs="宋体"/>
                <w:szCs w:val="21"/>
              </w:rPr>
              <w:t>4</w:t>
            </w:r>
          </w:p>
        </w:tc>
      </w:tr>
      <w:tr w14:paraId="713EB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exact"/>
          <w:jc w:val="center"/>
        </w:trPr>
        <w:tc>
          <w:tcPr>
            <w:tcW w:w="631" w:type="dxa"/>
            <w:tcBorders>
              <w:top w:val="single" w:color="auto" w:sz="4" w:space="0"/>
              <w:left w:val="single" w:color="auto" w:sz="4" w:space="0"/>
              <w:right w:val="single" w:color="auto" w:sz="4" w:space="0"/>
            </w:tcBorders>
            <w:vAlign w:val="center"/>
          </w:tcPr>
          <w:p w14:paraId="7CD6793C">
            <w:pPr>
              <w:adjustRightInd w:val="0"/>
              <w:snapToGrid w:val="0"/>
              <w:jc w:val="center"/>
              <w:rPr>
                <w:rFonts w:hint="eastAsia" w:ascii="宋体" w:hAnsi="宋体" w:cs="宋体"/>
                <w:szCs w:val="21"/>
              </w:rPr>
            </w:pPr>
            <w:r>
              <w:rPr>
                <w:rFonts w:hint="eastAsia" w:ascii="宋体" w:hAnsi="宋体" w:cs="宋体"/>
                <w:szCs w:val="21"/>
              </w:rPr>
              <w:t>3</w:t>
            </w:r>
          </w:p>
        </w:tc>
        <w:tc>
          <w:tcPr>
            <w:tcW w:w="2333" w:type="dxa"/>
            <w:tcBorders>
              <w:top w:val="single" w:color="auto" w:sz="4" w:space="0"/>
              <w:left w:val="single" w:color="auto" w:sz="4" w:space="0"/>
              <w:right w:val="single" w:color="auto" w:sz="4" w:space="0"/>
            </w:tcBorders>
            <w:vAlign w:val="center"/>
          </w:tcPr>
          <w:p w14:paraId="4AF5F82B">
            <w:pPr>
              <w:adjustRightInd w:val="0"/>
              <w:snapToGrid w:val="0"/>
              <w:jc w:val="center"/>
              <w:rPr>
                <w:rFonts w:hint="eastAsia" w:ascii="宋体" w:hAnsi="宋体" w:cs="宋体"/>
              </w:rPr>
            </w:pPr>
            <w:r>
              <w:rPr>
                <w:rFonts w:hint="eastAsia" w:ascii="宋体" w:hAnsi="宋体" w:cs="宋体"/>
              </w:rPr>
              <w:t>业绩</w:t>
            </w:r>
          </w:p>
          <w:p w14:paraId="593E6FBF">
            <w:pPr>
              <w:adjustRightInd w:val="0"/>
              <w:snapToGrid w:val="0"/>
              <w:jc w:val="center"/>
              <w:rPr>
                <w:rFonts w:hint="eastAsia" w:ascii="宋体" w:hAnsi="宋体" w:cs="宋体"/>
              </w:rPr>
            </w:pPr>
            <w:r>
              <w:rPr>
                <w:rFonts w:hint="eastAsia" w:ascii="宋体" w:hAnsi="宋体" w:cs="宋体"/>
              </w:rPr>
              <w:t>（6分）</w:t>
            </w:r>
          </w:p>
        </w:tc>
        <w:tc>
          <w:tcPr>
            <w:tcW w:w="5103" w:type="dxa"/>
            <w:tcBorders>
              <w:top w:val="single" w:color="auto" w:sz="4" w:space="0"/>
              <w:left w:val="single" w:color="auto" w:sz="4" w:space="0"/>
              <w:right w:val="single" w:color="auto" w:sz="4" w:space="0"/>
            </w:tcBorders>
            <w:vAlign w:val="center"/>
          </w:tcPr>
          <w:p w14:paraId="312F7AF2">
            <w:pPr>
              <w:adjustRightInd w:val="0"/>
              <w:snapToGrid w:val="0"/>
              <w:rPr>
                <w:rFonts w:hint="eastAsia" w:ascii="宋体" w:hAnsi="宋体" w:cs="宋体"/>
                <w:szCs w:val="21"/>
              </w:rPr>
            </w:pPr>
            <w:r>
              <w:rPr>
                <w:rFonts w:hint="eastAsia" w:ascii="宋体" w:hAnsi="宋体" w:cs="宋体"/>
                <w:szCs w:val="21"/>
              </w:rPr>
              <w:t>近三年（2021年10月8日至响应文件递交截止之日</w:t>
            </w:r>
            <w:r>
              <w:rPr>
                <w:rFonts w:hint="eastAsia"/>
                <w:szCs w:val="21"/>
              </w:rPr>
              <w:t>）具有的装饰装修工程</w:t>
            </w:r>
            <w:r>
              <w:rPr>
                <w:rFonts w:hint="eastAsia" w:ascii="宋体" w:hAnsi="宋体" w:cs="宋体"/>
                <w:szCs w:val="21"/>
              </w:rPr>
              <w:t>业绩，每有1项类似项目得</w:t>
            </w:r>
            <w:r>
              <w:rPr>
                <w:rFonts w:ascii="宋体" w:hAnsi="宋体" w:cs="宋体"/>
                <w:szCs w:val="21"/>
              </w:rPr>
              <w:t>2</w:t>
            </w:r>
            <w:r>
              <w:rPr>
                <w:rFonts w:hint="eastAsia" w:ascii="宋体" w:hAnsi="宋体" w:cs="宋体"/>
                <w:szCs w:val="21"/>
              </w:rPr>
              <w:t>分，直至本项满分。</w:t>
            </w:r>
          </w:p>
          <w:p w14:paraId="4B51E254">
            <w:pPr>
              <w:adjustRightInd w:val="0"/>
              <w:snapToGrid w:val="0"/>
              <w:rPr>
                <w:rFonts w:hint="eastAsia" w:ascii="宋体" w:hAnsi="宋体" w:cs="宋体"/>
                <w:szCs w:val="21"/>
              </w:rPr>
            </w:pPr>
            <w:r>
              <w:rPr>
                <w:rFonts w:hint="eastAsia" w:ascii="宋体" w:hAnsi="宋体"/>
                <w:szCs w:val="21"/>
              </w:rPr>
              <w:t>需提供与甲方签订合同的合同首页至合同签字盖章页的关键内容合同页（复印件须加盖供应商公章）</w:t>
            </w:r>
          </w:p>
        </w:tc>
        <w:tc>
          <w:tcPr>
            <w:tcW w:w="711" w:type="dxa"/>
            <w:tcBorders>
              <w:top w:val="single" w:color="auto" w:sz="4" w:space="0"/>
              <w:left w:val="single" w:color="auto" w:sz="4" w:space="0"/>
              <w:right w:val="single" w:color="auto" w:sz="4" w:space="0"/>
            </w:tcBorders>
            <w:vAlign w:val="center"/>
          </w:tcPr>
          <w:p w14:paraId="1F649898">
            <w:pPr>
              <w:adjustRightInd w:val="0"/>
              <w:snapToGrid w:val="0"/>
              <w:jc w:val="center"/>
              <w:rPr>
                <w:rFonts w:hint="eastAsia" w:ascii="宋体" w:hAnsi="宋体" w:cs="宋体"/>
                <w:szCs w:val="21"/>
              </w:rPr>
            </w:pPr>
            <w:r>
              <w:rPr>
                <w:rFonts w:hint="eastAsia" w:ascii="宋体" w:hAnsi="宋体" w:cs="宋体"/>
                <w:szCs w:val="21"/>
              </w:rPr>
              <w:t>6</w:t>
            </w:r>
          </w:p>
        </w:tc>
      </w:tr>
      <w:tr w14:paraId="3EDF8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jc w:val="center"/>
        </w:trPr>
        <w:tc>
          <w:tcPr>
            <w:tcW w:w="8778" w:type="dxa"/>
            <w:gridSpan w:val="4"/>
            <w:tcBorders>
              <w:top w:val="single" w:color="auto" w:sz="4" w:space="0"/>
              <w:left w:val="single" w:color="auto" w:sz="4" w:space="0"/>
              <w:right w:val="single" w:color="auto" w:sz="4" w:space="0"/>
            </w:tcBorders>
            <w:vAlign w:val="center"/>
          </w:tcPr>
          <w:p w14:paraId="0F11F48D">
            <w:pPr>
              <w:adjustRightInd w:val="0"/>
              <w:snapToGrid w:val="0"/>
              <w:jc w:val="center"/>
              <w:rPr>
                <w:rFonts w:hint="eastAsia" w:ascii="宋体" w:hAnsi="宋体" w:cs="宋体"/>
                <w:szCs w:val="21"/>
              </w:rPr>
            </w:pPr>
            <w:r>
              <w:rPr>
                <w:rFonts w:hint="eastAsia" w:ascii="宋体" w:hAnsi="宋体" w:cs="宋体"/>
              </w:rPr>
              <w:t>技术部分（50）</w:t>
            </w:r>
          </w:p>
        </w:tc>
      </w:tr>
      <w:tr w14:paraId="7CFE6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631" w:type="dxa"/>
            <w:tcBorders>
              <w:top w:val="single" w:color="auto" w:sz="4" w:space="0"/>
              <w:left w:val="single" w:color="auto" w:sz="4" w:space="0"/>
              <w:right w:val="single" w:color="auto" w:sz="4" w:space="0"/>
            </w:tcBorders>
            <w:vAlign w:val="center"/>
          </w:tcPr>
          <w:p w14:paraId="215697F9">
            <w:pPr>
              <w:adjustRightInd w:val="0"/>
              <w:snapToGrid w:val="0"/>
              <w:jc w:val="center"/>
              <w:rPr>
                <w:rFonts w:hint="eastAsia" w:ascii="宋体" w:hAnsi="宋体" w:cs="宋体"/>
                <w:szCs w:val="21"/>
              </w:rPr>
            </w:pPr>
            <w:r>
              <w:rPr>
                <w:rFonts w:hint="eastAsia" w:ascii="宋体" w:hAnsi="宋体" w:cs="宋体"/>
                <w:szCs w:val="21"/>
              </w:rPr>
              <w:t>序号</w:t>
            </w:r>
          </w:p>
        </w:tc>
        <w:tc>
          <w:tcPr>
            <w:tcW w:w="2333" w:type="dxa"/>
            <w:tcBorders>
              <w:top w:val="single" w:color="auto" w:sz="4" w:space="0"/>
              <w:left w:val="single" w:color="auto" w:sz="4" w:space="0"/>
              <w:bottom w:val="single" w:color="auto" w:sz="4" w:space="0"/>
              <w:right w:val="single" w:color="auto" w:sz="4" w:space="0"/>
            </w:tcBorders>
            <w:vAlign w:val="center"/>
          </w:tcPr>
          <w:p w14:paraId="1210F15E">
            <w:pPr>
              <w:adjustRightInd w:val="0"/>
              <w:snapToGrid w:val="0"/>
              <w:jc w:val="center"/>
              <w:rPr>
                <w:rFonts w:hint="eastAsia" w:ascii="宋体" w:hAnsi="宋体" w:cs="宋体"/>
                <w:szCs w:val="21"/>
              </w:rPr>
            </w:pPr>
            <w:r>
              <w:rPr>
                <w:rFonts w:hint="eastAsia" w:ascii="宋体" w:hAnsi="宋体" w:cs="宋体"/>
                <w:szCs w:val="21"/>
              </w:rPr>
              <w:t>项目</w:t>
            </w:r>
          </w:p>
        </w:tc>
        <w:tc>
          <w:tcPr>
            <w:tcW w:w="5103" w:type="dxa"/>
            <w:tcBorders>
              <w:top w:val="single" w:color="auto" w:sz="4" w:space="0"/>
              <w:left w:val="single" w:color="auto" w:sz="4" w:space="0"/>
              <w:bottom w:val="single" w:color="auto" w:sz="4" w:space="0"/>
              <w:right w:val="single" w:color="auto" w:sz="4" w:space="0"/>
            </w:tcBorders>
            <w:vAlign w:val="center"/>
          </w:tcPr>
          <w:p w14:paraId="2F0868AF">
            <w:pPr>
              <w:adjustRightInd w:val="0"/>
              <w:snapToGrid w:val="0"/>
              <w:jc w:val="center"/>
              <w:rPr>
                <w:rFonts w:hint="eastAsia" w:ascii="宋体" w:hAnsi="宋体" w:cs="宋体"/>
                <w:szCs w:val="21"/>
              </w:rPr>
            </w:pPr>
            <w:r>
              <w:rPr>
                <w:rFonts w:hint="eastAsia" w:ascii="宋体" w:hAnsi="宋体" w:cs="宋体"/>
                <w:szCs w:val="21"/>
              </w:rPr>
              <w:t>评议标准</w:t>
            </w:r>
          </w:p>
        </w:tc>
        <w:tc>
          <w:tcPr>
            <w:tcW w:w="711" w:type="dxa"/>
            <w:tcBorders>
              <w:top w:val="single" w:color="auto" w:sz="4" w:space="0"/>
              <w:left w:val="single" w:color="auto" w:sz="4" w:space="0"/>
              <w:bottom w:val="single" w:color="auto" w:sz="4" w:space="0"/>
              <w:right w:val="single" w:color="auto" w:sz="4" w:space="0"/>
            </w:tcBorders>
            <w:vAlign w:val="center"/>
          </w:tcPr>
          <w:p w14:paraId="70A4CAA0">
            <w:pPr>
              <w:adjustRightInd w:val="0"/>
              <w:snapToGrid w:val="0"/>
              <w:jc w:val="center"/>
              <w:rPr>
                <w:rFonts w:hint="eastAsia" w:ascii="宋体" w:hAnsi="宋体" w:cs="宋体"/>
                <w:szCs w:val="21"/>
              </w:rPr>
            </w:pPr>
            <w:r>
              <w:rPr>
                <w:rFonts w:hint="eastAsia" w:ascii="宋体" w:hAnsi="宋体" w:cs="宋体"/>
                <w:szCs w:val="21"/>
              </w:rPr>
              <w:t>得分</w:t>
            </w:r>
          </w:p>
        </w:tc>
      </w:tr>
      <w:tr w14:paraId="2316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0" w:hRule="atLeast"/>
          <w:jc w:val="center"/>
        </w:trPr>
        <w:tc>
          <w:tcPr>
            <w:tcW w:w="631" w:type="dxa"/>
            <w:tcBorders>
              <w:left w:val="single" w:color="auto" w:sz="4" w:space="0"/>
              <w:right w:val="single" w:color="auto" w:sz="4" w:space="0"/>
            </w:tcBorders>
            <w:vAlign w:val="center"/>
          </w:tcPr>
          <w:p w14:paraId="45BB6DBE">
            <w:pPr>
              <w:adjustRightInd w:val="0"/>
              <w:snapToGrid w:val="0"/>
              <w:jc w:val="center"/>
              <w:rPr>
                <w:rFonts w:hint="eastAsia" w:ascii="宋体" w:hAnsi="宋体" w:cs="宋体"/>
                <w:szCs w:val="21"/>
              </w:rPr>
            </w:pPr>
            <w:r>
              <w:rPr>
                <w:rFonts w:hint="eastAsia" w:ascii="宋体" w:hAnsi="宋体" w:cs="宋体"/>
                <w:szCs w:val="21"/>
              </w:rPr>
              <w:t>1</w:t>
            </w:r>
          </w:p>
        </w:tc>
        <w:tc>
          <w:tcPr>
            <w:tcW w:w="2333" w:type="dxa"/>
            <w:tcBorders>
              <w:top w:val="single" w:color="auto" w:sz="4" w:space="0"/>
              <w:left w:val="single" w:color="auto" w:sz="4" w:space="0"/>
              <w:bottom w:val="single" w:color="auto" w:sz="4" w:space="0"/>
              <w:right w:val="single" w:color="auto" w:sz="4" w:space="0"/>
            </w:tcBorders>
            <w:vAlign w:val="center"/>
          </w:tcPr>
          <w:p w14:paraId="426DE711">
            <w:pPr>
              <w:rPr>
                <w:rFonts w:hint="eastAsia" w:ascii="宋体" w:hAnsi="宋体"/>
                <w:szCs w:val="21"/>
              </w:rPr>
            </w:pPr>
            <w:r>
              <w:rPr>
                <w:rFonts w:hint="eastAsia" w:ascii="宋体" w:hAnsi="宋体"/>
                <w:szCs w:val="21"/>
              </w:rPr>
              <w:t>施工方案与技术措施</w:t>
            </w:r>
          </w:p>
          <w:p w14:paraId="0D46573D">
            <w:pPr>
              <w:ind w:firstLine="630" w:firstLineChars="300"/>
              <w:rPr>
                <w:rFonts w:hint="eastAsia" w:ascii="宋体" w:hAnsi="宋体"/>
                <w:szCs w:val="21"/>
              </w:rPr>
            </w:pPr>
            <w:r>
              <w:rPr>
                <w:rFonts w:hint="eastAsia" w:ascii="宋体" w:hAnsi="宋体"/>
                <w:szCs w:val="21"/>
              </w:rPr>
              <w:t>（1</w:t>
            </w:r>
            <w:r>
              <w:rPr>
                <w:rFonts w:ascii="宋体" w:hAnsi="宋体"/>
                <w:szCs w:val="21"/>
              </w:rPr>
              <w:t>0</w:t>
            </w:r>
            <w:r>
              <w:rPr>
                <w:rFonts w:hint="eastAsia" w:ascii="宋体" w:hAnsi="宋体"/>
                <w:szCs w:val="21"/>
              </w:rPr>
              <w:t>分）</w:t>
            </w:r>
          </w:p>
        </w:tc>
        <w:tc>
          <w:tcPr>
            <w:tcW w:w="5103" w:type="dxa"/>
            <w:tcBorders>
              <w:top w:val="single" w:color="auto" w:sz="4" w:space="0"/>
              <w:left w:val="single" w:color="auto" w:sz="4" w:space="0"/>
              <w:bottom w:val="single" w:color="auto" w:sz="4" w:space="0"/>
              <w:right w:val="single" w:color="auto" w:sz="4" w:space="0"/>
            </w:tcBorders>
            <w:vAlign w:val="center"/>
          </w:tcPr>
          <w:p w14:paraId="5E8D6D64">
            <w:pPr>
              <w:adjustRightInd w:val="0"/>
              <w:snapToGrid w:val="0"/>
              <w:rPr>
                <w:rFonts w:hint="eastAsia" w:ascii="宋体" w:hAnsi="宋体" w:cs="宋体"/>
                <w:szCs w:val="21"/>
              </w:rPr>
            </w:pPr>
            <w:r>
              <w:rPr>
                <w:rFonts w:hint="eastAsia" w:ascii="宋体" w:hAnsi="宋体" w:cs="宋体"/>
                <w:szCs w:val="21"/>
              </w:rPr>
              <w:t>施工程序和施工顺序，施工起点流向，主要分部分项工程的施工方法，符合要求</w:t>
            </w:r>
            <w:r>
              <w:rPr>
                <w:rFonts w:ascii="宋体" w:hAnsi="宋体" w:cs="宋体"/>
                <w:szCs w:val="21"/>
              </w:rPr>
              <w:t>10</w:t>
            </w:r>
            <w:r>
              <w:rPr>
                <w:rFonts w:hint="eastAsia" w:ascii="宋体" w:hAnsi="宋体" w:cs="宋体"/>
                <w:szCs w:val="21"/>
              </w:rPr>
              <w:t>分；</w:t>
            </w:r>
          </w:p>
          <w:p w14:paraId="72AA71F0">
            <w:pPr>
              <w:adjustRightInd w:val="0"/>
              <w:snapToGrid w:val="0"/>
              <w:rPr>
                <w:rFonts w:hint="eastAsia" w:ascii="宋体" w:hAnsi="宋体" w:cs="宋体"/>
                <w:szCs w:val="21"/>
              </w:rPr>
            </w:pPr>
            <w:r>
              <w:rPr>
                <w:rFonts w:hint="eastAsia" w:ascii="宋体" w:hAnsi="宋体" w:cs="宋体"/>
                <w:szCs w:val="21"/>
              </w:rPr>
              <w:t>内容较完整、方案较好、措施欠合理</w:t>
            </w:r>
            <w:r>
              <w:rPr>
                <w:rFonts w:ascii="宋体" w:hAnsi="宋体" w:cs="宋体"/>
                <w:szCs w:val="21"/>
              </w:rPr>
              <w:t>7</w:t>
            </w:r>
            <w:r>
              <w:rPr>
                <w:rFonts w:hint="eastAsia" w:ascii="宋体" w:hAnsi="宋体" w:cs="宋体"/>
                <w:szCs w:val="21"/>
              </w:rPr>
              <w:t>分；</w:t>
            </w:r>
          </w:p>
          <w:p w14:paraId="0FE1F183">
            <w:pPr>
              <w:adjustRightInd w:val="0"/>
              <w:snapToGrid w:val="0"/>
              <w:rPr>
                <w:rFonts w:hint="eastAsia" w:ascii="宋体" w:hAnsi="宋体" w:cs="宋体"/>
                <w:szCs w:val="21"/>
              </w:rPr>
            </w:pPr>
            <w:r>
              <w:rPr>
                <w:rFonts w:hint="eastAsia" w:ascii="宋体" w:hAnsi="宋体" w:cs="宋体"/>
                <w:szCs w:val="21"/>
              </w:rPr>
              <w:t>内容基本完整、方案一般、措施基本合理</w:t>
            </w:r>
            <w:r>
              <w:rPr>
                <w:rFonts w:ascii="宋体" w:hAnsi="宋体" w:cs="宋体"/>
                <w:szCs w:val="21"/>
              </w:rPr>
              <w:t>4</w:t>
            </w:r>
            <w:r>
              <w:rPr>
                <w:rFonts w:hint="eastAsia" w:ascii="宋体" w:hAnsi="宋体" w:cs="宋体"/>
                <w:szCs w:val="21"/>
              </w:rPr>
              <w:t>分；</w:t>
            </w:r>
          </w:p>
          <w:p w14:paraId="69FAE2AA">
            <w:pPr>
              <w:adjustRightInd w:val="0"/>
              <w:snapToGrid w:val="0"/>
              <w:rPr>
                <w:rFonts w:hint="eastAsia" w:ascii="宋体" w:hAnsi="宋体" w:cs="宋体"/>
                <w:szCs w:val="21"/>
              </w:rPr>
            </w:pPr>
            <w:r>
              <w:rPr>
                <w:rFonts w:hint="eastAsia" w:ascii="宋体" w:hAnsi="宋体" w:cs="宋体"/>
                <w:szCs w:val="21"/>
              </w:rPr>
              <w:t>内容不完整、方案较差、措施不合理</w:t>
            </w:r>
            <w:r>
              <w:rPr>
                <w:rFonts w:ascii="宋体" w:hAnsi="宋体" w:cs="宋体"/>
                <w:szCs w:val="21"/>
              </w:rPr>
              <w:t>1</w:t>
            </w:r>
            <w:r>
              <w:rPr>
                <w:rFonts w:hint="eastAsia" w:ascii="宋体" w:hAnsi="宋体" w:cs="宋体"/>
                <w:szCs w:val="21"/>
              </w:rPr>
              <w:t>分；</w:t>
            </w:r>
          </w:p>
          <w:p w14:paraId="58D676D0">
            <w:pPr>
              <w:adjustRightInd w:val="0"/>
              <w:snapToGrid w:val="0"/>
              <w:rPr>
                <w:rFonts w:hint="eastAsia" w:ascii="宋体" w:hAnsi="宋体" w:cs="宋体"/>
                <w:szCs w:val="21"/>
              </w:rPr>
            </w:pPr>
            <w:r>
              <w:rPr>
                <w:rFonts w:hint="eastAsia" w:ascii="宋体" w:hAnsi="宋体" w:cs="宋体"/>
                <w:szCs w:val="21"/>
              </w:rPr>
              <w:t>未提供</w:t>
            </w:r>
            <w:r>
              <w:rPr>
                <w:rFonts w:ascii="宋体" w:hAnsi="宋体" w:cs="宋体"/>
                <w:szCs w:val="21"/>
              </w:rPr>
              <w:t>得</w:t>
            </w:r>
            <w:r>
              <w:rPr>
                <w:rFonts w:hint="eastAsia" w:ascii="宋体" w:hAnsi="宋体" w:cs="宋体"/>
                <w:szCs w:val="21"/>
              </w:rPr>
              <w:t>0分。</w:t>
            </w:r>
          </w:p>
        </w:tc>
        <w:tc>
          <w:tcPr>
            <w:tcW w:w="711" w:type="dxa"/>
            <w:tcBorders>
              <w:top w:val="single" w:color="auto" w:sz="4" w:space="0"/>
              <w:left w:val="single" w:color="auto" w:sz="4" w:space="0"/>
              <w:bottom w:val="single" w:color="auto" w:sz="4" w:space="0"/>
              <w:right w:val="single" w:color="auto" w:sz="4" w:space="0"/>
            </w:tcBorders>
            <w:vAlign w:val="center"/>
          </w:tcPr>
          <w:p w14:paraId="3698E859">
            <w:pPr>
              <w:adjustRightInd w:val="0"/>
              <w:snapToGrid w:val="0"/>
              <w:jc w:val="center"/>
              <w:rPr>
                <w:rFonts w:hint="eastAsia" w:ascii="宋体" w:hAnsi="宋体" w:cs="宋体"/>
                <w:szCs w:val="21"/>
              </w:rPr>
            </w:pPr>
            <w:r>
              <w:rPr>
                <w:rFonts w:hint="eastAsia" w:ascii="宋体" w:hAnsi="宋体" w:cs="宋体"/>
                <w:szCs w:val="21"/>
              </w:rPr>
              <w:t>1</w:t>
            </w:r>
            <w:r>
              <w:rPr>
                <w:rFonts w:ascii="宋体" w:hAnsi="宋体" w:cs="宋体"/>
                <w:szCs w:val="21"/>
              </w:rPr>
              <w:t>0</w:t>
            </w:r>
          </w:p>
        </w:tc>
      </w:tr>
      <w:tr w14:paraId="1E9CF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4" w:hRule="atLeast"/>
          <w:jc w:val="center"/>
        </w:trPr>
        <w:tc>
          <w:tcPr>
            <w:tcW w:w="631" w:type="dxa"/>
            <w:tcBorders>
              <w:left w:val="single" w:color="auto" w:sz="4" w:space="0"/>
              <w:right w:val="single" w:color="auto" w:sz="4" w:space="0"/>
            </w:tcBorders>
            <w:vAlign w:val="center"/>
          </w:tcPr>
          <w:p w14:paraId="2EC27088">
            <w:pPr>
              <w:adjustRightInd w:val="0"/>
              <w:snapToGrid w:val="0"/>
              <w:jc w:val="center"/>
              <w:rPr>
                <w:rFonts w:hint="eastAsia" w:ascii="宋体" w:hAnsi="宋体" w:cs="宋体"/>
                <w:szCs w:val="21"/>
              </w:rPr>
            </w:pPr>
            <w:r>
              <w:rPr>
                <w:rFonts w:hint="eastAsia" w:ascii="宋体" w:hAnsi="宋体" w:cs="宋体"/>
                <w:szCs w:val="21"/>
              </w:rPr>
              <w:t>2</w:t>
            </w:r>
          </w:p>
        </w:tc>
        <w:tc>
          <w:tcPr>
            <w:tcW w:w="2333" w:type="dxa"/>
            <w:tcBorders>
              <w:top w:val="single" w:color="auto" w:sz="4" w:space="0"/>
              <w:left w:val="single" w:color="auto" w:sz="4" w:space="0"/>
              <w:bottom w:val="single" w:color="auto" w:sz="4" w:space="0"/>
              <w:right w:val="single" w:color="auto" w:sz="4" w:space="0"/>
            </w:tcBorders>
            <w:vAlign w:val="center"/>
          </w:tcPr>
          <w:p w14:paraId="7463D1FE">
            <w:pPr>
              <w:jc w:val="center"/>
              <w:rPr>
                <w:rFonts w:hint="eastAsia" w:ascii="宋体" w:hAnsi="宋体"/>
                <w:szCs w:val="21"/>
              </w:rPr>
            </w:pPr>
            <w:r>
              <w:rPr>
                <w:rFonts w:hint="eastAsia" w:ascii="宋体" w:hAnsi="宋体"/>
                <w:szCs w:val="21"/>
              </w:rPr>
              <w:t>质量目标、质量管理体系与保证措施</w:t>
            </w:r>
          </w:p>
          <w:p w14:paraId="347BED24">
            <w:pPr>
              <w:ind w:firstLine="630" w:firstLineChars="300"/>
              <w:rPr>
                <w:rFonts w:hint="eastAsia" w:ascii="宋体" w:hAnsi="宋体"/>
                <w:szCs w:val="21"/>
              </w:rPr>
            </w:pPr>
            <w:r>
              <w:rPr>
                <w:rFonts w:hint="eastAsia" w:ascii="宋体" w:hAnsi="宋体"/>
                <w:szCs w:val="21"/>
              </w:rPr>
              <w:t>（10分）</w:t>
            </w:r>
          </w:p>
        </w:tc>
        <w:tc>
          <w:tcPr>
            <w:tcW w:w="5103" w:type="dxa"/>
            <w:tcBorders>
              <w:top w:val="single" w:color="auto" w:sz="4" w:space="0"/>
              <w:left w:val="single" w:color="auto" w:sz="4" w:space="0"/>
              <w:bottom w:val="single" w:color="auto" w:sz="4" w:space="0"/>
              <w:right w:val="single" w:color="auto" w:sz="4" w:space="0"/>
            </w:tcBorders>
            <w:vAlign w:val="center"/>
          </w:tcPr>
          <w:p w14:paraId="11455F43">
            <w:pPr>
              <w:adjustRightInd w:val="0"/>
              <w:snapToGrid w:val="0"/>
              <w:rPr>
                <w:rFonts w:hint="eastAsia" w:ascii="宋体" w:hAnsi="宋体" w:cs="宋体"/>
                <w:szCs w:val="21"/>
              </w:rPr>
            </w:pPr>
            <w:r>
              <w:rPr>
                <w:rFonts w:hint="eastAsia" w:ascii="宋体" w:hAnsi="宋体" w:cs="宋体"/>
                <w:szCs w:val="21"/>
              </w:rPr>
              <w:t>包括质量责任制度，检验检测制度，教育培训，质量保修措施，内容完整、制度完善得</w:t>
            </w:r>
            <w:r>
              <w:rPr>
                <w:rFonts w:ascii="宋体" w:hAnsi="宋体" w:cs="宋体"/>
                <w:szCs w:val="21"/>
              </w:rPr>
              <w:t>10</w:t>
            </w:r>
            <w:r>
              <w:rPr>
                <w:rFonts w:hint="eastAsia" w:ascii="宋体" w:hAnsi="宋体" w:cs="宋体"/>
                <w:szCs w:val="21"/>
              </w:rPr>
              <w:t>分；</w:t>
            </w:r>
          </w:p>
          <w:p w14:paraId="2D64575F">
            <w:pPr>
              <w:adjustRightInd w:val="0"/>
              <w:snapToGrid w:val="0"/>
              <w:rPr>
                <w:rFonts w:hint="eastAsia" w:ascii="宋体" w:hAnsi="宋体" w:cs="宋体"/>
                <w:szCs w:val="21"/>
              </w:rPr>
            </w:pPr>
            <w:r>
              <w:rPr>
                <w:rFonts w:hint="eastAsia" w:ascii="宋体" w:hAnsi="宋体" w:cs="宋体"/>
                <w:szCs w:val="21"/>
              </w:rPr>
              <w:t>内容较完整、制度较完善</w:t>
            </w:r>
            <w:r>
              <w:rPr>
                <w:rFonts w:ascii="宋体" w:hAnsi="宋体" w:cs="宋体"/>
                <w:szCs w:val="21"/>
              </w:rPr>
              <w:t>7</w:t>
            </w:r>
            <w:r>
              <w:rPr>
                <w:rFonts w:hint="eastAsia" w:ascii="宋体" w:hAnsi="宋体" w:cs="宋体"/>
                <w:szCs w:val="21"/>
              </w:rPr>
              <w:t>分；</w:t>
            </w:r>
          </w:p>
          <w:p w14:paraId="7D789CAB">
            <w:pPr>
              <w:adjustRightInd w:val="0"/>
              <w:snapToGrid w:val="0"/>
              <w:rPr>
                <w:rFonts w:hint="eastAsia" w:ascii="宋体" w:hAnsi="宋体" w:cs="宋体"/>
                <w:szCs w:val="21"/>
              </w:rPr>
            </w:pPr>
            <w:r>
              <w:rPr>
                <w:rFonts w:hint="eastAsia" w:ascii="宋体" w:hAnsi="宋体" w:cs="宋体"/>
                <w:szCs w:val="21"/>
              </w:rPr>
              <w:t>内容基本完整、制度基本完善4分</w:t>
            </w:r>
          </w:p>
          <w:p w14:paraId="171F3F10">
            <w:pPr>
              <w:adjustRightInd w:val="0"/>
              <w:snapToGrid w:val="0"/>
              <w:rPr>
                <w:rFonts w:hint="eastAsia" w:ascii="宋体" w:hAnsi="宋体" w:cs="宋体"/>
                <w:szCs w:val="21"/>
              </w:rPr>
            </w:pPr>
            <w:r>
              <w:rPr>
                <w:rFonts w:hint="eastAsia" w:ascii="宋体" w:hAnsi="宋体" w:cs="宋体"/>
                <w:szCs w:val="21"/>
              </w:rPr>
              <w:t>内容不完整、制度欠缺</w:t>
            </w:r>
            <w:r>
              <w:rPr>
                <w:rFonts w:ascii="宋体" w:hAnsi="宋体" w:cs="宋体"/>
                <w:szCs w:val="21"/>
              </w:rPr>
              <w:t>1</w:t>
            </w:r>
            <w:r>
              <w:rPr>
                <w:rFonts w:hint="eastAsia" w:ascii="宋体" w:hAnsi="宋体" w:cs="宋体"/>
                <w:szCs w:val="21"/>
              </w:rPr>
              <w:t>分；</w:t>
            </w:r>
          </w:p>
          <w:p w14:paraId="24C314DE">
            <w:pPr>
              <w:adjustRightInd w:val="0"/>
              <w:snapToGrid w:val="0"/>
              <w:rPr>
                <w:rFonts w:hint="eastAsia" w:ascii="宋体" w:hAnsi="宋体" w:cs="宋体"/>
                <w:szCs w:val="21"/>
              </w:rPr>
            </w:pPr>
            <w:r>
              <w:rPr>
                <w:rFonts w:hint="eastAsia" w:ascii="宋体" w:hAnsi="宋体" w:cs="宋体"/>
                <w:szCs w:val="21"/>
              </w:rPr>
              <w:t>未提供</w:t>
            </w:r>
            <w:r>
              <w:rPr>
                <w:rFonts w:ascii="宋体" w:hAnsi="宋体" w:cs="宋体"/>
                <w:szCs w:val="21"/>
              </w:rPr>
              <w:t>得</w:t>
            </w:r>
            <w:r>
              <w:rPr>
                <w:rFonts w:hint="eastAsia" w:ascii="宋体" w:hAnsi="宋体" w:cs="宋体"/>
                <w:szCs w:val="21"/>
              </w:rPr>
              <w:t>0分。</w:t>
            </w:r>
          </w:p>
        </w:tc>
        <w:tc>
          <w:tcPr>
            <w:tcW w:w="711" w:type="dxa"/>
            <w:tcBorders>
              <w:top w:val="single" w:color="auto" w:sz="4" w:space="0"/>
              <w:left w:val="single" w:color="auto" w:sz="4" w:space="0"/>
              <w:bottom w:val="single" w:color="auto" w:sz="4" w:space="0"/>
              <w:right w:val="single" w:color="auto" w:sz="4" w:space="0"/>
            </w:tcBorders>
            <w:vAlign w:val="center"/>
          </w:tcPr>
          <w:p w14:paraId="6B044A22">
            <w:pPr>
              <w:adjustRightInd w:val="0"/>
              <w:snapToGrid w:val="0"/>
              <w:jc w:val="center"/>
              <w:rPr>
                <w:rFonts w:hint="eastAsia" w:ascii="宋体" w:hAnsi="宋体" w:cs="宋体"/>
                <w:szCs w:val="21"/>
              </w:rPr>
            </w:pPr>
            <w:r>
              <w:rPr>
                <w:rFonts w:hint="eastAsia" w:ascii="宋体" w:hAnsi="宋体" w:cs="宋体"/>
                <w:szCs w:val="21"/>
              </w:rPr>
              <w:t>10</w:t>
            </w:r>
          </w:p>
        </w:tc>
      </w:tr>
      <w:tr w14:paraId="4862C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5" w:hRule="atLeast"/>
          <w:jc w:val="center"/>
        </w:trPr>
        <w:tc>
          <w:tcPr>
            <w:tcW w:w="631" w:type="dxa"/>
            <w:tcBorders>
              <w:left w:val="single" w:color="auto" w:sz="4" w:space="0"/>
              <w:right w:val="single" w:color="auto" w:sz="4" w:space="0"/>
            </w:tcBorders>
            <w:vAlign w:val="center"/>
          </w:tcPr>
          <w:p w14:paraId="05DABBA2">
            <w:pPr>
              <w:adjustRightInd w:val="0"/>
              <w:snapToGrid w:val="0"/>
              <w:jc w:val="center"/>
              <w:rPr>
                <w:rFonts w:hint="eastAsia" w:ascii="宋体" w:hAnsi="宋体" w:cs="宋体"/>
                <w:szCs w:val="21"/>
              </w:rPr>
            </w:pPr>
            <w:r>
              <w:rPr>
                <w:rFonts w:hint="eastAsia" w:ascii="宋体" w:hAnsi="宋体" w:cs="宋体"/>
                <w:szCs w:val="21"/>
              </w:rPr>
              <w:t>3</w:t>
            </w:r>
          </w:p>
        </w:tc>
        <w:tc>
          <w:tcPr>
            <w:tcW w:w="2333" w:type="dxa"/>
            <w:tcBorders>
              <w:top w:val="single" w:color="auto" w:sz="4" w:space="0"/>
              <w:left w:val="single" w:color="auto" w:sz="4" w:space="0"/>
              <w:bottom w:val="single" w:color="auto" w:sz="4" w:space="0"/>
              <w:right w:val="single" w:color="auto" w:sz="4" w:space="0"/>
            </w:tcBorders>
            <w:vAlign w:val="center"/>
          </w:tcPr>
          <w:p w14:paraId="335CDE04">
            <w:pPr>
              <w:jc w:val="center"/>
              <w:rPr>
                <w:rFonts w:hint="eastAsia" w:ascii="宋体" w:hAnsi="宋体"/>
                <w:szCs w:val="21"/>
              </w:rPr>
            </w:pPr>
            <w:r>
              <w:rPr>
                <w:rFonts w:hint="eastAsia" w:ascii="宋体" w:hAnsi="宋体"/>
                <w:szCs w:val="21"/>
              </w:rPr>
              <w:t>安全管理体系与措施</w:t>
            </w:r>
          </w:p>
          <w:p w14:paraId="0CBE00B8">
            <w:pPr>
              <w:jc w:val="center"/>
              <w:rPr>
                <w:rFonts w:hint="eastAsia" w:ascii="宋体" w:hAnsi="宋体"/>
                <w:szCs w:val="21"/>
              </w:rPr>
            </w:pPr>
            <w:r>
              <w:rPr>
                <w:rFonts w:hint="eastAsia" w:ascii="宋体" w:hAnsi="宋体"/>
                <w:szCs w:val="21"/>
              </w:rPr>
              <w:t>（6）</w:t>
            </w:r>
          </w:p>
        </w:tc>
        <w:tc>
          <w:tcPr>
            <w:tcW w:w="5103" w:type="dxa"/>
            <w:tcBorders>
              <w:top w:val="single" w:color="auto" w:sz="4" w:space="0"/>
              <w:left w:val="single" w:color="auto" w:sz="4" w:space="0"/>
              <w:bottom w:val="single" w:color="auto" w:sz="4" w:space="0"/>
              <w:right w:val="single" w:color="auto" w:sz="4" w:space="0"/>
            </w:tcBorders>
            <w:vAlign w:val="center"/>
          </w:tcPr>
          <w:p w14:paraId="702E4E56">
            <w:pPr>
              <w:adjustRightInd w:val="0"/>
              <w:snapToGrid w:val="0"/>
              <w:rPr>
                <w:rFonts w:hint="eastAsia" w:ascii="宋体" w:hAnsi="宋体" w:cs="宋体"/>
                <w:szCs w:val="21"/>
              </w:rPr>
            </w:pPr>
            <w:r>
              <w:rPr>
                <w:rFonts w:hint="eastAsia" w:ascii="宋体" w:hAnsi="宋体" w:cs="宋体"/>
                <w:szCs w:val="21"/>
              </w:rPr>
              <w:t>安全生产责任制度和安全教育培训制度，安全生产规章制度和操作规程，安全生产管理机构及专职安全管理人员配备：</w:t>
            </w:r>
          </w:p>
          <w:p w14:paraId="3B801BA0">
            <w:pPr>
              <w:adjustRightInd w:val="0"/>
              <w:snapToGrid w:val="0"/>
              <w:rPr>
                <w:rFonts w:hint="eastAsia" w:ascii="宋体" w:hAnsi="宋体" w:cs="宋体"/>
                <w:szCs w:val="21"/>
              </w:rPr>
            </w:pPr>
            <w:r>
              <w:rPr>
                <w:rFonts w:hint="eastAsia" w:ascii="宋体" w:hAnsi="宋体" w:cs="宋体"/>
                <w:szCs w:val="21"/>
              </w:rPr>
              <w:t>制度健全、规程完善、机构及人员配备齐全得6；</w:t>
            </w:r>
          </w:p>
          <w:p w14:paraId="3CB08FA2">
            <w:pPr>
              <w:adjustRightInd w:val="0"/>
              <w:snapToGrid w:val="0"/>
              <w:rPr>
                <w:rFonts w:hint="eastAsia" w:ascii="宋体" w:hAnsi="宋体" w:cs="宋体"/>
                <w:szCs w:val="21"/>
              </w:rPr>
            </w:pPr>
            <w:r>
              <w:rPr>
                <w:rFonts w:hint="eastAsia" w:ascii="宋体" w:hAnsi="宋体" w:cs="宋体"/>
                <w:szCs w:val="21"/>
              </w:rPr>
              <w:t>制度规程较完善、机构及人员配备较齐全得4；</w:t>
            </w:r>
          </w:p>
          <w:p w14:paraId="5C8310C4">
            <w:pPr>
              <w:adjustRightInd w:val="0"/>
              <w:snapToGrid w:val="0"/>
              <w:rPr>
                <w:rFonts w:hint="eastAsia" w:ascii="宋体" w:hAnsi="宋体" w:cs="宋体"/>
                <w:szCs w:val="21"/>
              </w:rPr>
            </w:pPr>
            <w:r>
              <w:rPr>
                <w:rFonts w:hint="eastAsia" w:ascii="宋体" w:hAnsi="宋体" w:cs="宋体"/>
                <w:szCs w:val="21"/>
              </w:rPr>
              <w:t>制度规程基本完善、机构及人员配备基本齐全得2；</w:t>
            </w:r>
          </w:p>
          <w:p w14:paraId="2B272405">
            <w:pPr>
              <w:adjustRightInd w:val="0"/>
              <w:snapToGrid w:val="0"/>
              <w:rPr>
                <w:rFonts w:hint="eastAsia" w:ascii="宋体" w:hAnsi="宋体" w:cs="宋体"/>
                <w:szCs w:val="21"/>
              </w:rPr>
            </w:pPr>
            <w:r>
              <w:rPr>
                <w:rFonts w:hint="eastAsia" w:ascii="宋体" w:hAnsi="宋体" w:cs="宋体"/>
                <w:szCs w:val="21"/>
              </w:rPr>
              <w:t>制度规程不完善、机构及人员配备不齐全得</w:t>
            </w:r>
            <w:r>
              <w:rPr>
                <w:rFonts w:ascii="宋体" w:hAnsi="宋体" w:cs="宋体"/>
                <w:szCs w:val="21"/>
              </w:rPr>
              <w:t>1</w:t>
            </w:r>
            <w:r>
              <w:rPr>
                <w:rFonts w:hint="eastAsia" w:ascii="宋体" w:hAnsi="宋体" w:cs="宋体"/>
                <w:szCs w:val="21"/>
              </w:rPr>
              <w:t>分；</w:t>
            </w:r>
          </w:p>
          <w:p w14:paraId="179D8E1D">
            <w:pPr>
              <w:adjustRightInd w:val="0"/>
              <w:snapToGrid w:val="0"/>
              <w:rPr>
                <w:rFonts w:hint="eastAsia" w:ascii="宋体" w:hAnsi="宋体" w:cs="宋体"/>
                <w:szCs w:val="21"/>
              </w:rPr>
            </w:pPr>
            <w:r>
              <w:rPr>
                <w:rFonts w:hint="eastAsia" w:ascii="宋体" w:hAnsi="宋体" w:cs="宋体"/>
                <w:szCs w:val="21"/>
              </w:rPr>
              <w:t>未提供</w:t>
            </w:r>
            <w:r>
              <w:rPr>
                <w:rFonts w:ascii="宋体" w:hAnsi="宋体" w:cs="宋体"/>
                <w:szCs w:val="21"/>
              </w:rPr>
              <w:t>得</w:t>
            </w:r>
            <w:r>
              <w:rPr>
                <w:rFonts w:hint="eastAsia" w:ascii="宋体" w:hAnsi="宋体" w:cs="宋体"/>
                <w:szCs w:val="21"/>
              </w:rPr>
              <w:t>0分。</w:t>
            </w:r>
          </w:p>
        </w:tc>
        <w:tc>
          <w:tcPr>
            <w:tcW w:w="711" w:type="dxa"/>
            <w:tcBorders>
              <w:top w:val="single" w:color="auto" w:sz="4" w:space="0"/>
              <w:left w:val="single" w:color="auto" w:sz="4" w:space="0"/>
              <w:bottom w:val="single" w:color="auto" w:sz="4" w:space="0"/>
              <w:right w:val="single" w:color="auto" w:sz="4" w:space="0"/>
            </w:tcBorders>
            <w:vAlign w:val="center"/>
          </w:tcPr>
          <w:p w14:paraId="1261AE27">
            <w:pPr>
              <w:adjustRightInd w:val="0"/>
              <w:snapToGrid w:val="0"/>
              <w:jc w:val="center"/>
              <w:rPr>
                <w:rFonts w:hint="eastAsia" w:ascii="宋体" w:hAnsi="宋体" w:cs="宋体"/>
                <w:szCs w:val="21"/>
              </w:rPr>
            </w:pPr>
            <w:r>
              <w:rPr>
                <w:rFonts w:hint="eastAsia" w:ascii="宋体" w:hAnsi="宋体" w:cs="宋体"/>
                <w:szCs w:val="21"/>
              </w:rPr>
              <w:t>6</w:t>
            </w:r>
          </w:p>
        </w:tc>
      </w:tr>
      <w:tr w14:paraId="57128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1" w:hRule="atLeast"/>
          <w:jc w:val="center"/>
        </w:trPr>
        <w:tc>
          <w:tcPr>
            <w:tcW w:w="631" w:type="dxa"/>
            <w:tcBorders>
              <w:left w:val="single" w:color="auto" w:sz="4" w:space="0"/>
              <w:right w:val="single" w:color="auto" w:sz="4" w:space="0"/>
            </w:tcBorders>
            <w:vAlign w:val="center"/>
          </w:tcPr>
          <w:p w14:paraId="10E4FA85">
            <w:pPr>
              <w:adjustRightInd w:val="0"/>
              <w:snapToGrid w:val="0"/>
              <w:jc w:val="center"/>
              <w:rPr>
                <w:rFonts w:hint="eastAsia" w:ascii="宋体" w:hAnsi="宋体" w:cs="宋体"/>
                <w:szCs w:val="21"/>
              </w:rPr>
            </w:pPr>
            <w:r>
              <w:rPr>
                <w:rFonts w:hint="eastAsia" w:ascii="宋体" w:hAnsi="宋体" w:cs="宋体"/>
                <w:szCs w:val="21"/>
              </w:rPr>
              <w:t>4</w:t>
            </w:r>
          </w:p>
        </w:tc>
        <w:tc>
          <w:tcPr>
            <w:tcW w:w="2333" w:type="dxa"/>
            <w:tcBorders>
              <w:top w:val="single" w:color="auto" w:sz="4" w:space="0"/>
              <w:left w:val="single" w:color="auto" w:sz="4" w:space="0"/>
              <w:bottom w:val="single" w:color="auto" w:sz="4" w:space="0"/>
              <w:right w:val="single" w:color="auto" w:sz="4" w:space="0"/>
            </w:tcBorders>
            <w:vAlign w:val="center"/>
          </w:tcPr>
          <w:p w14:paraId="3B6B7E82">
            <w:pPr>
              <w:jc w:val="center"/>
              <w:rPr>
                <w:rFonts w:hint="eastAsia" w:ascii="宋体" w:hAnsi="宋体"/>
                <w:szCs w:val="21"/>
              </w:rPr>
            </w:pPr>
            <w:r>
              <w:rPr>
                <w:rFonts w:hint="eastAsia" w:ascii="宋体" w:hAnsi="宋体"/>
                <w:szCs w:val="21"/>
              </w:rPr>
              <w:t>环境保护、文明施工管理体系与措施</w:t>
            </w:r>
          </w:p>
          <w:p w14:paraId="25E111ED">
            <w:pPr>
              <w:jc w:val="center"/>
              <w:rPr>
                <w:rFonts w:hint="eastAsia" w:ascii="宋体" w:hAnsi="宋体"/>
                <w:szCs w:val="21"/>
              </w:rPr>
            </w:pPr>
            <w:r>
              <w:rPr>
                <w:rFonts w:hint="eastAsia" w:ascii="宋体" w:hAnsi="宋体"/>
                <w:szCs w:val="21"/>
              </w:rPr>
              <w:t>（</w:t>
            </w:r>
            <w:r>
              <w:rPr>
                <w:rFonts w:ascii="宋体" w:hAnsi="宋体"/>
                <w:szCs w:val="21"/>
              </w:rPr>
              <w:t>10</w:t>
            </w:r>
            <w:r>
              <w:rPr>
                <w:rFonts w:hint="eastAsia" w:ascii="宋体" w:hAnsi="宋体"/>
                <w:szCs w:val="21"/>
              </w:rPr>
              <w:t>分）</w:t>
            </w:r>
          </w:p>
        </w:tc>
        <w:tc>
          <w:tcPr>
            <w:tcW w:w="5103" w:type="dxa"/>
            <w:tcBorders>
              <w:top w:val="single" w:color="auto" w:sz="4" w:space="0"/>
              <w:left w:val="single" w:color="auto" w:sz="4" w:space="0"/>
              <w:bottom w:val="single" w:color="auto" w:sz="4" w:space="0"/>
              <w:right w:val="single" w:color="auto" w:sz="4" w:space="0"/>
            </w:tcBorders>
            <w:vAlign w:val="center"/>
          </w:tcPr>
          <w:p w14:paraId="46797CA0">
            <w:pPr>
              <w:adjustRightInd w:val="0"/>
              <w:snapToGrid w:val="0"/>
              <w:rPr>
                <w:rFonts w:hint="eastAsia" w:ascii="宋体" w:hAnsi="宋体" w:cs="宋体"/>
                <w:szCs w:val="21"/>
              </w:rPr>
            </w:pPr>
            <w:r>
              <w:rPr>
                <w:rFonts w:hint="eastAsia" w:ascii="宋体" w:hAnsi="宋体" w:cs="宋体"/>
                <w:szCs w:val="21"/>
              </w:rPr>
              <w:t>内容完整，措施到位，机制健全得</w:t>
            </w:r>
            <w:r>
              <w:rPr>
                <w:rFonts w:ascii="宋体" w:hAnsi="宋体" w:cs="宋体"/>
                <w:szCs w:val="21"/>
              </w:rPr>
              <w:t>10</w:t>
            </w:r>
            <w:r>
              <w:rPr>
                <w:rFonts w:hint="eastAsia" w:ascii="宋体" w:hAnsi="宋体" w:cs="宋体"/>
                <w:szCs w:val="21"/>
              </w:rPr>
              <w:t>分；</w:t>
            </w:r>
          </w:p>
          <w:p w14:paraId="3DAEE390">
            <w:pPr>
              <w:adjustRightInd w:val="0"/>
              <w:snapToGrid w:val="0"/>
              <w:rPr>
                <w:rFonts w:hint="eastAsia" w:ascii="宋体" w:hAnsi="宋体" w:cs="宋体"/>
                <w:szCs w:val="21"/>
              </w:rPr>
            </w:pPr>
            <w:r>
              <w:rPr>
                <w:rFonts w:hint="eastAsia" w:ascii="宋体" w:hAnsi="宋体" w:cs="宋体"/>
                <w:szCs w:val="21"/>
              </w:rPr>
              <w:t>内容比较完整、制度比较完善得</w:t>
            </w:r>
            <w:r>
              <w:rPr>
                <w:rFonts w:ascii="宋体" w:hAnsi="宋体" w:cs="宋体"/>
                <w:szCs w:val="21"/>
              </w:rPr>
              <w:t>7</w:t>
            </w:r>
            <w:r>
              <w:rPr>
                <w:rFonts w:hint="eastAsia" w:ascii="宋体" w:hAnsi="宋体" w:cs="宋体"/>
                <w:szCs w:val="21"/>
              </w:rPr>
              <w:t>分；</w:t>
            </w:r>
          </w:p>
          <w:p w14:paraId="795CD231">
            <w:pPr>
              <w:adjustRightInd w:val="0"/>
              <w:snapToGrid w:val="0"/>
              <w:rPr>
                <w:rFonts w:hint="eastAsia" w:ascii="宋体" w:hAnsi="宋体" w:cs="宋体"/>
                <w:szCs w:val="21"/>
              </w:rPr>
            </w:pPr>
            <w:r>
              <w:rPr>
                <w:rFonts w:hint="eastAsia" w:ascii="宋体" w:hAnsi="宋体" w:cs="宋体"/>
                <w:szCs w:val="21"/>
              </w:rPr>
              <w:t>内容基本完整、制度基本完善得</w:t>
            </w:r>
            <w:r>
              <w:rPr>
                <w:rFonts w:ascii="宋体" w:hAnsi="宋体" w:cs="宋体"/>
                <w:szCs w:val="21"/>
              </w:rPr>
              <w:t>4</w:t>
            </w:r>
            <w:r>
              <w:rPr>
                <w:rFonts w:hint="eastAsia" w:ascii="宋体" w:hAnsi="宋体" w:cs="宋体"/>
                <w:szCs w:val="21"/>
              </w:rPr>
              <w:t>分；</w:t>
            </w:r>
          </w:p>
          <w:p w14:paraId="78F89B8E">
            <w:pPr>
              <w:adjustRightInd w:val="0"/>
              <w:snapToGrid w:val="0"/>
              <w:rPr>
                <w:rFonts w:hint="eastAsia" w:ascii="宋体" w:hAnsi="宋体" w:cs="宋体"/>
                <w:szCs w:val="21"/>
              </w:rPr>
            </w:pPr>
            <w:r>
              <w:rPr>
                <w:rFonts w:hint="eastAsia" w:ascii="宋体" w:hAnsi="宋体" w:cs="宋体"/>
                <w:szCs w:val="21"/>
              </w:rPr>
              <w:t>内容不完整、制度不够完善得</w:t>
            </w:r>
            <w:r>
              <w:rPr>
                <w:rFonts w:ascii="宋体" w:hAnsi="宋体" w:cs="宋体"/>
                <w:szCs w:val="21"/>
              </w:rPr>
              <w:t>1</w:t>
            </w:r>
            <w:r>
              <w:rPr>
                <w:rFonts w:hint="eastAsia" w:ascii="宋体" w:hAnsi="宋体" w:cs="宋体"/>
                <w:szCs w:val="21"/>
              </w:rPr>
              <w:t>分；</w:t>
            </w:r>
          </w:p>
          <w:p w14:paraId="74749D3B">
            <w:pPr>
              <w:adjustRightInd w:val="0"/>
              <w:snapToGrid w:val="0"/>
              <w:rPr>
                <w:rFonts w:hint="eastAsia" w:ascii="宋体" w:hAnsi="宋体" w:cs="宋体"/>
                <w:szCs w:val="21"/>
              </w:rPr>
            </w:pPr>
            <w:r>
              <w:rPr>
                <w:rFonts w:hint="eastAsia" w:ascii="宋体" w:hAnsi="宋体" w:cs="宋体"/>
                <w:szCs w:val="21"/>
              </w:rPr>
              <w:t>未提供</w:t>
            </w:r>
            <w:r>
              <w:rPr>
                <w:rFonts w:ascii="宋体" w:hAnsi="宋体" w:cs="宋体"/>
                <w:szCs w:val="21"/>
              </w:rPr>
              <w:t>得</w:t>
            </w:r>
            <w:r>
              <w:rPr>
                <w:rFonts w:hint="eastAsia" w:ascii="宋体" w:hAnsi="宋体" w:cs="宋体"/>
                <w:szCs w:val="21"/>
              </w:rPr>
              <w:t>0分。</w:t>
            </w:r>
          </w:p>
        </w:tc>
        <w:tc>
          <w:tcPr>
            <w:tcW w:w="711" w:type="dxa"/>
            <w:tcBorders>
              <w:top w:val="single" w:color="auto" w:sz="4" w:space="0"/>
              <w:left w:val="single" w:color="auto" w:sz="4" w:space="0"/>
              <w:bottom w:val="single" w:color="auto" w:sz="4" w:space="0"/>
              <w:right w:val="single" w:color="auto" w:sz="4" w:space="0"/>
            </w:tcBorders>
            <w:vAlign w:val="center"/>
          </w:tcPr>
          <w:p w14:paraId="38C0CA02">
            <w:pPr>
              <w:adjustRightInd w:val="0"/>
              <w:snapToGrid w:val="0"/>
              <w:jc w:val="center"/>
              <w:rPr>
                <w:rFonts w:hint="eastAsia" w:ascii="宋体" w:hAnsi="宋体" w:cs="宋体"/>
                <w:szCs w:val="21"/>
              </w:rPr>
            </w:pPr>
            <w:r>
              <w:rPr>
                <w:rFonts w:ascii="宋体" w:hAnsi="宋体" w:cs="宋体"/>
                <w:szCs w:val="21"/>
              </w:rPr>
              <w:t>10</w:t>
            </w:r>
          </w:p>
        </w:tc>
      </w:tr>
      <w:tr w14:paraId="41AFC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jc w:val="center"/>
        </w:trPr>
        <w:tc>
          <w:tcPr>
            <w:tcW w:w="631" w:type="dxa"/>
            <w:tcBorders>
              <w:left w:val="single" w:color="auto" w:sz="4" w:space="0"/>
              <w:right w:val="single" w:color="auto" w:sz="4" w:space="0"/>
            </w:tcBorders>
            <w:vAlign w:val="center"/>
          </w:tcPr>
          <w:p w14:paraId="7CAC38BE">
            <w:pPr>
              <w:adjustRightInd w:val="0"/>
              <w:snapToGrid w:val="0"/>
              <w:jc w:val="center"/>
              <w:rPr>
                <w:rFonts w:hint="eastAsia" w:ascii="宋体" w:hAnsi="宋体" w:cs="宋体"/>
                <w:szCs w:val="21"/>
              </w:rPr>
            </w:pPr>
            <w:r>
              <w:rPr>
                <w:rFonts w:hint="eastAsia" w:ascii="宋体" w:hAnsi="宋体" w:cs="宋体"/>
                <w:szCs w:val="21"/>
              </w:rPr>
              <w:t>5</w:t>
            </w:r>
          </w:p>
        </w:tc>
        <w:tc>
          <w:tcPr>
            <w:tcW w:w="2333" w:type="dxa"/>
            <w:tcBorders>
              <w:top w:val="single" w:color="auto" w:sz="4" w:space="0"/>
              <w:left w:val="single" w:color="auto" w:sz="4" w:space="0"/>
              <w:right w:val="single" w:color="auto" w:sz="4" w:space="0"/>
            </w:tcBorders>
            <w:vAlign w:val="center"/>
          </w:tcPr>
          <w:p w14:paraId="7609C370">
            <w:pPr>
              <w:adjustRightInd w:val="0"/>
              <w:snapToGrid w:val="0"/>
              <w:jc w:val="center"/>
              <w:rPr>
                <w:rFonts w:hint="eastAsia" w:ascii="宋体" w:hAnsi="宋体" w:cs="宋体"/>
                <w:szCs w:val="21"/>
              </w:rPr>
            </w:pPr>
            <w:r>
              <w:rPr>
                <w:rFonts w:hint="eastAsia" w:ascii="宋体" w:hAnsi="宋体" w:cs="宋体"/>
                <w:szCs w:val="21"/>
              </w:rPr>
              <w:t>工程进度计划及保证措施</w:t>
            </w:r>
          </w:p>
          <w:p w14:paraId="6F9B879C">
            <w:pPr>
              <w:adjustRightInd w:val="0"/>
              <w:snapToGrid w:val="0"/>
              <w:jc w:val="center"/>
              <w:rPr>
                <w:rFonts w:hint="eastAsia" w:ascii="宋体" w:hAnsi="宋体" w:cs="宋体"/>
                <w:szCs w:val="21"/>
              </w:rPr>
            </w:pPr>
            <w:r>
              <w:rPr>
                <w:rFonts w:hint="eastAsia" w:ascii="宋体" w:hAnsi="宋体" w:cs="宋体"/>
                <w:szCs w:val="21"/>
              </w:rPr>
              <w:t>（10分）</w:t>
            </w:r>
          </w:p>
        </w:tc>
        <w:tc>
          <w:tcPr>
            <w:tcW w:w="5103" w:type="dxa"/>
            <w:tcBorders>
              <w:top w:val="single" w:color="auto" w:sz="4" w:space="0"/>
              <w:left w:val="single" w:color="auto" w:sz="4" w:space="0"/>
              <w:bottom w:val="single" w:color="auto" w:sz="4" w:space="0"/>
              <w:right w:val="single" w:color="auto" w:sz="4" w:space="0"/>
            </w:tcBorders>
            <w:vAlign w:val="center"/>
          </w:tcPr>
          <w:p w14:paraId="3CAE697A">
            <w:pPr>
              <w:adjustRightInd w:val="0"/>
              <w:snapToGrid w:val="0"/>
              <w:rPr>
                <w:rFonts w:hint="eastAsia" w:ascii="宋体" w:hAnsi="宋体" w:cs="宋体"/>
                <w:szCs w:val="21"/>
              </w:rPr>
            </w:pPr>
            <w:r>
              <w:rPr>
                <w:rFonts w:hint="eastAsia" w:ascii="宋体" w:hAnsi="宋体" w:cs="宋体"/>
                <w:szCs w:val="21"/>
              </w:rPr>
              <w:t>内容完整，措施到位，机制健全得</w:t>
            </w:r>
            <w:r>
              <w:rPr>
                <w:rFonts w:ascii="宋体" w:hAnsi="宋体" w:cs="宋体"/>
                <w:szCs w:val="21"/>
              </w:rPr>
              <w:t>10</w:t>
            </w:r>
            <w:r>
              <w:rPr>
                <w:rFonts w:hint="eastAsia" w:ascii="宋体" w:hAnsi="宋体" w:cs="宋体"/>
                <w:szCs w:val="21"/>
              </w:rPr>
              <w:t>分；</w:t>
            </w:r>
          </w:p>
          <w:p w14:paraId="0A114644">
            <w:pPr>
              <w:adjustRightInd w:val="0"/>
              <w:snapToGrid w:val="0"/>
              <w:rPr>
                <w:rFonts w:hint="eastAsia" w:ascii="宋体" w:hAnsi="宋体" w:cs="宋体"/>
                <w:szCs w:val="21"/>
              </w:rPr>
            </w:pPr>
            <w:r>
              <w:rPr>
                <w:rFonts w:hint="eastAsia" w:ascii="宋体" w:hAnsi="宋体" w:cs="宋体"/>
                <w:szCs w:val="21"/>
              </w:rPr>
              <w:t>内容比较完整、制度比较完善得</w:t>
            </w:r>
            <w:r>
              <w:rPr>
                <w:rFonts w:ascii="宋体" w:hAnsi="宋体" w:cs="宋体"/>
                <w:szCs w:val="21"/>
              </w:rPr>
              <w:t>7</w:t>
            </w:r>
            <w:r>
              <w:rPr>
                <w:rFonts w:hint="eastAsia" w:ascii="宋体" w:hAnsi="宋体" w:cs="宋体"/>
                <w:szCs w:val="21"/>
              </w:rPr>
              <w:t>分；</w:t>
            </w:r>
          </w:p>
          <w:p w14:paraId="53C1431E">
            <w:pPr>
              <w:adjustRightInd w:val="0"/>
              <w:snapToGrid w:val="0"/>
              <w:rPr>
                <w:rFonts w:hint="eastAsia" w:ascii="宋体" w:hAnsi="宋体" w:cs="宋体"/>
                <w:szCs w:val="21"/>
              </w:rPr>
            </w:pPr>
            <w:r>
              <w:rPr>
                <w:rFonts w:hint="eastAsia" w:ascii="宋体" w:hAnsi="宋体" w:cs="宋体"/>
                <w:szCs w:val="21"/>
              </w:rPr>
              <w:t>内容基本完整、制度基本完善得</w:t>
            </w:r>
            <w:r>
              <w:rPr>
                <w:rFonts w:ascii="宋体" w:hAnsi="宋体" w:cs="宋体"/>
                <w:szCs w:val="21"/>
              </w:rPr>
              <w:t>4</w:t>
            </w:r>
            <w:r>
              <w:rPr>
                <w:rFonts w:hint="eastAsia" w:ascii="宋体" w:hAnsi="宋体" w:cs="宋体"/>
                <w:szCs w:val="21"/>
              </w:rPr>
              <w:t>分；</w:t>
            </w:r>
          </w:p>
          <w:p w14:paraId="3838BA61">
            <w:pPr>
              <w:adjustRightInd w:val="0"/>
              <w:snapToGrid w:val="0"/>
              <w:rPr>
                <w:rFonts w:hint="eastAsia" w:ascii="宋体" w:hAnsi="宋体" w:cs="宋体"/>
                <w:szCs w:val="21"/>
              </w:rPr>
            </w:pPr>
            <w:r>
              <w:rPr>
                <w:rFonts w:hint="eastAsia" w:ascii="宋体" w:hAnsi="宋体" w:cs="宋体"/>
                <w:szCs w:val="21"/>
              </w:rPr>
              <w:t>内容不完整、制度不够完善得</w:t>
            </w:r>
            <w:r>
              <w:rPr>
                <w:rFonts w:ascii="宋体" w:hAnsi="宋体" w:cs="宋体"/>
                <w:szCs w:val="21"/>
              </w:rPr>
              <w:t>1</w:t>
            </w:r>
            <w:r>
              <w:rPr>
                <w:rFonts w:hint="eastAsia" w:ascii="宋体" w:hAnsi="宋体" w:cs="宋体"/>
                <w:szCs w:val="21"/>
              </w:rPr>
              <w:t>分；</w:t>
            </w:r>
          </w:p>
          <w:p w14:paraId="7352E4F7">
            <w:pPr>
              <w:adjustRightInd w:val="0"/>
              <w:snapToGrid w:val="0"/>
              <w:rPr>
                <w:rFonts w:hint="eastAsia" w:ascii="宋体" w:hAnsi="宋体" w:cs="宋体"/>
                <w:szCs w:val="21"/>
              </w:rPr>
            </w:pPr>
            <w:r>
              <w:rPr>
                <w:rFonts w:hint="eastAsia" w:ascii="宋体" w:hAnsi="宋体" w:cs="宋体"/>
                <w:szCs w:val="21"/>
              </w:rPr>
              <w:t>未提供</w:t>
            </w:r>
            <w:r>
              <w:rPr>
                <w:rFonts w:ascii="宋体" w:hAnsi="宋体" w:cs="宋体"/>
                <w:szCs w:val="21"/>
              </w:rPr>
              <w:t>得</w:t>
            </w:r>
            <w:r>
              <w:rPr>
                <w:rFonts w:hint="eastAsia" w:ascii="宋体" w:hAnsi="宋体" w:cs="宋体"/>
                <w:szCs w:val="21"/>
              </w:rPr>
              <w:t>0分。</w:t>
            </w:r>
          </w:p>
        </w:tc>
        <w:tc>
          <w:tcPr>
            <w:tcW w:w="711" w:type="dxa"/>
            <w:tcBorders>
              <w:top w:val="single" w:color="auto" w:sz="4" w:space="0"/>
              <w:left w:val="single" w:color="auto" w:sz="4" w:space="0"/>
              <w:bottom w:val="single" w:color="auto" w:sz="4" w:space="0"/>
              <w:right w:val="single" w:color="auto" w:sz="4" w:space="0"/>
            </w:tcBorders>
            <w:vAlign w:val="center"/>
          </w:tcPr>
          <w:p w14:paraId="4E26CDBE">
            <w:pPr>
              <w:adjustRightInd w:val="0"/>
              <w:snapToGrid w:val="0"/>
              <w:jc w:val="center"/>
              <w:rPr>
                <w:rFonts w:hint="eastAsia" w:ascii="宋体" w:hAnsi="宋体" w:cs="宋体"/>
                <w:szCs w:val="21"/>
              </w:rPr>
            </w:pPr>
            <w:r>
              <w:rPr>
                <w:rFonts w:hint="eastAsia" w:ascii="宋体" w:hAnsi="宋体" w:cs="宋体"/>
                <w:szCs w:val="21"/>
              </w:rPr>
              <w:t>10</w:t>
            </w:r>
          </w:p>
        </w:tc>
      </w:tr>
      <w:tr w14:paraId="6F4BF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7" w:hRule="atLeast"/>
          <w:jc w:val="center"/>
        </w:trPr>
        <w:tc>
          <w:tcPr>
            <w:tcW w:w="631" w:type="dxa"/>
            <w:tcBorders>
              <w:left w:val="single" w:color="auto" w:sz="4" w:space="0"/>
              <w:right w:val="single" w:color="auto" w:sz="4" w:space="0"/>
            </w:tcBorders>
            <w:vAlign w:val="center"/>
          </w:tcPr>
          <w:p w14:paraId="10AB2945">
            <w:pPr>
              <w:adjustRightInd w:val="0"/>
              <w:snapToGrid w:val="0"/>
              <w:jc w:val="center"/>
              <w:rPr>
                <w:rFonts w:hint="eastAsia" w:ascii="宋体" w:hAnsi="宋体" w:cs="宋体"/>
                <w:szCs w:val="21"/>
              </w:rPr>
            </w:pPr>
            <w:r>
              <w:rPr>
                <w:rFonts w:hint="eastAsia" w:ascii="宋体" w:hAnsi="宋体" w:cs="宋体"/>
                <w:szCs w:val="21"/>
              </w:rPr>
              <w:t>6</w:t>
            </w:r>
          </w:p>
        </w:tc>
        <w:tc>
          <w:tcPr>
            <w:tcW w:w="2333" w:type="dxa"/>
            <w:tcBorders>
              <w:left w:val="single" w:color="auto" w:sz="4" w:space="0"/>
              <w:right w:val="single" w:color="auto" w:sz="4" w:space="0"/>
            </w:tcBorders>
            <w:vAlign w:val="center"/>
          </w:tcPr>
          <w:p w14:paraId="115AF996">
            <w:pPr>
              <w:adjustRightInd w:val="0"/>
              <w:snapToGrid w:val="0"/>
              <w:jc w:val="center"/>
              <w:rPr>
                <w:rFonts w:hint="eastAsia" w:ascii="宋体" w:hAnsi="宋体" w:cs="宋体"/>
                <w:szCs w:val="21"/>
              </w:rPr>
            </w:pPr>
            <w:bookmarkStart w:id="128" w:name="_Hlk5627881"/>
            <w:r>
              <w:rPr>
                <w:rFonts w:hint="eastAsia" w:ascii="宋体" w:hAnsi="宋体" w:cs="宋体"/>
                <w:szCs w:val="21"/>
              </w:rPr>
              <w:t>成品保护及现场管理</w:t>
            </w:r>
            <w:bookmarkEnd w:id="128"/>
          </w:p>
          <w:p w14:paraId="6A25A7D6">
            <w:pPr>
              <w:adjustRightInd w:val="0"/>
              <w:snapToGrid w:val="0"/>
              <w:jc w:val="center"/>
              <w:rPr>
                <w:rFonts w:hint="eastAsia" w:ascii="宋体" w:hAnsi="宋体" w:cs="宋体"/>
                <w:szCs w:val="21"/>
              </w:rPr>
            </w:pPr>
            <w:r>
              <w:rPr>
                <w:rFonts w:hint="eastAsia" w:ascii="宋体" w:hAnsi="宋体" w:cs="宋体"/>
                <w:szCs w:val="21"/>
              </w:rPr>
              <w:t>（4）</w:t>
            </w:r>
          </w:p>
        </w:tc>
        <w:tc>
          <w:tcPr>
            <w:tcW w:w="5103" w:type="dxa"/>
            <w:tcBorders>
              <w:top w:val="single" w:color="auto" w:sz="4" w:space="0"/>
              <w:left w:val="single" w:color="auto" w:sz="4" w:space="0"/>
              <w:bottom w:val="single" w:color="auto" w:sz="4" w:space="0"/>
              <w:right w:val="single" w:color="auto" w:sz="4" w:space="0"/>
            </w:tcBorders>
            <w:vAlign w:val="center"/>
          </w:tcPr>
          <w:p w14:paraId="41A4AD5C">
            <w:pPr>
              <w:adjustRightInd w:val="0"/>
              <w:snapToGrid w:val="0"/>
              <w:rPr>
                <w:rFonts w:hint="eastAsia" w:ascii="宋体" w:hAnsi="宋体" w:cs="宋体"/>
                <w:szCs w:val="21"/>
              </w:rPr>
            </w:pPr>
            <w:r>
              <w:rPr>
                <w:rFonts w:hint="eastAsia" w:ascii="宋体" w:hAnsi="宋体" w:cs="宋体"/>
                <w:szCs w:val="21"/>
              </w:rPr>
              <w:t>成品保护及现场管理措施制度健全、措施完善得4；</w:t>
            </w:r>
          </w:p>
          <w:p w14:paraId="659B7C7C">
            <w:pPr>
              <w:adjustRightInd w:val="0"/>
              <w:snapToGrid w:val="0"/>
              <w:rPr>
                <w:rFonts w:hint="eastAsia" w:ascii="宋体" w:hAnsi="宋体" w:cs="宋体"/>
                <w:szCs w:val="21"/>
              </w:rPr>
            </w:pPr>
            <w:r>
              <w:rPr>
                <w:rFonts w:hint="eastAsia" w:ascii="宋体" w:hAnsi="宋体" w:cs="宋体"/>
                <w:szCs w:val="21"/>
              </w:rPr>
              <w:t>比较健全完善得3</w:t>
            </w:r>
          </w:p>
          <w:p w14:paraId="190387A0">
            <w:pPr>
              <w:adjustRightInd w:val="0"/>
              <w:snapToGrid w:val="0"/>
              <w:rPr>
                <w:rFonts w:hint="eastAsia" w:ascii="宋体" w:hAnsi="宋体" w:cs="宋体"/>
                <w:szCs w:val="21"/>
              </w:rPr>
            </w:pPr>
            <w:r>
              <w:rPr>
                <w:rFonts w:hint="eastAsia" w:ascii="宋体" w:hAnsi="宋体" w:cs="宋体"/>
                <w:szCs w:val="21"/>
              </w:rPr>
              <w:t>基本健全得2；</w:t>
            </w:r>
          </w:p>
          <w:p w14:paraId="3776D227">
            <w:pPr>
              <w:adjustRightInd w:val="0"/>
              <w:snapToGrid w:val="0"/>
              <w:rPr>
                <w:rFonts w:hint="eastAsia" w:ascii="宋体" w:hAnsi="宋体" w:cs="宋体"/>
                <w:szCs w:val="21"/>
              </w:rPr>
            </w:pPr>
            <w:r>
              <w:rPr>
                <w:rFonts w:hint="eastAsia" w:ascii="宋体" w:hAnsi="宋体" w:cs="宋体"/>
                <w:szCs w:val="21"/>
              </w:rPr>
              <w:t>不够完善得1分；</w:t>
            </w:r>
          </w:p>
          <w:p w14:paraId="6468F184">
            <w:pPr>
              <w:adjustRightInd w:val="0"/>
              <w:snapToGrid w:val="0"/>
              <w:rPr>
                <w:rFonts w:hint="eastAsia" w:ascii="宋体" w:hAnsi="宋体" w:cs="宋体"/>
                <w:szCs w:val="21"/>
              </w:rPr>
            </w:pPr>
            <w:r>
              <w:rPr>
                <w:rFonts w:hint="eastAsia" w:ascii="宋体" w:hAnsi="宋体" w:cs="宋体"/>
                <w:szCs w:val="21"/>
              </w:rPr>
              <w:t>未提供</w:t>
            </w:r>
            <w:r>
              <w:rPr>
                <w:rFonts w:ascii="宋体" w:hAnsi="宋体" w:cs="宋体"/>
                <w:szCs w:val="21"/>
              </w:rPr>
              <w:t>得</w:t>
            </w:r>
            <w:r>
              <w:rPr>
                <w:rFonts w:hint="eastAsia" w:ascii="宋体" w:hAnsi="宋体" w:cs="宋体"/>
                <w:szCs w:val="21"/>
              </w:rPr>
              <w:t>0分。</w:t>
            </w:r>
          </w:p>
        </w:tc>
        <w:tc>
          <w:tcPr>
            <w:tcW w:w="711" w:type="dxa"/>
            <w:tcBorders>
              <w:top w:val="single" w:color="auto" w:sz="4" w:space="0"/>
              <w:left w:val="single" w:color="auto" w:sz="4" w:space="0"/>
              <w:bottom w:val="single" w:color="auto" w:sz="4" w:space="0"/>
              <w:right w:val="single" w:color="auto" w:sz="4" w:space="0"/>
            </w:tcBorders>
            <w:vAlign w:val="center"/>
          </w:tcPr>
          <w:p w14:paraId="29063C81">
            <w:pPr>
              <w:adjustRightInd w:val="0"/>
              <w:snapToGrid w:val="0"/>
              <w:jc w:val="center"/>
              <w:rPr>
                <w:rFonts w:hint="eastAsia" w:ascii="宋体" w:hAnsi="宋体" w:cs="宋体"/>
                <w:szCs w:val="21"/>
              </w:rPr>
            </w:pPr>
            <w:r>
              <w:rPr>
                <w:rFonts w:hint="eastAsia" w:ascii="宋体" w:hAnsi="宋体" w:cs="宋体"/>
                <w:szCs w:val="21"/>
              </w:rPr>
              <w:t>4</w:t>
            </w:r>
          </w:p>
        </w:tc>
      </w:tr>
      <w:tr w14:paraId="68B91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778" w:type="dxa"/>
            <w:gridSpan w:val="4"/>
            <w:tcBorders>
              <w:left w:val="single" w:color="auto" w:sz="4" w:space="0"/>
              <w:right w:val="single" w:color="auto" w:sz="4" w:space="0"/>
            </w:tcBorders>
            <w:vAlign w:val="center"/>
          </w:tcPr>
          <w:p w14:paraId="5105DB40">
            <w:pPr>
              <w:adjustRightInd w:val="0"/>
              <w:snapToGrid w:val="0"/>
              <w:jc w:val="center"/>
              <w:rPr>
                <w:rFonts w:hint="eastAsia" w:ascii="宋体" w:hAnsi="宋体" w:cs="宋体"/>
                <w:szCs w:val="21"/>
              </w:rPr>
            </w:pPr>
            <w:r>
              <w:rPr>
                <w:rFonts w:hint="eastAsia" w:ascii="宋体" w:hAnsi="宋体" w:cs="宋体"/>
                <w:szCs w:val="21"/>
              </w:rPr>
              <w:t>经济部分（30）</w:t>
            </w:r>
          </w:p>
        </w:tc>
      </w:tr>
      <w:tr w14:paraId="30974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1" w:hRule="atLeast"/>
          <w:jc w:val="center"/>
        </w:trPr>
        <w:tc>
          <w:tcPr>
            <w:tcW w:w="8778" w:type="dxa"/>
            <w:gridSpan w:val="4"/>
            <w:tcBorders>
              <w:left w:val="single" w:color="auto" w:sz="4" w:space="0"/>
              <w:right w:val="single" w:color="auto" w:sz="4" w:space="0"/>
            </w:tcBorders>
            <w:vAlign w:val="center"/>
          </w:tcPr>
          <w:p w14:paraId="1F0E23F5">
            <w:pPr>
              <w:adjustRightInd w:val="0"/>
              <w:snapToGrid w:val="0"/>
              <w:rPr>
                <w:rFonts w:hint="eastAsia" w:ascii="宋体" w:hAnsi="宋体" w:cs="宋体"/>
                <w:szCs w:val="21"/>
              </w:rPr>
            </w:pPr>
            <w:r>
              <w:rPr>
                <w:rFonts w:hint="eastAsia" w:ascii="宋体" w:hAnsi="宋体" w:cs="宋体"/>
                <w:szCs w:val="21"/>
              </w:rPr>
              <w:t xml:space="preserve">评审基准价的确定及评分规定： </w:t>
            </w:r>
          </w:p>
          <w:p w14:paraId="7C862ED0">
            <w:pPr>
              <w:adjustRightInd w:val="0"/>
              <w:snapToGrid w:val="0"/>
              <w:rPr>
                <w:rFonts w:hint="eastAsia" w:ascii="宋体" w:hAnsi="宋体" w:cs="宋体"/>
                <w:szCs w:val="21"/>
              </w:rPr>
            </w:pPr>
            <w:r>
              <w:rPr>
                <w:rFonts w:hint="eastAsia" w:ascii="宋体" w:hAnsi="宋体" w:cs="宋体"/>
                <w:szCs w:val="21"/>
              </w:rPr>
              <w:t xml:space="preserve">磋商报价得分=（磋商基准价/最后磋商报价）×价格权值（30%）×100 </w:t>
            </w:r>
          </w:p>
          <w:p w14:paraId="42BEE656">
            <w:pPr>
              <w:adjustRightInd w:val="0"/>
              <w:snapToGrid w:val="0"/>
              <w:rPr>
                <w:rFonts w:hint="eastAsia" w:ascii="宋体" w:hAnsi="宋体" w:cs="宋体"/>
                <w:szCs w:val="21"/>
              </w:rPr>
            </w:pPr>
            <w:r>
              <w:rPr>
                <w:rFonts w:hint="eastAsia" w:ascii="宋体" w:hAnsi="宋体" w:cs="宋体"/>
                <w:szCs w:val="21"/>
              </w:rPr>
              <w:t>（注：实质性响应磋商文件要求且价格最低的报价为评审基准价）</w:t>
            </w:r>
          </w:p>
        </w:tc>
      </w:tr>
    </w:tbl>
    <w:p w14:paraId="3664BF19">
      <w:pPr>
        <w:spacing w:line="360" w:lineRule="auto"/>
        <w:ind w:left="900" w:hanging="900" w:hangingChars="375"/>
        <w:rPr>
          <w:rFonts w:hint="eastAsia" w:ascii="宋体" w:hAnsi="宋体"/>
          <w:sz w:val="24"/>
        </w:rPr>
      </w:pPr>
    </w:p>
    <w:p w14:paraId="5203E0CC">
      <w:pPr>
        <w:pStyle w:val="6"/>
        <w:spacing w:line="360" w:lineRule="auto"/>
        <w:rPr>
          <w:rFonts w:hint="eastAsia" w:hAnsi="宋体"/>
          <w:u w:val="none"/>
        </w:rPr>
      </w:pPr>
      <w:bookmarkStart w:id="129" w:name="_Toc130920527"/>
      <w:bookmarkStart w:id="130" w:name="_Toc142385513"/>
      <w:bookmarkStart w:id="131" w:name="_Toc518991936"/>
      <w:r>
        <w:rPr>
          <w:rFonts w:hint="eastAsia" w:hAnsi="宋体"/>
          <w:u w:val="none"/>
        </w:rPr>
        <w:t>22．评审过程及保密原则</w:t>
      </w:r>
      <w:bookmarkEnd w:id="129"/>
      <w:bookmarkEnd w:id="130"/>
      <w:bookmarkEnd w:id="131"/>
    </w:p>
    <w:p w14:paraId="79D3CD38">
      <w:pPr>
        <w:spacing w:line="360" w:lineRule="auto"/>
        <w:ind w:left="991" w:hanging="991" w:hangingChars="413"/>
        <w:rPr>
          <w:rFonts w:hint="eastAsia" w:ascii="宋体" w:hAnsi="宋体"/>
          <w:sz w:val="24"/>
        </w:rPr>
      </w:pPr>
      <w:r>
        <w:rPr>
          <w:rFonts w:hint="eastAsia" w:ascii="宋体" w:hAnsi="宋体"/>
          <w:sz w:val="24"/>
        </w:rPr>
        <w:t>22.1</w:t>
      </w:r>
      <w:r>
        <w:rPr>
          <w:rFonts w:hint="eastAsia" w:ascii="宋体" w:hAnsi="宋体"/>
          <w:sz w:val="24"/>
        </w:rPr>
        <w:tab/>
      </w:r>
      <w:r>
        <w:rPr>
          <w:rFonts w:hint="eastAsia" w:ascii="宋体" w:hAnsi="宋体"/>
          <w:sz w:val="24"/>
        </w:rPr>
        <w:t>磋商文件能够详细列明采购标的技术、服务要求的，磋商结束后，磋商小组应当要求所有实质性响应的供应商在规定时间内提交最后报价，提交最后报价的供应商不得少于3家。</w:t>
      </w:r>
    </w:p>
    <w:p w14:paraId="4D74D8C0">
      <w:pPr>
        <w:spacing w:line="360" w:lineRule="auto"/>
        <w:ind w:left="991" w:hanging="991" w:hangingChars="413"/>
        <w:rPr>
          <w:rFonts w:hint="eastAsia" w:ascii="宋体" w:hAnsi="宋体"/>
          <w:sz w:val="24"/>
        </w:rPr>
      </w:pPr>
      <w:r>
        <w:rPr>
          <w:rFonts w:hint="eastAsia" w:ascii="宋体" w:hAnsi="宋体"/>
          <w:sz w:val="24"/>
        </w:rPr>
        <w:t>22.2</w:t>
      </w:r>
      <w:r>
        <w:rPr>
          <w:rFonts w:ascii="宋体" w:hAnsi="宋体"/>
          <w:sz w:val="24"/>
        </w:rPr>
        <w:t xml:space="preserve">    </w:t>
      </w:r>
      <w:r>
        <w:rPr>
          <w:rFonts w:hint="eastAsia" w:ascii="宋体" w:hAnsi="宋体"/>
          <w:sz w:val="24"/>
        </w:rPr>
        <w:t>磋商文件不能详细列明采购标的技术、服务要求，需经磋商由供应商提供最终设计方案或解决方案的，磋商结束后，磋商小组应当按照少数服从多数的原则投票推荐3家以上供应商的设计方案或者解决方案，在规定时间内提交最后报价。</w:t>
      </w:r>
    </w:p>
    <w:p w14:paraId="16AC1DE3">
      <w:pPr>
        <w:spacing w:line="360" w:lineRule="auto"/>
        <w:ind w:left="900" w:hanging="900" w:hangingChars="375"/>
        <w:rPr>
          <w:rFonts w:hint="eastAsia" w:ascii="宋体" w:hAnsi="宋体"/>
          <w:sz w:val="24"/>
        </w:rPr>
      </w:pPr>
      <w:r>
        <w:rPr>
          <w:rFonts w:hint="eastAsia" w:ascii="宋体" w:hAnsi="宋体"/>
          <w:sz w:val="24"/>
        </w:rPr>
        <w:t>　　    最后报价是供应商响应文件的有效组成部分。</w:t>
      </w:r>
    </w:p>
    <w:p w14:paraId="640342A9">
      <w:pPr>
        <w:spacing w:before="120" w:line="360" w:lineRule="auto"/>
        <w:ind w:left="991" w:hanging="991" w:hangingChars="413"/>
        <w:rPr>
          <w:rFonts w:hint="eastAsia" w:ascii="宋体" w:hAnsi="宋体"/>
          <w:sz w:val="24"/>
        </w:rPr>
      </w:pPr>
      <w:r>
        <w:rPr>
          <w:rFonts w:hint="eastAsia" w:ascii="宋体" w:hAnsi="宋体"/>
          <w:sz w:val="24"/>
        </w:rPr>
        <w:t>22.</w:t>
      </w:r>
      <w:r>
        <w:rPr>
          <w:rFonts w:ascii="宋体" w:hAnsi="宋体"/>
          <w:sz w:val="24"/>
        </w:rPr>
        <w:t xml:space="preserve">3    </w:t>
      </w:r>
      <w:r>
        <w:rPr>
          <w:rFonts w:hint="eastAsia" w:ascii="宋体" w:hAnsi="宋体"/>
          <w:sz w:val="24"/>
        </w:rPr>
        <w:t>报价之后，直到授予成交人合同止，凡与本次采购有关人员对属于审查、澄清、评价和比较响应文件的有关资料以及成交意向等，均不得向供应商或其他无关的人员透露。</w:t>
      </w:r>
    </w:p>
    <w:p w14:paraId="6C214C3F">
      <w:pPr>
        <w:spacing w:before="120" w:line="360" w:lineRule="auto"/>
        <w:ind w:left="960" w:hanging="960" w:hangingChars="400"/>
        <w:rPr>
          <w:rFonts w:hint="eastAsia" w:ascii="宋体" w:hAnsi="宋体"/>
          <w:sz w:val="24"/>
        </w:rPr>
      </w:pPr>
      <w:r>
        <w:rPr>
          <w:rFonts w:hint="eastAsia" w:ascii="宋体" w:hAnsi="宋体"/>
          <w:sz w:val="24"/>
        </w:rPr>
        <w:t>22.</w:t>
      </w:r>
      <w:r>
        <w:rPr>
          <w:rFonts w:ascii="宋体" w:hAnsi="宋体"/>
          <w:sz w:val="24"/>
        </w:rPr>
        <w:t xml:space="preserve">4    </w:t>
      </w:r>
      <w:r>
        <w:rPr>
          <w:rFonts w:hint="eastAsia" w:ascii="宋体" w:hAnsi="宋体"/>
          <w:sz w:val="24"/>
        </w:rPr>
        <w:t>在评审期间，供应商试图影响采购单位和磋商小组的任何活动，将导致其报价被拒绝，并承担相应的法律责任。</w:t>
      </w:r>
    </w:p>
    <w:p w14:paraId="5476FA95">
      <w:pPr>
        <w:pStyle w:val="4"/>
        <w:spacing w:line="360" w:lineRule="auto"/>
        <w:rPr>
          <w:rFonts w:hint="eastAsia" w:ascii="宋体" w:hAnsi="宋体" w:eastAsia="宋体"/>
          <w:sz w:val="28"/>
          <w:szCs w:val="28"/>
        </w:rPr>
      </w:pPr>
      <w:bookmarkStart w:id="132" w:name="_Toc142385514"/>
      <w:bookmarkStart w:id="133" w:name="_Toc518991937"/>
      <w:bookmarkStart w:id="134" w:name="_Toc130920528"/>
      <w:r>
        <w:rPr>
          <w:rFonts w:hint="eastAsia" w:ascii="宋体" w:hAnsi="宋体" w:eastAsia="宋体"/>
          <w:sz w:val="28"/>
          <w:szCs w:val="28"/>
        </w:rPr>
        <w:t>六   确定成交</w:t>
      </w:r>
      <w:bookmarkEnd w:id="132"/>
      <w:bookmarkEnd w:id="133"/>
      <w:bookmarkEnd w:id="134"/>
    </w:p>
    <w:p w14:paraId="7377FCF8">
      <w:pPr>
        <w:pStyle w:val="6"/>
        <w:spacing w:line="360" w:lineRule="auto"/>
        <w:rPr>
          <w:rFonts w:hint="eastAsia" w:hAnsi="宋体"/>
          <w:u w:val="none"/>
        </w:rPr>
      </w:pPr>
      <w:bookmarkStart w:id="135" w:name="_Toc518991938"/>
      <w:bookmarkStart w:id="136" w:name="_Toc130920529"/>
      <w:bookmarkStart w:id="137" w:name="_Toc142385515"/>
      <w:r>
        <w:rPr>
          <w:rFonts w:hint="eastAsia" w:hAnsi="宋体"/>
          <w:u w:val="none"/>
        </w:rPr>
        <w:t>23．成交候选人的确定原则及标准</w:t>
      </w:r>
      <w:bookmarkEnd w:id="135"/>
      <w:bookmarkEnd w:id="136"/>
      <w:bookmarkEnd w:id="137"/>
    </w:p>
    <w:p w14:paraId="5D30A3F0">
      <w:pPr>
        <w:spacing w:before="120" w:line="360" w:lineRule="auto"/>
        <w:ind w:left="900" w:hanging="900"/>
        <w:rPr>
          <w:rFonts w:hint="eastAsia" w:ascii="宋体" w:hAnsi="宋体"/>
          <w:sz w:val="24"/>
        </w:rPr>
      </w:pPr>
      <w:r>
        <w:rPr>
          <w:rFonts w:hint="eastAsia" w:ascii="宋体" w:hAnsi="宋体"/>
          <w:sz w:val="24"/>
        </w:rPr>
        <w:t>23.1</w:t>
      </w:r>
      <w:r>
        <w:rPr>
          <w:rFonts w:hint="eastAsia" w:ascii="宋体" w:hAnsi="宋体"/>
          <w:sz w:val="24"/>
        </w:rPr>
        <w:tab/>
      </w:r>
      <w:r>
        <w:rPr>
          <w:rFonts w:hint="eastAsia" w:ascii="宋体" w:hAnsi="宋体"/>
          <w:sz w:val="24"/>
        </w:rPr>
        <w:t>除第25条规定外，按21.3的要求确定成交候选人。</w:t>
      </w:r>
    </w:p>
    <w:p w14:paraId="2E0E131E">
      <w:pPr>
        <w:pStyle w:val="6"/>
        <w:spacing w:line="360" w:lineRule="auto"/>
        <w:rPr>
          <w:rFonts w:hint="eastAsia" w:hAnsi="宋体"/>
          <w:u w:val="none"/>
        </w:rPr>
      </w:pPr>
      <w:bookmarkStart w:id="138" w:name="_Toc130920530"/>
      <w:bookmarkStart w:id="139" w:name="_Toc142385516"/>
      <w:bookmarkStart w:id="140" w:name="_Toc518991939"/>
      <w:r>
        <w:rPr>
          <w:rFonts w:hint="eastAsia" w:hAnsi="宋体"/>
          <w:u w:val="none"/>
        </w:rPr>
        <w:t>24．确定成交人</w:t>
      </w:r>
      <w:bookmarkEnd w:id="138"/>
      <w:bookmarkEnd w:id="139"/>
      <w:bookmarkEnd w:id="140"/>
    </w:p>
    <w:p w14:paraId="6D003312">
      <w:pPr>
        <w:spacing w:before="120" w:line="360" w:lineRule="auto"/>
        <w:ind w:left="900" w:hanging="900"/>
        <w:rPr>
          <w:rFonts w:hint="eastAsia" w:ascii="宋体" w:hAnsi="宋体"/>
          <w:sz w:val="24"/>
        </w:rPr>
      </w:pPr>
      <w:r>
        <w:rPr>
          <w:rFonts w:hint="eastAsia" w:ascii="宋体" w:hAnsi="宋体"/>
          <w:sz w:val="24"/>
        </w:rPr>
        <w:t>24.1</w:t>
      </w:r>
      <w:r>
        <w:rPr>
          <w:rFonts w:hint="eastAsia" w:ascii="宋体" w:hAnsi="宋体"/>
          <w:sz w:val="24"/>
        </w:rPr>
        <w:tab/>
      </w:r>
      <w:r>
        <w:rPr>
          <w:rFonts w:hint="eastAsia" w:ascii="宋体" w:hAnsi="宋体"/>
          <w:sz w:val="24"/>
        </w:rPr>
        <w:t>磋商小组应当根据综合评分情况，按照评审得分由高到低顺序推荐3名以上成交候选供应商，并编写评审报告。符合《政府采购</w:t>
      </w:r>
      <w:r>
        <w:rPr>
          <w:rFonts w:ascii="宋体" w:hAnsi="宋体"/>
          <w:sz w:val="24"/>
        </w:rPr>
        <w:t>竞争性磋商采购方式管理暂行办法》</w:t>
      </w:r>
      <w:r>
        <w:rPr>
          <w:rFonts w:hint="eastAsia" w:ascii="宋体" w:hAnsi="宋体"/>
          <w:sz w:val="24"/>
        </w:rPr>
        <w:t>第二十一条第三款情形的，可以推荐2家成交候选供应商。评审得分相同的，按照最后报价由低到高的顺序推荐。评审得分且最后报价相同的，按照技术指标优劣顺序推荐。</w:t>
      </w:r>
    </w:p>
    <w:p w14:paraId="3BB43D30">
      <w:pPr>
        <w:spacing w:before="120" w:line="360" w:lineRule="auto"/>
        <w:ind w:left="900" w:hanging="900"/>
        <w:rPr>
          <w:rFonts w:hint="eastAsia" w:ascii="宋体" w:hAnsi="宋体"/>
          <w:sz w:val="24"/>
        </w:rPr>
      </w:pPr>
      <w:r>
        <w:rPr>
          <w:rFonts w:hint="eastAsia" w:ascii="宋体" w:hAnsi="宋体"/>
          <w:sz w:val="24"/>
        </w:rPr>
        <w:t>24.2</w:t>
      </w:r>
      <w:r>
        <w:rPr>
          <w:rFonts w:hint="eastAsia" w:ascii="宋体" w:hAnsi="宋体"/>
          <w:sz w:val="24"/>
        </w:rPr>
        <w:tab/>
      </w:r>
      <w:r>
        <w:rPr>
          <w:rFonts w:hint="eastAsia" w:ascii="宋体" w:hAnsi="宋体"/>
          <w:sz w:val="24"/>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0C9C39D3">
      <w:pPr>
        <w:spacing w:before="120" w:line="360" w:lineRule="auto"/>
        <w:ind w:left="900" w:hanging="49"/>
        <w:rPr>
          <w:rFonts w:hint="eastAsia" w:ascii="宋体" w:hAnsi="宋体"/>
          <w:sz w:val="24"/>
        </w:rPr>
      </w:pPr>
      <w:r>
        <w:rPr>
          <w:rFonts w:hint="eastAsia" w:ascii="宋体" w:hAnsi="宋体"/>
          <w:sz w:val="24"/>
        </w:rPr>
        <w:t>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60630FE5">
      <w:pPr>
        <w:spacing w:before="120" w:line="360" w:lineRule="auto"/>
        <w:ind w:left="900" w:hanging="900"/>
        <w:rPr>
          <w:rFonts w:hint="eastAsia" w:ascii="宋体" w:hAnsi="宋体"/>
          <w:sz w:val="24"/>
        </w:rPr>
      </w:pPr>
      <w:r>
        <w:rPr>
          <w:rFonts w:hint="eastAsia" w:ascii="宋体" w:hAnsi="宋体"/>
          <w:sz w:val="24"/>
        </w:rPr>
        <w:t>24.3</w:t>
      </w:r>
      <w:r>
        <w:rPr>
          <w:rFonts w:hint="eastAsia" w:ascii="宋体" w:hAnsi="宋体"/>
          <w:sz w:val="24"/>
        </w:rPr>
        <w:tab/>
      </w:r>
      <w:r>
        <w:rPr>
          <w:rFonts w:hint="eastAsia" w:ascii="宋体" w:hAnsi="宋体"/>
          <w:sz w:val="24"/>
        </w:rPr>
        <w:t>采购人将把合同授予依法确定的成交人。如果成交人人放弃被授予合同或不能履行合同的，其成交资格被取消，磋商保证金将被没收。在此情况下，采购人将按照磋商小组推荐的排序名单，顺序确定排序在先的成交候选人为成交人授予合同或者</w:t>
      </w:r>
      <w:r>
        <w:rPr>
          <w:rFonts w:ascii="宋体" w:hAnsi="宋体"/>
          <w:sz w:val="24"/>
        </w:rPr>
        <w:t>重新开展采购活动</w:t>
      </w:r>
      <w:r>
        <w:rPr>
          <w:rFonts w:hint="eastAsia" w:ascii="宋体" w:hAnsi="宋体"/>
          <w:sz w:val="24"/>
        </w:rPr>
        <w:t xml:space="preserve">。 </w:t>
      </w:r>
    </w:p>
    <w:p w14:paraId="53659F87">
      <w:pPr>
        <w:pStyle w:val="6"/>
        <w:spacing w:line="360" w:lineRule="auto"/>
        <w:rPr>
          <w:rFonts w:hint="eastAsia" w:hAnsi="宋体"/>
          <w:u w:val="none"/>
        </w:rPr>
      </w:pPr>
      <w:bookmarkStart w:id="141" w:name="_Toc142385517"/>
      <w:bookmarkStart w:id="142" w:name="_Toc518991940"/>
      <w:bookmarkStart w:id="143" w:name="_Toc130920531"/>
      <w:r>
        <w:rPr>
          <w:rFonts w:hint="eastAsia" w:hAnsi="宋体"/>
          <w:u w:val="none"/>
        </w:rPr>
        <w:t>25．接受和拒绝任何或所有响应文件的权利</w:t>
      </w:r>
      <w:bookmarkEnd w:id="141"/>
      <w:bookmarkEnd w:id="142"/>
      <w:bookmarkEnd w:id="143"/>
    </w:p>
    <w:p w14:paraId="7CA5E7FD">
      <w:pPr>
        <w:spacing w:before="120" w:line="360" w:lineRule="auto"/>
        <w:ind w:left="900" w:hanging="900"/>
        <w:rPr>
          <w:rFonts w:hint="eastAsia" w:ascii="宋体" w:hAnsi="宋体"/>
          <w:sz w:val="24"/>
        </w:rPr>
      </w:pPr>
      <w:r>
        <w:rPr>
          <w:rFonts w:hint="eastAsia" w:ascii="宋体" w:hAnsi="宋体"/>
          <w:sz w:val="24"/>
        </w:rPr>
        <w:t>25.1</w:t>
      </w:r>
      <w:r>
        <w:rPr>
          <w:rFonts w:hint="eastAsia" w:ascii="宋体" w:hAnsi="宋体"/>
          <w:sz w:val="24"/>
        </w:rPr>
        <w:tab/>
      </w:r>
      <w:r>
        <w:rPr>
          <w:rFonts w:ascii="宋体" w:hAnsi="宋体"/>
          <w:sz w:val="24"/>
        </w:rPr>
        <w:t>采购人保留在授标之前任何时候接受或拒绝任何</w:t>
      </w:r>
      <w:r>
        <w:rPr>
          <w:rFonts w:hint="eastAsia" w:ascii="宋体" w:hAnsi="宋体"/>
          <w:sz w:val="24"/>
        </w:rPr>
        <w:t>响应文件</w:t>
      </w:r>
      <w:r>
        <w:rPr>
          <w:rFonts w:ascii="宋体" w:hAnsi="宋体"/>
          <w:sz w:val="24"/>
        </w:rPr>
        <w:t>，以及宣布</w:t>
      </w:r>
      <w:r>
        <w:rPr>
          <w:rFonts w:hint="eastAsia" w:ascii="宋体" w:hAnsi="宋体"/>
          <w:sz w:val="24"/>
        </w:rPr>
        <w:t>采购</w:t>
      </w:r>
      <w:r>
        <w:rPr>
          <w:rFonts w:ascii="宋体" w:hAnsi="宋体"/>
          <w:sz w:val="24"/>
        </w:rPr>
        <w:t>程序无效或拒绝所有</w:t>
      </w:r>
      <w:r>
        <w:rPr>
          <w:rFonts w:hint="eastAsia" w:ascii="宋体" w:hAnsi="宋体"/>
          <w:sz w:val="24"/>
        </w:rPr>
        <w:t>响应文件</w:t>
      </w:r>
      <w:r>
        <w:rPr>
          <w:rFonts w:ascii="宋体" w:hAnsi="宋体"/>
          <w:sz w:val="24"/>
        </w:rPr>
        <w:t>的权力，对受影响的</w:t>
      </w:r>
      <w:r>
        <w:rPr>
          <w:rFonts w:hint="eastAsia" w:ascii="宋体" w:hAnsi="宋体"/>
          <w:sz w:val="24"/>
        </w:rPr>
        <w:t>供应商</w:t>
      </w:r>
      <w:r>
        <w:rPr>
          <w:rFonts w:ascii="宋体" w:hAnsi="宋体"/>
          <w:sz w:val="24"/>
        </w:rPr>
        <w:t>不承担任何责任。</w:t>
      </w:r>
    </w:p>
    <w:p w14:paraId="03C1CEF9">
      <w:pPr>
        <w:spacing w:before="120" w:line="360" w:lineRule="auto"/>
        <w:ind w:left="851" w:hanging="851"/>
        <w:rPr>
          <w:rFonts w:hint="eastAsia" w:ascii="宋体" w:hAnsi="宋体"/>
          <w:sz w:val="24"/>
        </w:rPr>
      </w:pPr>
      <w:r>
        <w:rPr>
          <w:rFonts w:hint="eastAsia" w:ascii="宋体" w:hAnsi="宋体"/>
          <w:sz w:val="24"/>
        </w:rPr>
        <w:t>25.2   因不可抗力或成交人不能履约等情形，采购人保留与其他候选人签订合同的权利。</w:t>
      </w:r>
    </w:p>
    <w:p w14:paraId="3D2DD5E3">
      <w:pPr>
        <w:pStyle w:val="6"/>
        <w:spacing w:line="360" w:lineRule="auto"/>
        <w:rPr>
          <w:rFonts w:hint="eastAsia" w:hAnsi="宋体"/>
          <w:u w:val="none"/>
        </w:rPr>
      </w:pPr>
      <w:bookmarkStart w:id="144" w:name="_Toc142385518"/>
      <w:bookmarkStart w:id="145" w:name="_Toc130920532"/>
      <w:bookmarkStart w:id="146" w:name="_Toc518991941"/>
      <w:r>
        <w:rPr>
          <w:rFonts w:hint="eastAsia" w:hAnsi="宋体"/>
          <w:u w:val="none"/>
        </w:rPr>
        <w:t>26．成交通知书</w:t>
      </w:r>
      <w:bookmarkEnd w:id="144"/>
      <w:bookmarkEnd w:id="145"/>
      <w:bookmarkEnd w:id="146"/>
    </w:p>
    <w:p w14:paraId="22733E7B">
      <w:pPr>
        <w:spacing w:before="120" w:line="360" w:lineRule="auto"/>
        <w:ind w:left="900" w:hanging="900"/>
        <w:rPr>
          <w:rFonts w:hint="eastAsia" w:ascii="宋体" w:hAnsi="宋体"/>
          <w:sz w:val="24"/>
        </w:rPr>
      </w:pPr>
      <w:r>
        <w:rPr>
          <w:rFonts w:hint="eastAsia" w:ascii="宋体" w:hAnsi="宋体"/>
          <w:sz w:val="24"/>
        </w:rPr>
        <w:t>26.1</w:t>
      </w:r>
      <w:r>
        <w:rPr>
          <w:rFonts w:hint="eastAsia" w:ascii="宋体" w:hAnsi="宋体"/>
          <w:sz w:val="24"/>
        </w:rPr>
        <w:tab/>
      </w:r>
      <w:r>
        <w:rPr>
          <w:rFonts w:hint="eastAsia" w:ascii="宋体" w:hAnsi="宋体"/>
          <w:sz w:val="24"/>
        </w:rPr>
        <w:t>在磋商有效期内，成交人确定后，采购单位以书面形式向成交人发出成交通知书。</w:t>
      </w:r>
    </w:p>
    <w:p w14:paraId="3A30C66E">
      <w:pPr>
        <w:spacing w:before="120" w:line="360" w:lineRule="auto"/>
        <w:ind w:left="840" w:hanging="840" w:hangingChars="350"/>
        <w:rPr>
          <w:rFonts w:hint="eastAsia" w:ascii="宋体" w:hAnsi="宋体"/>
          <w:sz w:val="24"/>
        </w:rPr>
      </w:pPr>
      <w:r>
        <w:rPr>
          <w:rFonts w:hint="eastAsia" w:ascii="宋体" w:hAnsi="宋体"/>
          <w:sz w:val="24"/>
        </w:rPr>
        <w:t>26.2</w:t>
      </w:r>
      <w:r>
        <w:rPr>
          <w:rFonts w:hint="eastAsia" w:ascii="宋体" w:hAnsi="宋体"/>
          <w:sz w:val="24"/>
        </w:rPr>
        <w:tab/>
      </w:r>
      <w:r>
        <w:rPr>
          <w:rFonts w:hint="eastAsia" w:ascii="宋体" w:hAnsi="宋体"/>
          <w:sz w:val="24"/>
        </w:rPr>
        <w:t>成交通知书是签署合同的前提条件，未收到成交通知书的供应商与采购人就采购文件中所述的标的所签署的合同属于无效合同。</w:t>
      </w:r>
    </w:p>
    <w:p w14:paraId="7C394A51">
      <w:pPr>
        <w:pStyle w:val="6"/>
        <w:spacing w:line="360" w:lineRule="auto"/>
        <w:rPr>
          <w:rFonts w:hint="eastAsia" w:hAnsi="宋体"/>
          <w:u w:val="none"/>
        </w:rPr>
      </w:pPr>
      <w:bookmarkStart w:id="147" w:name="_Toc142385519"/>
      <w:bookmarkStart w:id="148" w:name="_Toc130920533"/>
      <w:bookmarkStart w:id="149" w:name="_Toc518991942"/>
      <w:r>
        <w:rPr>
          <w:rFonts w:hint="eastAsia" w:hAnsi="宋体"/>
          <w:u w:val="none"/>
        </w:rPr>
        <w:t>27．签订合同</w:t>
      </w:r>
      <w:bookmarkEnd w:id="147"/>
      <w:bookmarkEnd w:id="148"/>
      <w:bookmarkEnd w:id="149"/>
    </w:p>
    <w:p w14:paraId="3CE4F5E5">
      <w:pPr>
        <w:spacing w:line="360" w:lineRule="auto"/>
        <w:ind w:left="900" w:hanging="900"/>
        <w:rPr>
          <w:rFonts w:hint="eastAsia" w:ascii="宋体" w:hAnsi="宋体"/>
          <w:sz w:val="24"/>
        </w:rPr>
      </w:pPr>
      <w:r>
        <w:rPr>
          <w:rFonts w:hint="eastAsia" w:ascii="宋体" w:hAnsi="宋体"/>
          <w:sz w:val="24"/>
        </w:rPr>
        <w:t>27.1</w:t>
      </w:r>
      <w:r>
        <w:rPr>
          <w:rFonts w:hint="eastAsia" w:ascii="宋体" w:hAnsi="宋体"/>
          <w:sz w:val="24"/>
        </w:rPr>
        <w:tab/>
      </w:r>
      <w:r>
        <w:rPr>
          <w:rFonts w:hint="eastAsia" w:ascii="宋体" w:hAnsi="宋体"/>
          <w:sz w:val="24"/>
        </w:rPr>
        <w:t>成交人应当自成交通知书发出之日起30日内，与采购人按照竞争</w:t>
      </w:r>
      <w:r>
        <w:rPr>
          <w:rFonts w:ascii="宋体" w:hAnsi="宋体"/>
          <w:sz w:val="24"/>
        </w:rPr>
        <w:t>性</w:t>
      </w:r>
      <w:r>
        <w:rPr>
          <w:rFonts w:hint="eastAsia" w:ascii="宋体" w:hAnsi="宋体"/>
          <w:sz w:val="24"/>
        </w:rPr>
        <w:t>磋商</w:t>
      </w:r>
      <w:r>
        <w:rPr>
          <w:rFonts w:ascii="宋体" w:hAnsi="宋体"/>
          <w:sz w:val="24"/>
        </w:rPr>
        <w:t>文件</w:t>
      </w:r>
      <w:r>
        <w:rPr>
          <w:rFonts w:hint="eastAsia" w:ascii="宋体" w:hAnsi="宋体"/>
          <w:sz w:val="24"/>
        </w:rPr>
        <w:t>和成交人</w:t>
      </w:r>
      <w:r>
        <w:rPr>
          <w:rFonts w:ascii="宋体" w:hAnsi="宋体"/>
          <w:sz w:val="24"/>
        </w:rPr>
        <w:t>的响应文件</w:t>
      </w:r>
      <w:r>
        <w:rPr>
          <w:rFonts w:hint="eastAsia" w:ascii="宋体" w:hAnsi="宋体"/>
          <w:sz w:val="24"/>
        </w:rPr>
        <w:t>中确定的事项签订书面合同，不得另行订立背离合同实质性内容的协议。成交人无正当理由拒签合同的，取消其成交资格，其保证金不予退还；给采购人造成的损失超过保证金数额的，成交人还应当对超过部分予以赔偿。</w:t>
      </w:r>
    </w:p>
    <w:p w14:paraId="36BA1E65">
      <w:pPr>
        <w:spacing w:line="360" w:lineRule="auto"/>
        <w:ind w:left="900" w:hanging="900"/>
        <w:rPr>
          <w:rFonts w:hint="eastAsia" w:ascii="宋体" w:hAnsi="宋体"/>
          <w:sz w:val="24"/>
        </w:rPr>
      </w:pPr>
      <w:r>
        <w:rPr>
          <w:rFonts w:hint="eastAsia" w:ascii="宋体" w:hAnsi="宋体"/>
          <w:sz w:val="24"/>
        </w:rPr>
        <w:t>27.2</w:t>
      </w:r>
      <w:r>
        <w:rPr>
          <w:rFonts w:hint="eastAsia" w:ascii="宋体" w:hAnsi="宋体"/>
          <w:sz w:val="24"/>
        </w:rPr>
        <w:tab/>
      </w:r>
      <w:r>
        <w:rPr>
          <w:rFonts w:hint="eastAsia" w:ascii="宋体" w:hAnsi="宋体"/>
          <w:sz w:val="24"/>
        </w:rPr>
        <w:t>采购文件、成交人的响应文件及其澄清文件、成交通知书等，均为签订合同的依据。</w:t>
      </w:r>
    </w:p>
    <w:p w14:paraId="1D2CD81E">
      <w:pPr>
        <w:pStyle w:val="6"/>
        <w:spacing w:before="200" w:line="360" w:lineRule="auto"/>
        <w:ind w:left="902" w:hanging="902"/>
        <w:rPr>
          <w:rFonts w:hint="eastAsia" w:hAnsi="宋体"/>
          <w:u w:val="none"/>
        </w:rPr>
      </w:pPr>
      <w:bookmarkStart w:id="150" w:name="_Toc130920534"/>
      <w:bookmarkStart w:id="151" w:name="_Toc518991943"/>
      <w:bookmarkStart w:id="152" w:name="_Toc142385520"/>
      <w:r>
        <w:rPr>
          <w:rFonts w:hint="eastAsia" w:hAnsi="宋体"/>
          <w:u w:val="none"/>
        </w:rPr>
        <w:t>28．履约保证金</w:t>
      </w:r>
      <w:bookmarkEnd w:id="150"/>
      <w:bookmarkEnd w:id="151"/>
      <w:bookmarkEnd w:id="152"/>
    </w:p>
    <w:p w14:paraId="5C6BBF0E">
      <w:pPr>
        <w:spacing w:line="360" w:lineRule="auto"/>
        <w:ind w:left="900" w:hanging="900"/>
        <w:rPr>
          <w:rFonts w:hint="eastAsia" w:ascii="宋体" w:hAnsi="宋体"/>
          <w:sz w:val="24"/>
        </w:rPr>
      </w:pPr>
      <w:r>
        <w:rPr>
          <w:rFonts w:hint="eastAsia" w:ascii="宋体" w:hAnsi="宋体"/>
          <w:sz w:val="24"/>
        </w:rPr>
        <w:t>28.1</w:t>
      </w:r>
      <w:r>
        <w:rPr>
          <w:rFonts w:hint="eastAsia" w:ascii="宋体" w:hAnsi="宋体"/>
          <w:sz w:val="24"/>
        </w:rPr>
        <w:tab/>
      </w:r>
      <w:r>
        <w:rPr>
          <w:rFonts w:hint="eastAsia" w:ascii="宋体" w:hAnsi="宋体"/>
          <w:sz w:val="24"/>
        </w:rPr>
        <w:t>详见付款方式。</w:t>
      </w:r>
    </w:p>
    <w:p w14:paraId="2C8D52DB">
      <w:pPr>
        <w:pStyle w:val="4"/>
        <w:spacing w:line="360" w:lineRule="auto"/>
        <w:rPr>
          <w:rFonts w:hint="eastAsia" w:ascii="宋体" w:hAnsi="宋体" w:eastAsia="宋体"/>
          <w:sz w:val="28"/>
          <w:szCs w:val="28"/>
        </w:rPr>
      </w:pPr>
      <w:bookmarkStart w:id="153" w:name="_Toc142385521"/>
      <w:bookmarkStart w:id="154" w:name="_Toc130920535"/>
      <w:bookmarkStart w:id="155" w:name="_Toc518991944"/>
      <w:r>
        <w:rPr>
          <w:rFonts w:hint="eastAsia" w:ascii="宋体" w:hAnsi="宋体" w:eastAsia="宋体"/>
          <w:sz w:val="28"/>
          <w:szCs w:val="28"/>
        </w:rPr>
        <w:t>七   其他</w:t>
      </w:r>
      <w:bookmarkEnd w:id="153"/>
      <w:bookmarkEnd w:id="154"/>
      <w:bookmarkEnd w:id="155"/>
    </w:p>
    <w:p w14:paraId="44B05C12">
      <w:pPr>
        <w:pStyle w:val="6"/>
        <w:spacing w:before="200" w:line="360" w:lineRule="auto"/>
        <w:ind w:left="902" w:hanging="902"/>
        <w:rPr>
          <w:rFonts w:hint="eastAsia" w:hAnsi="宋体"/>
          <w:u w:val="none"/>
        </w:rPr>
      </w:pPr>
      <w:bookmarkStart w:id="156" w:name="_Toc142385522"/>
      <w:bookmarkStart w:id="157" w:name="_Toc518991945"/>
      <w:bookmarkStart w:id="158" w:name="_Toc130920536"/>
      <w:r>
        <w:rPr>
          <w:rFonts w:hint="eastAsia" w:hAnsi="宋体"/>
          <w:u w:val="none"/>
        </w:rPr>
        <w:t>29．其他</w:t>
      </w:r>
      <w:bookmarkEnd w:id="156"/>
      <w:bookmarkEnd w:id="157"/>
      <w:bookmarkEnd w:id="158"/>
    </w:p>
    <w:p w14:paraId="3CC90770">
      <w:pPr>
        <w:pStyle w:val="5"/>
        <w:spacing w:line="360" w:lineRule="auto"/>
        <w:ind w:left="720" w:hanging="720" w:hangingChars="300"/>
        <w:rPr>
          <w:rFonts w:hint="eastAsia" w:hAnsi="宋体"/>
        </w:rPr>
      </w:pPr>
      <w:r>
        <w:rPr>
          <w:rFonts w:hint="eastAsia" w:hAnsi="宋体"/>
        </w:rPr>
        <w:t>29.1  出现下列情形之一的，采购单位将终止竞争性磋商采购活动，重新开展采购活动：</w:t>
      </w:r>
    </w:p>
    <w:p w14:paraId="072F38EB">
      <w:pPr>
        <w:pStyle w:val="5"/>
        <w:spacing w:line="360" w:lineRule="auto"/>
        <w:ind w:left="720" w:hanging="720" w:hangingChars="300"/>
        <w:rPr>
          <w:rFonts w:hint="eastAsia" w:hAnsi="宋体"/>
        </w:rPr>
      </w:pPr>
      <w:r>
        <w:rPr>
          <w:rFonts w:hint="eastAsia" w:hAnsi="宋体"/>
        </w:rPr>
        <w:t>29.1.1 因情况变化，不再符合规定的竞争性磋商采购方式适用情形的；</w:t>
      </w:r>
    </w:p>
    <w:p w14:paraId="39A7520F">
      <w:pPr>
        <w:pStyle w:val="5"/>
        <w:spacing w:line="360" w:lineRule="auto"/>
        <w:ind w:left="720" w:hanging="720" w:hangingChars="300"/>
        <w:rPr>
          <w:rFonts w:hint="eastAsia" w:hAnsi="宋体"/>
        </w:rPr>
      </w:pPr>
      <w:r>
        <w:rPr>
          <w:rFonts w:hint="eastAsia" w:hAnsi="宋体"/>
        </w:rPr>
        <w:t>29.1.2 出现影响采购公正的违法、违规行为的；</w:t>
      </w:r>
    </w:p>
    <w:p w14:paraId="6303D640">
      <w:pPr>
        <w:pStyle w:val="5"/>
        <w:spacing w:line="360" w:lineRule="auto"/>
        <w:ind w:left="720" w:hanging="720" w:hangingChars="300"/>
        <w:rPr>
          <w:rFonts w:hint="eastAsia" w:hAnsi="宋体" w:cs="宋体"/>
          <w:szCs w:val="21"/>
        </w:rPr>
      </w:pPr>
      <w:r>
        <w:rPr>
          <w:rFonts w:hint="eastAsia" w:hAnsi="宋体"/>
        </w:rPr>
        <w:t>29.1.3 除</w:t>
      </w:r>
      <w:r>
        <w:rPr>
          <w:rFonts w:hAnsi="宋体"/>
        </w:rPr>
        <w:t>《</w:t>
      </w:r>
      <w:r>
        <w:rPr>
          <w:rFonts w:hint="eastAsia" w:hAnsi="宋体"/>
        </w:rPr>
        <w:t>政府</w:t>
      </w:r>
      <w:r>
        <w:rPr>
          <w:rFonts w:hAnsi="宋体"/>
        </w:rPr>
        <w:t>采购竞争性磋商采购方式管理暂行办法》</w:t>
      </w:r>
      <w:r>
        <w:rPr>
          <w:rFonts w:hint="eastAsia" w:hAnsi="宋体"/>
        </w:rPr>
        <w:t>第</w:t>
      </w:r>
      <w:r>
        <w:rPr>
          <w:rFonts w:hAnsi="宋体"/>
        </w:rPr>
        <w:t>二十一条第三款</w:t>
      </w:r>
      <w:r>
        <w:rPr>
          <w:rFonts w:hint="eastAsia" w:hAnsi="宋体"/>
        </w:rPr>
        <w:t>规定</w:t>
      </w:r>
      <w:r>
        <w:rPr>
          <w:rFonts w:hAnsi="宋体"/>
        </w:rPr>
        <w:t>的</w:t>
      </w:r>
      <w:r>
        <w:rPr>
          <w:rFonts w:hint="eastAsia" w:hAnsi="宋体"/>
        </w:rPr>
        <w:t>情形</w:t>
      </w:r>
      <w:r>
        <w:rPr>
          <w:rFonts w:hAnsi="宋体"/>
        </w:rPr>
        <w:t>外，</w:t>
      </w:r>
      <w:r>
        <w:rPr>
          <w:rFonts w:hint="eastAsia" w:hAnsi="宋体"/>
        </w:rPr>
        <w:t>在采购过程中符合要求的供应商或者报价未超过采购预算的供应商不足3家的</w:t>
      </w:r>
      <w:r>
        <w:rPr>
          <w:rFonts w:hint="eastAsia" w:hAnsi="宋体" w:cs="宋体"/>
          <w:szCs w:val="21"/>
        </w:rPr>
        <w:t>。</w:t>
      </w:r>
    </w:p>
    <w:p w14:paraId="253F360F">
      <w:pPr>
        <w:pStyle w:val="5"/>
        <w:spacing w:line="360" w:lineRule="auto"/>
        <w:ind w:left="720" w:hanging="720" w:hangingChars="300"/>
        <w:rPr>
          <w:rFonts w:hint="eastAsia" w:hAnsi="宋体"/>
          <w:kern w:val="2"/>
          <w:szCs w:val="24"/>
        </w:rPr>
      </w:pPr>
      <w:r>
        <w:rPr>
          <w:rFonts w:hint="eastAsia" w:hAnsi="宋体" w:cs="宋体"/>
          <w:szCs w:val="21"/>
        </w:rPr>
        <w:t xml:space="preserve">29.2  </w:t>
      </w:r>
      <w:r>
        <w:rPr>
          <w:rFonts w:hint="eastAsia" w:hAnsi="宋体"/>
          <w:kern w:val="2"/>
          <w:szCs w:val="24"/>
        </w:rPr>
        <w:t>本采购文件的解释权属于采购人及其采购代理机构。</w:t>
      </w:r>
    </w:p>
    <w:p w14:paraId="63490BBE">
      <w:pPr>
        <w:pStyle w:val="5"/>
        <w:spacing w:line="440" w:lineRule="exact"/>
        <w:ind w:left="720" w:hanging="720" w:hangingChars="300"/>
        <w:rPr>
          <w:rFonts w:hint="eastAsia" w:hAnsi="宋体"/>
          <w:kern w:val="2"/>
          <w:szCs w:val="24"/>
        </w:rPr>
        <w:sectPr>
          <w:pgSz w:w="11906" w:h="16838"/>
          <w:pgMar w:top="1440" w:right="1797" w:bottom="1440" w:left="1797" w:header="851" w:footer="992" w:gutter="0"/>
          <w:cols w:space="720" w:num="1"/>
          <w:docGrid w:linePitch="312" w:charSpace="0"/>
        </w:sectPr>
      </w:pPr>
    </w:p>
    <w:p w14:paraId="29B81A22">
      <w:pPr>
        <w:pStyle w:val="3"/>
        <w:spacing w:before="100" w:beforeAutospacing="1" w:after="100" w:afterAutospacing="1" w:line="440" w:lineRule="exact"/>
        <w:ind w:left="425"/>
        <w:rPr>
          <w:rFonts w:hint="eastAsia" w:hAnsi="宋体"/>
        </w:rPr>
        <w:sectPr>
          <w:footerReference r:id="rId10" w:type="default"/>
          <w:pgSz w:w="11906" w:h="16838"/>
          <w:pgMar w:top="1418" w:right="1554" w:bottom="1418" w:left="1531" w:header="851" w:footer="992" w:gutter="0"/>
          <w:cols w:space="720" w:num="1"/>
          <w:titlePg/>
          <w:vAlign w:val="center"/>
          <w:docGrid w:type="lines" w:linePitch="312" w:charSpace="0"/>
        </w:sectPr>
      </w:pPr>
      <w:bookmarkStart w:id="159" w:name="_Toc142385523"/>
      <w:r>
        <w:rPr>
          <w:rFonts w:hint="eastAsia" w:hAnsi="宋体"/>
        </w:rPr>
        <w:t>第四章 技术标准和要求</w:t>
      </w:r>
      <w:bookmarkEnd w:id="159"/>
    </w:p>
    <w:p w14:paraId="03E141E9">
      <w:pPr>
        <w:widowControl/>
        <w:spacing w:line="360" w:lineRule="auto"/>
        <w:jc w:val="left"/>
        <w:rPr>
          <w:rFonts w:hint="eastAsia" w:ascii="宋体" w:hAnsi="宋体"/>
          <w:b/>
          <w:sz w:val="24"/>
        </w:rPr>
      </w:pPr>
      <w:r>
        <w:rPr>
          <w:rFonts w:hint="eastAsia" w:hAnsi="宋体"/>
        </w:rPr>
        <w:t>一</w:t>
      </w:r>
      <w:r>
        <w:rPr>
          <w:rFonts w:hint="eastAsia" w:ascii="宋体" w:hAnsi="宋体"/>
          <w:b/>
          <w:sz w:val="24"/>
        </w:rPr>
        <w:t>、关于分部分项工程技术规范的一般说明</w:t>
      </w:r>
    </w:p>
    <w:p w14:paraId="73AA3ECA">
      <w:pPr>
        <w:pStyle w:val="5"/>
        <w:spacing w:line="360" w:lineRule="auto"/>
        <w:ind w:firstLine="480"/>
      </w:pPr>
      <w:r>
        <w:rPr>
          <w:rFonts w:hint="eastAsia"/>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14:paraId="6537BF98">
      <w:pPr>
        <w:pStyle w:val="5"/>
        <w:spacing w:line="360" w:lineRule="auto"/>
        <w:ind w:firstLine="480"/>
      </w:pPr>
      <w:r>
        <w:rPr>
          <w:rFonts w:hint="eastAsia"/>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14:paraId="26BE1FEF">
      <w:pPr>
        <w:pStyle w:val="5"/>
        <w:spacing w:line="360" w:lineRule="auto"/>
        <w:ind w:firstLine="0"/>
        <w:rPr>
          <w:b/>
        </w:rPr>
      </w:pPr>
      <w:r>
        <w:rPr>
          <w:rFonts w:hint="eastAsia"/>
          <w:b/>
        </w:rPr>
        <w:t>二、国内目前可以直接引用其索引号的主要施工验收规范（包括但不限于）</w:t>
      </w:r>
    </w:p>
    <w:p w14:paraId="66DBD503">
      <w:pPr>
        <w:pStyle w:val="5"/>
        <w:spacing w:line="360" w:lineRule="auto"/>
        <w:ind w:firstLine="540" w:firstLineChars="225"/>
      </w:pPr>
      <w:r>
        <w:rPr>
          <w:rFonts w:hint="eastAsia"/>
        </w:rPr>
        <w:t>1.</w:t>
      </w:r>
      <w:r>
        <w:rPr>
          <w:rFonts w:hint="eastAsia"/>
        </w:rPr>
        <w:tab/>
      </w:r>
      <w:r>
        <w:rPr>
          <w:rFonts w:hint="eastAsia"/>
        </w:rPr>
        <w:t>工程测量规范(GBJ50026-93)</w:t>
      </w:r>
    </w:p>
    <w:p w14:paraId="1A87AEFB">
      <w:pPr>
        <w:pStyle w:val="5"/>
        <w:spacing w:line="360" w:lineRule="auto"/>
        <w:ind w:firstLine="540" w:firstLineChars="225"/>
      </w:pPr>
      <w:r>
        <w:rPr>
          <w:rFonts w:hint="eastAsia"/>
        </w:rPr>
        <w:t>2.</w:t>
      </w:r>
      <w:r>
        <w:rPr>
          <w:rFonts w:hint="eastAsia"/>
        </w:rPr>
        <w:tab/>
      </w:r>
      <w:r>
        <w:rPr>
          <w:rFonts w:hint="eastAsia"/>
        </w:rPr>
        <w:t xml:space="preserve">建筑地基基础施工质量验收规范(GB50202—2002) </w:t>
      </w:r>
    </w:p>
    <w:p w14:paraId="62509352">
      <w:pPr>
        <w:pStyle w:val="5"/>
        <w:spacing w:line="360" w:lineRule="auto"/>
        <w:ind w:firstLine="540" w:firstLineChars="225"/>
      </w:pPr>
      <w:r>
        <w:rPr>
          <w:rFonts w:hint="eastAsia"/>
        </w:rPr>
        <w:t>3.</w:t>
      </w:r>
      <w:r>
        <w:rPr>
          <w:rFonts w:hint="eastAsia"/>
        </w:rPr>
        <w:tab/>
      </w:r>
      <w:r>
        <w:rPr>
          <w:rFonts w:hint="eastAsia"/>
        </w:rPr>
        <w:t>混凝土结构工程施工质量验收规范(GB50204-2002)</w:t>
      </w:r>
    </w:p>
    <w:p w14:paraId="48309D36">
      <w:pPr>
        <w:pStyle w:val="5"/>
        <w:spacing w:line="360" w:lineRule="auto"/>
        <w:ind w:firstLine="540" w:firstLineChars="225"/>
      </w:pPr>
      <w:r>
        <w:rPr>
          <w:rFonts w:hint="eastAsia"/>
        </w:rPr>
        <w:t>4.</w:t>
      </w:r>
      <w:r>
        <w:rPr>
          <w:rFonts w:hint="eastAsia"/>
        </w:rPr>
        <w:tab/>
      </w:r>
      <w:r>
        <w:rPr>
          <w:rFonts w:hint="eastAsia"/>
        </w:rPr>
        <w:t>砌体工程施工质量验收规程(GB50203-2002)</w:t>
      </w:r>
    </w:p>
    <w:p w14:paraId="0C0BF417">
      <w:pPr>
        <w:pStyle w:val="5"/>
        <w:spacing w:line="360" w:lineRule="auto"/>
        <w:ind w:firstLine="540" w:firstLineChars="225"/>
      </w:pPr>
      <w:r>
        <w:rPr>
          <w:rFonts w:hint="eastAsia"/>
        </w:rPr>
        <w:t>5.</w:t>
      </w:r>
      <w:r>
        <w:rPr>
          <w:rFonts w:hint="eastAsia"/>
        </w:rPr>
        <w:tab/>
      </w:r>
      <w:r>
        <w:rPr>
          <w:rFonts w:hint="eastAsia"/>
        </w:rPr>
        <w:t>屋面工程质量验收规范(GB50207-2002)</w:t>
      </w:r>
    </w:p>
    <w:p w14:paraId="419FD72B">
      <w:pPr>
        <w:pStyle w:val="5"/>
        <w:spacing w:line="360" w:lineRule="auto"/>
        <w:ind w:firstLine="540" w:firstLineChars="225"/>
      </w:pPr>
      <w:r>
        <w:rPr>
          <w:rFonts w:hint="eastAsia"/>
        </w:rPr>
        <w:t>6.</w:t>
      </w:r>
      <w:r>
        <w:rPr>
          <w:rFonts w:hint="eastAsia"/>
        </w:rPr>
        <w:tab/>
      </w:r>
      <w:r>
        <w:rPr>
          <w:rFonts w:hint="eastAsia"/>
        </w:rPr>
        <w:t>钢筋焊接接头试验方法标准(JBJ/T127-2001)</w:t>
      </w:r>
    </w:p>
    <w:p w14:paraId="2C0E6B08">
      <w:pPr>
        <w:pStyle w:val="5"/>
        <w:spacing w:line="360" w:lineRule="auto"/>
        <w:ind w:firstLine="540" w:firstLineChars="225"/>
      </w:pPr>
      <w:r>
        <w:rPr>
          <w:rFonts w:hint="eastAsia"/>
        </w:rPr>
        <w:t>7.</w:t>
      </w:r>
      <w:r>
        <w:rPr>
          <w:rFonts w:hint="eastAsia"/>
        </w:rPr>
        <w:tab/>
      </w:r>
      <w:r>
        <w:rPr>
          <w:rFonts w:hint="eastAsia"/>
        </w:rPr>
        <w:t>钢筋焊接接头试验方法(JGJ27-86)</w:t>
      </w:r>
    </w:p>
    <w:p w14:paraId="402CE6A7">
      <w:pPr>
        <w:pStyle w:val="5"/>
        <w:spacing w:line="360" w:lineRule="auto"/>
        <w:ind w:firstLine="540" w:firstLineChars="225"/>
      </w:pPr>
      <w:r>
        <w:rPr>
          <w:rFonts w:hint="eastAsia"/>
        </w:rPr>
        <w:t>8.</w:t>
      </w:r>
      <w:r>
        <w:rPr>
          <w:rFonts w:hint="eastAsia"/>
        </w:rPr>
        <w:tab/>
      </w:r>
      <w:r>
        <w:rPr>
          <w:rFonts w:hint="eastAsia"/>
        </w:rPr>
        <w:t>建筑工程施工质量验收统一标准(GB50300-2001)</w:t>
      </w:r>
    </w:p>
    <w:p w14:paraId="159958DB">
      <w:pPr>
        <w:pStyle w:val="5"/>
        <w:spacing w:line="360" w:lineRule="auto"/>
        <w:ind w:firstLine="540" w:firstLineChars="225"/>
      </w:pPr>
      <w:r>
        <w:t>9</w:t>
      </w:r>
      <w:r>
        <w:rPr>
          <w:rFonts w:hint="eastAsia"/>
        </w:rPr>
        <w:t>.预应力混凝士构件质量检验评定标准(GBJ321-90)</w:t>
      </w:r>
    </w:p>
    <w:p w14:paraId="36F28846">
      <w:pPr>
        <w:pStyle w:val="5"/>
        <w:spacing w:line="360" w:lineRule="auto"/>
        <w:ind w:firstLine="540" w:firstLineChars="225"/>
      </w:pPr>
      <w:r>
        <w:rPr>
          <w:rFonts w:hint="eastAsia"/>
        </w:rPr>
        <w:t>1</w:t>
      </w:r>
      <w:r>
        <w:t>0</w:t>
      </w:r>
      <w:r>
        <w:rPr>
          <w:rFonts w:hint="eastAsia"/>
        </w:rPr>
        <w:t>.建筑防腐蚀工程质量检验评定标准(GB50224-95)</w:t>
      </w:r>
    </w:p>
    <w:p w14:paraId="1162C08C">
      <w:pPr>
        <w:pStyle w:val="5"/>
        <w:spacing w:line="360" w:lineRule="auto"/>
        <w:ind w:firstLine="540" w:firstLineChars="225"/>
      </w:pPr>
      <w:r>
        <w:rPr>
          <w:rFonts w:hint="eastAsia"/>
        </w:rPr>
        <w:t>1</w:t>
      </w:r>
      <w:r>
        <w:t>1</w:t>
      </w:r>
      <w:r>
        <w:rPr>
          <w:rFonts w:hint="eastAsia"/>
        </w:rPr>
        <w:t>.混凝土质量控制标准(GB50164-92)</w:t>
      </w:r>
    </w:p>
    <w:p w14:paraId="1481698B">
      <w:pPr>
        <w:pStyle w:val="5"/>
        <w:spacing w:line="360" w:lineRule="auto"/>
        <w:ind w:firstLine="540" w:firstLineChars="225"/>
      </w:pPr>
      <w:r>
        <w:rPr>
          <w:rFonts w:hint="eastAsia"/>
        </w:rPr>
        <w:t>1</w:t>
      </w:r>
      <w:r>
        <w:t>2</w:t>
      </w:r>
      <w:r>
        <w:rPr>
          <w:rFonts w:hint="eastAsia"/>
        </w:rPr>
        <w:t>.建筑地基基础设计规范(GB50007-2002)</w:t>
      </w:r>
    </w:p>
    <w:p w14:paraId="43BAB331">
      <w:pPr>
        <w:pStyle w:val="5"/>
        <w:spacing w:line="360" w:lineRule="auto"/>
        <w:ind w:firstLine="540" w:firstLineChars="225"/>
      </w:pPr>
      <w:r>
        <w:rPr>
          <w:rFonts w:hint="eastAsia"/>
        </w:rPr>
        <w:t>1</w:t>
      </w:r>
      <w:r>
        <w:t>3</w:t>
      </w:r>
      <w:r>
        <w:rPr>
          <w:rFonts w:hint="eastAsia"/>
        </w:rPr>
        <w:t>.回弹法检测混凝土抗压强度技术规程(JGJ/T23-2001)</w:t>
      </w:r>
    </w:p>
    <w:p w14:paraId="6C793364">
      <w:pPr>
        <w:pStyle w:val="5"/>
        <w:spacing w:line="360" w:lineRule="auto"/>
        <w:ind w:firstLine="540" w:firstLineChars="225"/>
      </w:pPr>
      <w:r>
        <w:rPr>
          <w:rFonts w:hint="eastAsia"/>
        </w:rPr>
        <w:t>1</w:t>
      </w:r>
      <w:r>
        <w:t>4</w:t>
      </w:r>
      <w:r>
        <w:rPr>
          <w:rFonts w:hint="eastAsia"/>
        </w:rPr>
        <w:t>.建筑施工安全检查办法(JGJ59-99)</w:t>
      </w:r>
    </w:p>
    <w:p w14:paraId="00B5864F">
      <w:pPr>
        <w:pStyle w:val="5"/>
        <w:spacing w:line="360" w:lineRule="auto"/>
        <w:ind w:firstLine="540" w:firstLineChars="225"/>
      </w:pPr>
      <w:r>
        <w:rPr>
          <w:rFonts w:hint="eastAsia"/>
        </w:rPr>
        <w:t>1</w:t>
      </w:r>
      <w:r>
        <w:t>5</w:t>
      </w:r>
      <w:r>
        <w:rPr>
          <w:rFonts w:hint="eastAsia"/>
        </w:rPr>
        <w:t>.建筑施工高处作业安全技术规程(JGJ80-91)</w:t>
      </w:r>
    </w:p>
    <w:p w14:paraId="4EEE254B">
      <w:pPr>
        <w:pStyle w:val="5"/>
        <w:spacing w:line="360" w:lineRule="auto"/>
        <w:ind w:firstLine="540" w:firstLineChars="225"/>
      </w:pPr>
      <w:r>
        <w:rPr>
          <w:rFonts w:hint="eastAsia"/>
        </w:rPr>
        <w:t>1</w:t>
      </w:r>
      <w:r>
        <w:t>6</w:t>
      </w:r>
      <w:r>
        <w:rPr>
          <w:rFonts w:hint="eastAsia"/>
        </w:rPr>
        <w:t>.建筑机械使用安全技术规程(JGJ33-20</w:t>
      </w:r>
      <w:r>
        <w:t>12</w:t>
      </w:r>
      <w:r>
        <w:rPr>
          <w:rFonts w:hint="eastAsia"/>
        </w:rPr>
        <w:t>)</w:t>
      </w:r>
    </w:p>
    <w:p w14:paraId="2119889D">
      <w:pPr>
        <w:pStyle w:val="5"/>
        <w:spacing w:line="360" w:lineRule="auto"/>
        <w:ind w:firstLine="540" w:firstLineChars="225"/>
      </w:pPr>
      <w:r>
        <w:rPr>
          <w:rFonts w:hint="eastAsia"/>
        </w:rPr>
        <w:t>1</w:t>
      </w:r>
      <w:r>
        <w:t>7</w:t>
      </w:r>
      <w:r>
        <w:rPr>
          <w:rFonts w:hint="eastAsia"/>
        </w:rPr>
        <w:t>.施工现场临时用电安全技术规程(JGJ46-88)</w:t>
      </w:r>
    </w:p>
    <w:p w14:paraId="6B9AB038">
      <w:pPr>
        <w:pStyle w:val="5"/>
        <w:spacing w:line="360" w:lineRule="auto"/>
        <w:ind w:firstLine="540" w:firstLineChars="225"/>
      </w:pPr>
      <w:r>
        <w:rPr>
          <w:rFonts w:hint="eastAsia"/>
        </w:rPr>
        <w:t>1</w:t>
      </w:r>
      <w:r>
        <w:t>8</w:t>
      </w:r>
      <w:r>
        <w:rPr>
          <w:rFonts w:hint="eastAsia"/>
        </w:rPr>
        <w:t>.建设工程施工现场供用电安全规范(GB50194-93)</w:t>
      </w:r>
    </w:p>
    <w:p w14:paraId="28675599">
      <w:pPr>
        <w:pStyle w:val="5"/>
        <w:spacing w:line="360" w:lineRule="auto"/>
        <w:ind w:firstLine="540" w:firstLineChars="225"/>
      </w:pPr>
      <w:r>
        <w:t>19</w:t>
      </w:r>
      <w:r>
        <w:rPr>
          <w:rFonts w:hint="eastAsia"/>
        </w:rPr>
        <w:t>.建筑电气安装工程质量检验评定标准(GBJ50303-2002)</w:t>
      </w:r>
    </w:p>
    <w:p w14:paraId="224AD9CB">
      <w:pPr>
        <w:pStyle w:val="5"/>
        <w:spacing w:line="360" w:lineRule="auto"/>
        <w:ind w:firstLine="540" w:firstLineChars="225"/>
        <w:sectPr>
          <w:pgSz w:w="11906" w:h="16838"/>
          <w:pgMar w:top="1418" w:right="1554" w:bottom="1418" w:left="1531" w:header="851" w:footer="992" w:gutter="0"/>
          <w:cols w:space="720" w:num="1"/>
          <w:titlePg/>
          <w:docGrid w:type="lines" w:linePitch="312" w:charSpace="0"/>
        </w:sectPr>
      </w:pPr>
    </w:p>
    <w:p w14:paraId="30B1F523">
      <w:pPr>
        <w:pStyle w:val="5"/>
        <w:spacing w:line="360" w:lineRule="auto"/>
        <w:ind w:firstLine="540" w:firstLineChars="225"/>
      </w:pPr>
      <w:r>
        <w:rPr>
          <w:rFonts w:hint="eastAsia"/>
        </w:rPr>
        <w:t>2</w:t>
      </w:r>
      <w:r>
        <w:t>0</w:t>
      </w:r>
      <w:r>
        <w:rPr>
          <w:rFonts w:hint="eastAsia"/>
        </w:rPr>
        <w:t>.火灾自动报警系统施工及验收规范(GB50166-92)</w:t>
      </w:r>
    </w:p>
    <w:p w14:paraId="36160F11">
      <w:pPr>
        <w:pStyle w:val="5"/>
        <w:spacing w:line="360" w:lineRule="auto"/>
        <w:ind w:firstLine="540" w:firstLineChars="225"/>
        <w:rPr>
          <w:rFonts w:hint="eastAsia" w:hAnsi="宋体"/>
        </w:rPr>
      </w:pPr>
      <w:r>
        <w:rPr>
          <w:rFonts w:hint="eastAsia" w:hAnsi="宋体"/>
        </w:rPr>
        <w:t>2</w:t>
      </w:r>
      <w:r>
        <w:rPr>
          <w:rFonts w:hAnsi="宋体"/>
        </w:rPr>
        <w:t>1</w:t>
      </w:r>
      <w:r>
        <w:rPr>
          <w:rFonts w:hint="eastAsia" w:hAnsi="宋体"/>
        </w:rPr>
        <w:t>.建筑设计防火规范（GB50016-2014）</w:t>
      </w:r>
    </w:p>
    <w:p w14:paraId="074CC05E">
      <w:pPr>
        <w:pStyle w:val="5"/>
        <w:spacing w:line="360" w:lineRule="auto"/>
        <w:ind w:firstLine="540" w:firstLineChars="225"/>
        <w:rPr>
          <w:rFonts w:hint="eastAsia" w:hAnsi="宋体"/>
        </w:rPr>
      </w:pPr>
      <w:r>
        <w:rPr>
          <w:rFonts w:hint="eastAsia" w:hAnsi="宋体"/>
        </w:rPr>
        <w:t>2</w:t>
      </w:r>
      <w:r>
        <w:rPr>
          <w:rFonts w:hAnsi="宋体"/>
        </w:rPr>
        <w:t>2.</w:t>
      </w:r>
      <w:r>
        <w:rPr>
          <w:rFonts w:hint="eastAsia" w:hAnsi="宋体"/>
        </w:rPr>
        <w:t>屋面工程技术规范（G</w:t>
      </w:r>
      <w:r>
        <w:rPr>
          <w:rFonts w:hAnsi="宋体"/>
        </w:rPr>
        <w:t>B50345-2012</w:t>
      </w:r>
      <w:r>
        <w:rPr>
          <w:rFonts w:hint="eastAsia" w:hAnsi="宋体"/>
        </w:rPr>
        <w:t>）</w:t>
      </w:r>
    </w:p>
    <w:p w14:paraId="267C8AAD">
      <w:pPr>
        <w:pStyle w:val="5"/>
        <w:spacing w:line="360" w:lineRule="auto"/>
        <w:ind w:firstLine="540" w:firstLineChars="225"/>
        <w:rPr>
          <w:rFonts w:hint="eastAsia" w:hAnsi="宋体"/>
        </w:rPr>
      </w:pPr>
      <w:r>
        <w:rPr>
          <w:rFonts w:hint="eastAsia" w:hAnsi="宋体"/>
        </w:rPr>
        <w:t>2</w:t>
      </w:r>
      <w:r>
        <w:rPr>
          <w:rFonts w:hAnsi="宋体"/>
        </w:rPr>
        <w:t>3.</w:t>
      </w:r>
      <w:r>
        <w:rPr>
          <w:rFonts w:hint="eastAsia" w:hAnsi="宋体"/>
        </w:rPr>
        <w:t>坡屋面工程技术规范（G</w:t>
      </w:r>
      <w:r>
        <w:rPr>
          <w:rFonts w:hAnsi="宋体"/>
        </w:rPr>
        <w:t>B50693-2011</w:t>
      </w:r>
      <w:r>
        <w:rPr>
          <w:rFonts w:hint="eastAsia" w:hAnsi="宋体"/>
        </w:rPr>
        <w:t>）</w:t>
      </w:r>
    </w:p>
    <w:p w14:paraId="12E0CEFD">
      <w:pPr>
        <w:pStyle w:val="5"/>
        <w:spacing w:line="360" w:lineRule="auto"/>
        <w:ind w:firstLine="540" w:firstLineChars="225"/>
        <w:rPr>
          <w:rFonts w:hint="eastAsia" w:hAnsi="宋体"/>
        </w:rPr>
      </w:pPr>
      <w:r>
        <w:rPr>
          <w:rFonts w:hint="eastAsia" w:hAnsi="宋体"/>
        </w:rPr>
        <w:t>2</w:t>
      </w:r>
      <w:r>
        <w:rPr>
          <w:rFonts w:hAnsi="宋体"/>
        </w:rPr>
        <w:t>4.</w:t>
      </w:r>
      <w:r>
        <w:rPr>
          <w:rFonts w:hint="eastAsia" w:hAnsi="宋体"/>
        </w:rPr>
        <w:t>建筑装饰装修工程质量验收规范（</w:t>
      </w:r>
      <w:r>
        <w:rPr>
          <w:rFonts w:hAnsi="宋体"/>
        </w:rPr>
        <w:t>GB50210-2018</w:t>
      </w:r>
      <w:r>
        <w:rPr>
          <w:rFonts w:hint="eastAsia" w:hAnsi="宋体"/>
        </w:rPr>
        <w:t>）</w:t>
      </w:r>
    </w:p>
    <w:p w14:paraId="557185F8">
      <w:pPr>
        <w:pStyle w:val="5"/>
        <w:spacing w:line="360" w:lineRule="auto"/>
        <w:ind w:firstLine="540" w:firstLineChars="225"/>
        <w:rPr>
          <w:rFonts w:hint="eastAsia" w:hAnsi="宋体"/>
        </w:rPr>
      </w:pPr>
      <w:r>
        <w:rPr>
          <w:rFonts w:hAnsi="宋体"/>
        </w:rPr>
        <w:t>25.</w:t>
      </w:r>
      <w:r>
        <w:rPr>
          <w:rFonts w:hint="eastAsia" w:hAnsi="宋体"/>
        </w:rPr>
        <w:t>金属与石材幕墙工程技术规范（</w:t>
      </w:r>
      <w:r>
        <w:rPr>
          <w:rFonts w:hAnsi="宋体"/>
        </w:rPr>
        <w:t>JGJ133-2001</w:t>
      </w:r>
      <w:r>
        <w:rPr>
          <w:rFonts w:hint="eastAsia" w:hAnsi="宋体"/>
        </w:rPr>
        <w:t>）</w:t>
      </w:r>
    </w:p>
    <w:p w14:paraId="7F2D4E8F">
      <w:pPr>
        <w:pStyle w:val="5"/>
        <w:spacing w:line="360" w:lineRule="auto"/>
        <w:ind w:firstLine="542" w:firstLineChars="225"/>
        <w:rPr>
          <w:b/>
        </w:rPr>
      </w:pPr>
      <w:r>
        <w:rPr>
          <w:b/>
        </w:rPr>
        <w:t>本工程应执行以上标准规范但并不仅限于此。以上标准所包含的条文，通过在本磋商文件中引用而构成技术规范的条文</w:t>
      </w:r>
      <w:r>
        <w:rPr>
          <w:rFonts w:hint="eastAsia"/>
          <w:b/>
        </w:rPr>
        <w:t>如上述标准过期，各供应商应主动按照相应的最新标准执行！</w:t>
      </w:r>
    </w:p>
    <w:p w14:paraId="082BD17E">
      <w:pPr>
        <w:pStyle w:val="5"/>
        <w:spacing w:line="360" w:lineRule="auto"/>
        <w:ind w:firstLine="0"/>
        <w:rPr>
          <w:b/>
        </w:rPr>
      </w:pPr>
      <w:r>
        <w:rPr>
          <w:rFonts w:hint="eastAsia"/>
          <w:b/>
        </w:rPr>
        <w:t>三、文明施工及安全保卫</w:t>
      </w:r>
    </w:p>
    <w:p w14:paraId="141086E6">
      <w:pPr>
        <w:pStyle w:val="5"/>
        <w:widowControl/>
        <w:numPr>
          <w:ilvl w:val="0"/>
          <w:numId w:val="5"/>
        </w:numPr>
        <w:tabs>
          <w:tab w:val="left" w:pos="0"/>
          <w:tab w:val="clear" w:pos="1066"/>
        </w:tabs>
        <w:autoSpaceDE/>
        <w:autoSpaceDN/>
        <w:adjustRightInd/>
        <w:spacing w:line="360" w:lineRule="auto"/>
        <w:ind w:left="0" w:firstLine="540"/>
      </w:pPr>
      <w:r>
        <w:rPr>
          <w:rFonts w:hint="eastAsia"/>
        </w:rPr>
        <w:t>施工期间应遵守建设方的各项规章制度，服从建设方管理。</w:t>
      </w:r>
    </w:p>
    <w:p w14:paraId="5913DAE7">
      <w:pPr>
        <w:pStyle w:val="5"/>
        <w:widowControl/>
        <w:numPr>
          <w:ilvl w:val="0"/>
          <w:numId w:val="5"/>
        </w:numPr>
        <w:tabs>
          <w:tab w:val="left" w:pos="0"/>
          <w:tab w:val="clear" w:pos="1066"/>
        </w:tabs>
        <w:autoSpaceDE/>
        <w:autoSpaceDN/>
        <w:adjustRightInd/>
        <w:spacing w:line="360" w:lineRule="auto"/>
        <w:ind w:left="0" w:firstLine="540"/>
      </w:pPr>
      <w:r>
        <w:rPr>
          <w:rFonts w:hint="eastAsia"/>
        </w:rPr>
        <w:t>施工期间负责施工范围内各种物品及人员的安全。</w:t>
      </w:r>
    </w:p>
    <w:p w14:paraId="69C1B658">
      <w:pPr>
        <w:pStyle w:val="5"/>
        <w:widowControl/>
        <w:numPr>
          <w:ilvl w:val="0"/>
          <w:numId w:val="5"/>
        </w:numPr>
        <w:tabs>
          <w:tab w:val="left" w:pos="0"/>
          <w:tab w:val="clear" w:pos="1066"/>
        </w:tabs>
        <w:autoSpaceDE/>
        <w:autoSpaceDN/>
        <w:adjustRightInd/>
        <w:spacing w:line="360" w:lineRule="auto"/>
        <w:ind w:left="0" w:firstLine="540"/>
      </w:pPr>
      <w:r>
        <w:rPr>
          <w:rFonts w:hint="eastAsia"/>
        </w:rPr>
        <w:t>施工期间施工人员应注意行为文明规范。</w:t>
      </w:r>
    </w:p>
    <w:p w14:paraId="477D336C">
      <w:pPr>
        <w:pStyle w:val="5"/>
        <w:tabs>
          <w:tab w:val="left" w:pos="0"/>
        </w:tabs>
        <w:spacing w:line="360" w:lineRule="auto"/>
        <w:ind w:firstLine="537" w:firstLineChars="224"/>
      </w:pPr>
      <w:r>
        <w:rPr>
          <w:rFonts w:hint="eastAsia"/>
        </w:rPr>
        <w:t>4.施工前承包人应和发包人签订安全协议。</w:t>
      </w:r>
    </w:p>
    <w:p w14:paraId="292A8DD4">
      <w:pPr>
        <w:autoSpaceDE w:val="0"/>
        <w:autoSpaceDN w:val="0"/>
        <w:adjustRightInd w:val="0"/>
        <w:spacing w:line="360" w:lineRule="auto"/>
        <w:jc w:val="left"/>
        <w:rPr>
          <w:rFonts w:ascii="宋体"/>
          <w:b/>
          <w:kern w:val="0"/>
          <w:sz w:val="24"/>
          <w:szCs w:val="20"/>
        </w:rPr>
      </w:pPr>
      <w:r>
        <w:rPr>
          <w:rFonts w:hint="eastAsia" w:ascii="宋体"/>
          <w:b/>
          <w:kern w:val="0"/>
          <w:sz w:val="24"/>
          <w:szCs w:val="20"/>
        </w:rPr>
        <w:t>四、招标具体内容说明</w:t>
      </w:r>
    </w:p>
    <w:p w14:paraId="608FBE74">
      <w:pPr>
        <w:pStyle w:val="5"/>
        <w:tabs>
          <w:tab w:val="left" w:pos="0"/>
        </w:tabs>
        <w:spacing w:line="360" w:lineRule="auto"/>
        <w:ind w:firstLine="537" w:firstLineChars="224"/>
      </w:pPr>
      <w:r>
        <w:rPr>
          <w:rFonts w:hint="eastAsia"/>
        </w:rPr>
        <w:t>工期为2</w:t>
      </w:r>
      <w:r>
        <w:t>0</w:t>
      </w:r>
      <w:r>
        <w:rPr>
          <w:rFonts w:hint="eastAsia"/>
        </w:rPr>
        <w:t>日历天，具体开工时间以双方签订合同时间为准。详见图纸及工程量清单。</w:t>
      </w:r>
    </w:p>
    <w:p w14:paraId="058A4A13">
      <w:pPr>
        <w:autoSpaceDE w:val="0"/>
        <w:autoSpaceDN w:val="0"/>
        <w:adjustRightInd w:val="0"/>
        <w:spacing w:line="360" w:lineRule="auto"/>
        <w:jc w:val="left"/>
        <w:rPr>
          <w:rFonts w:ascii="宋体"/>
          <w:b/>
          <w:kern w:val="0"/>
          <w:sz w:val="24"/>
          <w:szCs w:val="20"/>
        </w:rPr>
      </w:pPr>
      <w:r>
        <w:rPr>
          <w:rFonts w:hint="eastAsia" w:ascii="宋体"/>
          <w:b/>
          <w:kern w:val="0"/>
          <w:sz w:val="24"/>
          <w:szCs w:val="20"/>
        </w:rPr>
        <w:t>五、施工现场安全生产标准化要求</w:t>
      </w:r>
    </w:p>
    <w:p w14:paraId="25487DE4">
      <w:pPr>
        <w:spacing w:line="360" w:lineRule="auto"/>
        <w:ind w:firstLine="480" w:firstLineChars="200"/>
        <w:rPr>
          <w:rFonts w:hint="eastAsia" w:ascii="宋体" w:hAnsi="宋体" w:cs="Arial"/>
          <w:sz w:val="24"/>
        </w:rPr>
      </w:pPr>
      <w:r>
        <w:rPr>
          <w:rFonts w:hint="eastAsia" w:ascii="宋体" w:hAnsi="宋体"/>
          <w:sz w:val="24"/>
        </w:rPr>
        <w:t>质量标准：</w:t>
      </w:r>
      <w:r>
        <w:rPr>
          <w:rFonts w:ascii="黑体" w:hAnsi="黑体" w:eastAsia="黑体"/>
          <w:sz w:val="24"/>
          <w:u w:val="single"/>
        </w:rPr>
        <w:t xml:space="preserve">  </w:t>
      </w:r>
      <w:r>
        <w:rPr>
          <w:rFonts w:hint="eastAsia" w:ascii="黑体" w:hAnsi="黑体" w:eastAsia="黑体"/>
          <w:sz w:val="24"/>
          <w:u w:val="single"/>
        </w:rPr>
        <w:t>合格</w:t>
      </w:r>
      <w:r>
        <w:rPr>
          <w:rFonts w:ascii="黑体" w:hAnsi="黑体" w:eastAsia="黑体"/>
          <w:sz w:val="24"/>
          <w:u w:val="single"/>
        </w:rPr>
        <w:t xml:space="preserve">  </w:t>
      </w:r>
    </w:p>
    <w:p w14:paraId="69125623">
      <w:pPr>
        <w:spacing w:line="360" w:lineRule="auto"/>
        <w:ind w:firstLine="480" w:firstLineChars="200"/>
        <w:rPr>
          <w:rFonts w:hint="eastAsia" w:ascii="黑体" w:hAnsi="黑体" w:eastAsia="黑体"/>
          <w:sz w:val="24"/>
          <w:u w:val="single"/>
        </w:rPr>
      </w:pPr>
      <w:r>
        <w:rPr>
          <w:rFonts w:hint="eastAsia" w:ascii="宋体" w:hAnsi="宋体" w:cs="Arial"/>
          <w:sz w:val="24"/>
        </w:rPr>
        <w:t>施工现场安全生产标准化管理目标等级</w:t>
      </w:r>
      <w:r>
        <w:rPr>
          <w:rFonts w:hint="eastAsia" w:ascii="黑体" w:hAnsi="黑体" w:eastAsia="黑体"/>
          <w:sz w:val="24"/>
          <w:u w:val="single"/>
        </w:rPr>
        <w:t xml:space="preserve"> </w:t>
      </w:r>
      <w:r>
        <w:rPr>
          <w:rFonts w:ascii="黑体" w:hAnsi="黑体" w:eastAsia="黑体"/>
          <w:sz w:val="24"/>
          <w:u w:val="single"/>
        </w:rPr>
        <w:t xml:space="preserve">  </w:t>
      </w:r>
      <w:r>
        <w:rPr>
          <w:rFonts w:hint="eastAsia" w:ascii="黑体" w:hAnsi="黑体" w:eastAsia="黑体"/>
          <w:sz w:val="24"/>
          <w:u w:val="single"/>
        </w:rPr>
        <w:t>达标</w:t>
      </w:r>
      <w:r>
        <w:rPr>
          <w:rFonts w:ascii="黑体" w:hAnsi="黑体" w:eastAsia="黑体"/>
          <w:sz w:val="24"/>
          <w:u w:val="single"/>
        </w:rPr>
        <w:t xml:space="preserve">     </w:t>
      </w:r>
      <w:r>
        <w:rPr>
          <w:rFonts w:hint="eastAsia" w:ascii="黑体" w:hAnsi="黑体" w:eastAsia="黑体"/>
          <w:sz w:val="24"/>
        </w:rPr>
        <w:t>。</w:t>
      </w:r>
    </w:p>
    <w:p w14:paraId="7F7F7366">
      <w:pPr>
        <w:spacing w:line="360" w:lineRule="auto"/>
        <w:ind w:firstLine="480" w:firstLineChars="200"/>
        <w:rPr>
          <w:rFonts w:hint="eastAsia" w:ascii="宋体" w:hAnsi="宋体" w:cs="Arial"/>
          <w:sz w:val="24"/>
          <w:shd w:val="clear" w:color="auto" w:fill="FFFFFF"/>
        </w:rPr>
      </w:pPr>
      <w:r>
        <w:rPr>
          <w:rFonts w:hint="eastAsia" w:ascii="宋体" w:hAnsi="宋体" w:cs="Arial"/>
          <w:sz w:val="24"/>
          <w:shd w:val="clear" w:color="auto" w:fill="FFFFFF"/>
        </w:rPr>
        <w:t>现行施工现场安全生产标准化分级管理标准：《北京市建设工程施工现场安全生产标准化管理图集》（2020版）。</w:t>
      </w:r>
    </w:p>
    <w:p w14:paraId="32449160">
      <w:pPr>
        <w:spacing w:line="360" w:lineRule="auto"/>
        <w:ind w:firstLine="480" w:firstLineChars="200"/>
        <w:rPr>
          <w:rFonts w:hint="eastAsia" w:ascii="宋体" w:hAnsi="宋体" w:cs="Arial"/>
          <w:sz w:val="24"/>
          <w:u w:val="single"/>
          <w:shd w:val="clear" w:color="auto" w:fill="FFFFFF"/>
        </w:rPr>
      </w:pPr>
      <w:r>
        <w:rPr>
          <w:rFonts w:hint="eastAsia" w:ascii="宋体" w:hAnsi="宋体" w:cs="Arial"/>
          <w:sz w:val="24"/>
          <w:shd w:val="clear" w:color="auto" w:fill="FFFFFF"/>
        </w:rPr>
        <w:t>特殊安全文明施工措施要求：</w:t>
      </w:r>
      <w:r>
        <w:rPr>
          <w:rFonts w:ascii="宋体" w:hAnsi="宋体" w:cs="Arial"/>
          <w:sz w:val="24"/>
          <w:u w:val="single"/>
          <w:shd w:val="clear" w:color="auto" w:fill="FFFFFF"/>
        </w:rPr>
        <w:t xml:space="preserve">  无 </w:t>
      </w:r>
    </w:p>
    <w:p w14:paraId="7462BD8C">
      <w:pPr>
        <w:spacing w:line="360" w:lineRule="auto"/>
        <w:ind w:firstLine="480" w:firstLineChars="200"/>
        <w:rPr>
          <w:rFonts w:hint="eastAsia" w:ascii="宋体" w:hAnsi="宋体" w:cs="Arial"/>
          <w:sz w:val="24"/>
          <w:shd w:val="clear" w:color="auto" w:fill="FFFFFF"/>
        </w:rPr>
      </w:pPr>
    </w:p>
    <w:p w14:paraId="15B4307E">
      <w:pPr>
        <w:spacing w:line="360" w:lineRule="auto"/>
        <w:ind w:firstLine="480" w:firstLineChars="200"/>
        <w:rPr>
          <w:rFonts w:hint="eastAsia" w:ascii="宋体" w:hAnsi="宋体" w:cs="Arial"/>
          <w:sz w:val="24"/>
          <w:u w:val="single"/>
          <w:shd w:val="clear" w:color="auto" w:fill="FFFFFF"/>
        </w:rPr>
        <w:sectPr>
          <w:pgSz w:w="11906" w:h="16838"/>
          <w:pgMar w:top="1418" w:right="1554" w:bottom="1418" w:left="1531" w:header="851" w:footer="992" w:gutter="0"/>
          <w:cols w:space="720" w:num="1"/>
          <w:titlePg/>
          <w:docGrid w:linePitch="312" w:charSpace="0"/>
        </w:sectPr>
      </w:pPr>
    </w:p>
    <w:p w14:paraId="258D9859">
      <w:r>
        <w:rPr>
          <w:rFonts w:hint="eastAsia"/>
          <w:b/>
        </w:rPr>
        <w:t>附表一</w:t>
      </w:r>
      <w:r>
        <w:rPr>
          <w:rFonts w:hint="eastAsia"/>
        </w:rPr>
        <w:t>：</w:t>
      </w:r>
    </w:p>
    <w:p w14:paraId="441A5A4F"/>
    <w:p w14:paraId="42076995">
      <w:pPr>
        <w:jc w:val="center"/>
        <w:rPr>
          <w:b/>
          <w:bCs/>
        </w:rPr>
      </w:pPr>
      <w:r>
        <w:rPr>
          <w:rFonts w:hint="eastAsia"/>
          <w:b/>
          <w:bCs/>
        </w:rPr>
        <w:t>磋商控制价明细</w:t>
      </w:r>
    </w:p>
    <w:p w14:paraId="316A4DA6">
      <w:pPr>
        <w:jc w:val="center"/>
        <w:rPr>
          <w:b/>
          <w:bCs/>
        </w:rPr>
      </w:pPr>
    </w:p>
    <w:p w14:paraId="5631AEF2">
      <w:pPr>
        <w:numPr>
          <w:ilvl w:val="0"/>
          <w:numId w:val="6"/>
        </w:numPr>
        <w:spacing w:line="360" w:lineRule="auto"/>
        <w:rPr>
          <w:rFonts w:ascii="宋体"/>
          <w:kern w:val="0"/>
          <w:sz w:val="24"/>
          <w:szCs w:val="20"/>
        </w:rPr>
      </w:pPr>
      <w:r>
        <w:rPr>
          <w:rFonts w:hint="eastAsia" w:ascii="宋体"/>
          <w:kern w:val="0"/>
          <w:sz w:val="24"/>
          <w:szCs w:val="20"/>
        </w:rPr>
        <w:t>本项目磋商控制价为：</w:t>
      </w:r>
      <w:r>
        <w:rPr>
          <w:rFonts w:hint="eastAsia" w:ascii="宋体" w:hAnsi="宋体"/>
          <w:sz w:val="24"/>
          <w:u w:val="single"/>
        </w:rPr>
        <w:t xml:space="preserve"> 742135.63</w:t>
      </w:r>
      <w:r>
        <w:rPr>
          <w:rFonts w:hint="eastAsia" w:ascii="宋体" w:hAnsi="宋体"/>
          <w:sz w:val="24"/>
        </w:rPr>
        <w:t>元</w:t>
      </w:r>
    </w:p>
    <w:p w14:paraId="4B116B5B">
      <w:pPr>
        <w:spacing w:line="360" w:lineRule="auto"/>
        <w:ind w:firstLine="720" w:firstLineChars="300"/>
        <w:rPr>
          <w:rFonts w:ascii="宋体"/>
          <w:kern w:val="0"/>
          <w:sz w:val="24"/>
          <w:szCs w:val="20"/>
        </w:rPr>
      </w:pPr>
      <w:r>
        <w:rPr>
          <w:rFonts w:hint="eastAsia" w:ascii="宋体"/>
          <w:kern w:val="0"/>
          <w:sz w:val="24"/>
          <w:szCs w:val="20"/>
        </w:rPr>
        <w:t>分部分项工程合价为：</w:t>
      </w:r>
      <w:r>
        <w:rPr>
          <w:rFonts w:hint="eastAsia" w:ascii="宋体"/>
          <w:kern w:val="0"/>
          <w:sz w:val="24"/>
          <w:szCs w:val="20"/>
          <w:u w:val="single"/>
        </w:rPr>
        <w:t xml:space="preserve"> </w:t>
      </w:r>
      <w:r>
        <w:rPr>
          <w:rFonts w:ascii="宋体"/>
          <w:kern w:val="0"/>
          <w:sz w:val="24"/>
          <w:szCs w:val="20"/>
          <w:u w:val="single"/>
        </w:rPr>
        <w:t xml:space="preserve">610184.71 </w:t>
      </w:r>
      <w:r>
        <w:rPr>
          <w:rFonts w:hint="eastAsia" w:ascii="宋体"/>
          <w:kern w:val="0"/>
          <w:sz w:val="24"/>
          <w:szCs w:val="20"/>
        </w:rPr>
        <w:t>元</w:t>
      </w:r>
    </w:p>
    <w:p w14:paraId="76505C0B">
      <w:pPr>
        <w:spacing w:line="360" w:lineRule="auto"/>
        <w:rPr>
          <w:rFonts w:ascii="宋体"/>
          <w:kern w:val="0"/>
          <w:sz w:val="24"/>
          <w:szCs w:val="20"/>
        </w:rPr>
      </w:pPr>
      <w:r>
        <w:rPr>
          <w:rFonts w:hint="eastAsia" w:ascii="宋体"/>
          <w:kern w:val="0"/>
          <w:sz w:val="24"/>
          <w:szCs w:val="20"/>
        </w:rPr>
        <w:t xml:space="preserve">      措施项目合价为: </w:t>
      </w:r>
      <w:r>
        <w:rPr>
          <w:rFonts w:ascii="宋体"/>
          <w:kern w:val="0"/>
          <w:sz w:val="24"/>
          <w:szCs w:val="20"/>
          <w:u w:val="single"/>
        </w:rPr>
        <w:t>70673.67</w:t>
      </w:r>
      <w:r>
        <w:rPr>
          <w:rFonts w:hint="eastAsia" w:ascii="宋体"/>
          <w:kern w:val="0"/>
          <w:sz w:val="24"/>
          <w:szCs w:val="20"/>
        </w:rPr>
        <w:t>元</w:t>
      </w:r>
    </w:p>
    <w:p w14:paraId="1B9F7652">
      <w:pPr>
        <w:spacing w:line="360" w:lineRule="auto"/>
        <w:rPr>
          <w:rFonts w:ascii="宋体"/>
          <w:kern w:val="0"/>
          <w:sz w:val="24"/>
          <w:szCs w:val="20"/>
        </w:rPr>
      </w:pPr>
      <w:r>
        <w:rPr>
          <w:rFonts w:hint="eastAsia" w:ascii="宋体"/>
          <w:kern w:val="0"/>
          <w:sz w:val="24"/>
          <w:szCs w:val="20"/>
        </w:rPr>
        <w:t xml:space="preserve">          其中：安全文明施工费</w:t>
      </w:r>
      <w:r>
        <w:rPr>
          <w:rFonts w:hint="eastAsia" w:ascii="宋体"/>
          <w:kern w:val="0"/>
          <w:sz w:val="24"/>
          <w:szCs w:val="20"/>
          <w:u w:val="single"/>
        </w:rPr>
        <w:tab/>
      </w:r>
      <w:r>
        <w:rPr>
          <w:rFonts w:hint="eastAsia" w:ascii="宋体"/>
          <w:kern w:val="0"/>
          <w:sz w:val="24"/>
          <w:szCs w:val="20"/>
          <w:u w:val="single"/>
        </w:rPr>
        <w:t>29768.46</w:t>
      </w:r>
      <w:r>
        <w:rPr>
          <w:rFonts w:hint="eastAsia" w:ascii="宋体"/>
          <w:kern w:val="0"/>
          <w:sz w:val="24"/>
          <w:szCs w:val="20"/>
          <w:u w:val="single"/>
        </w:rPr>
        <w:tab/>
      </w:r>
      <w:r>
        <w:rPr>
          <w:rFonts w:hint="eastAsia" w:ascii="宋体"/>
          <w:kern w:val="0"/>
          <w:sz w:val="24"/>
          <w:szCs w:val="20"/>
        </w:rPr>
        <w:t>元</w:t>
      </w:r>
    </w:p>
    <w:p w14:paraId="6FDCE299">
      <w:pPr>
        <w:spacing w:line="360" w:lineRule="auto"/>
        <w:ind w:firstLine="1200" w:firstLineChars="500"/>
        <w:rPr>
          <w:rFonts w:ascii="宋体"/>
          <w:kern w:val="0"/>
          <w:sz w:val="24"/>
          <w:szCs w:val="20"/>
        </w:rPr>
      </w:pPr>
      <w:r>
        <w:rPr>
          <w:rFonts w:hint="eastAsia" w:ascii="宋体"/>
          <w:kern w:val="0"/>
          <w:sz w:val="24"/>
          <w:szCs w:val="20"/>
        </w:rPr>
        <w:t>其中：施工垃圾场外运输和消纳费</w:t>
      </w:r>
      <w:r>
        <w:rPr>
          <w:rFonts w:hint="eastAsia" w:ascii="宋体"/>
          <w:kern w:val="0"/>
          <w:sz w:val="24"/>
          <w:szCs w:val="20"/>
          <w:u w:val="single"/>
        </w:rPr>
        <w:tab/>
      </w:r>
      <w:r>
        <w:rPr>
          <w:rFonts w:hint="eastAsia" w:ascii="宋体"/>
          <w:kern w:val="0"/>
          <w:sz w:val="24"/>
          <w:szCs w:val="20"/>
          <w:u w:val="single"/>
        </w:rPr>
        <w:t>2165.98</w:t>
      </w:r>
      <w:r>
        <w:rPr>
          <w:rFonts w:hint="eastAsia" w:ascii="宋体"/>
          <w:kern w:val="0"/>
          <w:sz w:val="24"/>
          <w:szCs w:val="20"/>
        </w:rPr>
        <w:t>元</w:t>
      </w:r>
    </w:p>
    <w:p w14:paraId="7AB5577F">
      <w:pPr>
        <w:spacing w:line="360" w:lineRule="auto"/>
        <w:rPr>
          <w:rFonts w:ascii="宋体"/>
          <w:kern w:val="0"/>
          <w:sz w:val="24"/>
          <w:szCs w:val="20"/>
        </w:rPr>
      </w:pPr>
      <w:r>
        <w:rPr>
          <w:rFonts w:hint="eastAsia" w:ascii="宋体"/>
          <w:kern w:val="0"/>
          <w:sz w:val="24"/>
          <w:szCs w:val="20"/>
        </w:rPr>
        <w:t xml:space="preserve">      税金合价为：</w:t>
      </w:r>
      <w:r>
        <w:rPr>
          <w:rFonts w:ascii="宋体"/>
          <w:kern w:val="0"/>
          <w:sz w:val="24"/>
          <w:szCs w:val="20"/>
          <w:u w:val="single"/>
        </w:rPr>
        <w:t>61277.25</w:t>
      </w:r>
      <w:r>
        <w:rPr>
          <w:rFonts w:ascii="宋体"/>
          <w:kern w:val="0"/>
          <w:sz w:val="24"/>
          <w:szCs w:val="20"/>
          <w:u w:val="single"/>
        </w:rPr>
        <w:tab/>
      </w:r>
      <w:r>
        <w:rPr>
          <w:rFonts w:hint="eastAsia" w:ascii="宋体"/>
          <w:kern w:val="0"/>
          <w:sz w:val="24"/>
          <w:szCs w:val="20"/>
          <w:u w:val="single"/>
        </w:rPr>
        <w:t xml:space="preserve"> </w:t>
      </w:r>
      <w:r>
        <w:rPr>
          <w:rFonts w:hint="eastAsia" w:ascii="宋体"/>
          <w:kern w:val="0"/>
          <w:sz w:val="24"/>
          <w:szCs w:val="20"/>
        </w:rPr>
        <w:t>元</w:t>
      </w:r>
    </w:p>
    <w:p w14:paraId="325C6A9C">
      <w:pPr>
        <w:spacing w:line="360" w:lineRule="auto"/>
        <w:rPr>
          <w:rFonts w:ascii="宋体"/>
          <w:kern w:val="0"/>
          <w:sz w:val="24"/>
          <w:szCs w:val="20"/>
        </w:rPr>
      </w:pPr>
      <w:r>
        <w:rPr>
          <w:rFonts w:hint="eastAsia" w:ascii="宋体"/>
          <w:kern w:val="0"/>
          <w:sz w:val="24"/>
          <w:szCs w:val="20"/>
        </w:rPr>
        <w:t xml:space="preserve">    其他需要说明的问题：</w:t>
      </w:r>
    </w:p>
    <w:p w14:paraId="1E72BA1E">
      <w:pPr>
        <w:spacing w:line="360" w:lineRule="auto"/>
        <w:ind w:firstLine="480" w:firstLineChars="200"/>
        <w:rPr>
          <w:rFonts w:ascii="宋体"/>
          <w:kern w:val="0"/>
          <w:sz w:val="24"/>
          <w:szCs w:val="20"/>
        </w:rPr>
      </w:pPr>
      <w:r>
        <w:rPr>
          <w:rFonts w:hint="eastAsia" w:ascii="宋体"/>
          <w:kern w:val="0"/>
          <w:sz w:val="24"/>
          <w:szCs w:val="20"/>
        </w:rPr>
        <w:t xml:space="preserve"> 2.1 采购人给定的材料和工程设备暂估价合计金额：</w:t>
      </w:r>
      <w:r>
        <w:rPr>
          <w:rFonts w:ascii="宋体"/>
          <w:kern w:val="0"/>
          <w:sz w:val="24"/>
          <w:szCs w:val="20"/>
          <w:u w:val="single"/>
        </w:rPr>
        <w:t xml:space="preserve">/ </w:t>
      </w:r>
      <w:r>
        <w:rPr>
          <w:rFonts w:hint="eastAsia" w:ascii="宋体"/>
          <w:kern w:val="0"/>
          <w:sz w:val="24"/>
          <w:szCs w:val="20"/>
        </w:rPr>
        <w:t>元，详见工程量清单中《材料和工程设备暂估价表》。</w:t>
      </w:r>
    </w:p>
    <w:p w14:paraId="14E3455E">
      <w:pPr>
        <w:spacing w:line="360" w:lineRule="auto"/>
        <w:ind w:firstLine="480" w:firstLineChars="200"/>
        <w:rPr>
          <w:rFonts w:ascii="宋体"/>
          <w:kern w:val="0"/>
          <w:sz w:val="24"/>
          <w:szCs w:val="20"/>
        </w:rPr>
        <w:sectPr>
          <w:pgSz w:w="11906" w:h="16838"/>
          <w:pgMar w:top="1418" w:right="1554" w:bottom="1418" w:left="1531" w:header="851" w:footer="992" w:gutter="0"/>
          <w:cols w:space="720" w:num="1"/>
          <w:titlePg/>
          <w:docGrid w:linePitch="312" w:charSpace="0"/>
        </w:sectPr>
      </w:pPr>
    </w:p>
    <w:p w14:paraId="6B53EE25">
      <w:pPr>
        <w:pStyle w:val="3"/>
        <w:spacing w:before="100" w:beforeAutospacing="1" w:after="100" w:afterAutospacing="1" w:line="440" w:lineRule="exact"/>
        <w:rPr>
          <w:rFonts w:hint="eastAsia" w:hAnsi="宋体"/>
        </w:rPr>
      </w:pPr>
      <w:bookmarkStart w:id="160" w:name="_Toc142385524"/>
      <w:r>
        <w:rPr>
          <w:rFonts w:hint="eastAsia" w:hAnsi="宋体"/>
        </w:rPr>
        <w:t>第五章 合同格式</w:t>
      </w:r>
      <w:bookmarkEnd w:id="160"/>
    </w:p>
    <w:p w14:paraId="18494CFC">
      <w:pPr>
        <w:widowControl/>
        <w:jc w:val="left"/>
        <w:rPr>
          <w:rFonts w:hint="eastAsia" w:ascii="宋体" w:hAnsi="宋体"/>
          <w:b/>
          <w:kern w:val="44"/>
          <w:sz w:val="32"/>
          <w:szCs w:val="20"/>
        </w:rPr>
      </w:pPr>
      <w:r>
        <w:rPr>
          <w:rFonts w:hAnsi="宋体"/>
        </w:rPr>
        <w:br w:type="page"/>
      </w:r>
    </w:p>
    <w:p w14:paraId="490CE099">
      <w:pPr>
        <w:pStyle w:val="417"/>
        <w:spacing w:before="120" w:after="120"/>
        <w:ind w:firstLine="0" w:firstLineChars="0"/>
        <w:sectPr>
          <w:footerReference r:id="rId11" w:type="default"/>
          <w:pgSz w:w="11906" w:h="16838"/>
          <w:pgMar w:top="1588" w:right="1588" w:bottom="1588" w:left="1588" w:header="851" w:footer="851" w:gutter="0"/>
          <w:cols w:space="720" w:num="1"/>
          <w:vAlign w:val="center"/>
          <w:docGrid w:linePitch="312" w:charSpace="0"/>
        </w:sectPr>
      </w:pPr>
    </w:p>
    <w:p w14:paraId="1C4A0928"/>
    <w:p w14:paraId="5F4E1547"/>
    <w:p w14:paraId="51932526"/>
    <w:p w14:paraId="15051346"/>
    <w:p w14:paraId="2EA4A003">
      <w:pPr>
        <w:jc w:val="center"/>
        <w:rPr>
          <w:rFonts w:hint="eastAsia" w:ascii="宋体" w:hAnsi="宋体" w:cs="宋体"/>
          <w:b/>
          <w:sz w:val="36"/>
          <w:szCs w:val="36"/>
          <w:u w:val="single"/>
        </w:rPr>
      </w:pPr>
    </w:p>
    <w:p w14:paraId="6F6CF220">
      <w:pPr>
        <w:jc w:val="center"/>
        <w:rPr>
          <w:rFonts w:hint="eastAsia" w:ascii="宋体" w:hAnsi="宋体" w:cs="宋体"/>
          <w:b/>
          <w:sz w:val="36"/>
          <w:szCs w:val="36"/>
          <w:u w:val="single"/>
        </w:rPr>
      </w:pPr>
    </w:p>
    <w:p w14:paraId="7EC1308E">
      <w:pPr>
        <w:jc w:val="center"/>
        <w:rPr>
          <w:rFonts w:hint="eastAsia" w:ascii="宋体" w:hAnsi="宋体" w:cs="宋体"/>
          <w:b/>
          <w:sz w:val="36"/>
          <w:szCs w:val="36"/>
          <w:u w:val="single"/>
        </w:rPr>
      </w:pPr>
      <w:r>
        <w:rPr>
          <w:rFonts w:hint="eastAsia" w:ascii="宋体" w:hAnsi="宋体" w:cs="宋体"/>
          <w:b/>
          <w:sz w:val="36"/>
          <w:szCs w:val="36"/>
          <w:u w:val="single"/>
        </w:rPr>
        <w:t>久凌大厦南楼五层改造工程</w:t>
      </w:r>
    </w:p>
    <w:p w14:paraId="5470A667">
      <w:pPr>
        <w:jc w:val="center"/>
        <w:rPr>
          <w:b/>
          <w:sz w:val="36"/>
          <w:szCs w:val="36"/>
        </w:rPr>
      </w:pPr>
    </w:p>
    <w:p w14:paraId="00ACB023">
      <w:pPr>
        <w:jc w:val="center"/>
        <w:rPr>
          <w:b/>
          <w:sz w:val="36"/>
          <w:szCs w:val="36"/>
        </w:rPr>
      </w:pPr>
    </w:p>
    <w:p w14:paraId="7BEDE5B5">
      <w:pPr>
        <w:jc w:val="center"/>
        <w:rPr>
          <w:b/>
          <w:sz w:val="36"/>
          <w:szCs w:val="36"/>
        </w:rPr>
      </w:pPr>
    </w:p>
    <w:p w14:paraId="70925D65">
      <w:pPr>
        <w:jc w:val="center"/>
        <w:rPr>
          <w:b/>
          <w:sz w:val="44"/>
          <w:szCs w:val="44"/>
        </w:rPr>
      </w:pPr>
      <w:r>
        <w:rPr>
          <w:rFonts w:hint="eastAsia"/>
          <w:b/>
          <w:sz w:val="44"/>
          <w:szCs w:val="44"/>
        </w:rPr>
        <w:t>施工合同文件</w:t>
      </w:r>
    </w:p>
    <w:p w14:paraId="3A15CED2">
      <w:pPr>
        <w:jc w:val="center"/>
        <w:rPr>
          <w:b/>
          <w:sz w:val="36"/>
          <w:szCs w:val="36"/>
        </w:rPr>
      </w:pPr>
    </w:p>
    <w:p w14:paraId="71AC341D">
      <w:pPr>
        <w:jc w:val="center"/>
        <w:rPr>
          <w:b/>
          <w:sz w:val="36"/>
          <w:szCs w:val="36"/>
        </w:rPr>
      </w:pPr>
    </w:p>
    <w:p w14:paraId="765836F7">
      <w:pPr>
        <w:jc w:val="center"/>
        <w:rPr>
          <w:b/>
          <w:sz w:val="36"/>
          <w:szCs w:val="36"/>
        </w:rPr>
      </w:pPr>
    </w:p>
    <w:p w14:paraId="31419A71">
      <w:pPr>
        <w:jc w:val="center"/>
        <w:rPr>
          <w:b/>
          <w:sz w:val="36"/>
          <w:szCs w:val="36"/>
        </w:rPr>
      </w:pPr>
    </w:p>
    <w:p w14:paraId="3CCEAC81">
      <w:pPr>
        <w:jc w:val="center"/>
        <w:rPr>
          <w:b/>
          <w:sz w:val="36"/>
          <w:szCs w:val="36"/>
        </w:rPr>
      </w:pPr>
    </w:p>
    <w:p w14:paraId="5FBCA754">
      <w:pPr>
        <w:jc w:val="center"/>
        <w:rPr>
          <w:b/>
          <w:sz w:val="36"/>
          <w:szCs w:val="36"/>
        </w:rPr>
      </w:pPr>
    </w:p>
    <w:p w14:paraId="636C32E1">
      <w:pPr>
        <w:jc w:val="center"/>
        <w:rPr>
          <w:b/>
          <w:sz w:val="44"/>
          <w:szCs w:val="44"/>
        </w:rPr>
      </w:pPr>
    </w:p>
    <w:p w14:paraId="48E8DB1F">
      <w:pPr>
        <w:jc w:val="center"/>
        <w:rPr>
          <w:b/>
          <w:sz w:val="44"/>
          <w:szCs w:val="44"/>
        </w:rPr>
      </w:pPr>
    </w:p>
    <w:p w14:paraId="282B17FE">
      <w:pPr>
        <w:jc w:val="center"/>
        <w:rPr>
          <w:b/>
          <w:sz w:val="44"/>
          <w:szCs w:val="44"/>
        </w:rPr>
      </w:pPr>
    </w:p>
    <w:p w14:paraId="18443C0D">
      <w:pPr>
        <w:jc w:val="center"/>
        <w:rPr>
          <w:b/>
          <w:sz w:val="44"/>
          <w:szCs w:val="44"/>
        </w:rPr>
      </w:pPr>
    </w:p>
    <w:p w14:paraId="0CC06ADC">
      <w:pPr>
        <w:jc w:val="center"/>
        <w:rPr>
          <w:b/>
          <w:sz w:val="44"/>
          <w:szCs w:val="44"/>
        </w:rPr>
      </w:pPr>
    </w:p>
    <w:p w14:paraId="4CD02CDF">
      <w:pPr>
        <w:jc w:val="center"/>
        <w:rPr>
          <w:rFonts w:ascii="Cambria" w:hAnsi="Cambria"/>
          <w:sz w:val="28"/>
          <w:szCs w:val="28"/>
        </w:rPr>
      </w:pPr>
    </w:p>
    <w:p w14:paraId="695654A1">
      <w:pPr>
        <w:ind w:firstLine="2249" w:firstLineChars="800"/>
        <w:jc w:val="left"/>
        <w:rPr>
          <w:rFonts w:ascii="Cambria" w:hAnsi="Cambria"/>
          <w:b/>
          <w:sz w:val="28"/>
          <w:szCs w:val="28"/>
        </w:rPr>
      </w:pPr>
      <w:r>
        <w:rPr>
          <w:rFonts w:hint="eastAsia" w:ascii="Cambria" w:hAnsi="Cambria"/>
          <w:b/>
          <w:sz w:val="28"/>
          <w:szCs w:val="28"/>
        </w:rPr>
        <w:t>发包人：</w:t>
      </w:r>
    </w:p>
    <w:p w14:paraId="2FF99ABA">
      <w:pPr>
        <w:ind w:firstLine="1687" w:firstLineChars="600"/>
        <w:jc w:val="left"/>
        <w:rPr>
          <w:rFonts w:ascii="Cambria" w:hAnsi="Cambria"/>
          <w:b/>
          <w:sz w:val="28"/>
          <w:szCs w:val="28"/>
        </w:rPr>
      </w:pPr>
    </w:p>
    <w:p w14:paraId="15B19D2D">
      <w:pPr>
        <w:ind w:firstLine="2249" w:firstLineChars="800"/>
        <w:jc w:val="left"/>
        <w:rPr>
          <w:rFonts w:ascii="Cambria" w:hAnsi="Cambria"/>
          <w:b/>
          <w:sz w:val="28"/>
          <w:szCs w:val="28"/>
        </w:rPr>
      </w:pPr>
      <w:r>
        <w:rPr>
          <w:rFonts w:hint="eastAsia" w:ascii="Cambria" w:hAnsi="Cambria"/>
          <w:b/>
          <w:sz w:val="28"/>
          <w:szCs w:val="28"/>
        </w:rPr>
        <w:t>承包人：</w:t>
      </w:r>
    </w:p>
    <w:p w14:paraId="59E78563">
      <w:pPr>
        <w:jc w:val="center"/>
        <w:rPr>
          <w:rFonts w:ascii="Cambria" w:hAnsi="Cambria"/>
          <w:b/>
          <w:sz w:val="28"/>
          <w:szCs w:val="28"/>
        </w:rPr>
      </w:pPr>
    </w:p>
    <w:p w14:paraId="21F51017">
      <w:pPr>
        <w:jc w:val="center"/>
        <w:rPr>
          <w:rFonts w:ascii="Cambria" w:hAnsi="Cambria"/>
          <w:b/>
          <w:sz w:val="28"/>
          <w:szCs w:val="28"/>
        </w:rPr>
      </w:pPr>
    </w:p>
    <w:p w14:paraId="51771620">
      <w:pPr>
        <w:jc w:val="center"/>
        <w:rPr>
          <w:rFonts w:ascii="Cambria" w:hAnsi="Cambria"/>
          <w:b/>
          <w:sz w:val="28"/>
          <w:szCs w:val="28"/>
        </w:rPr>
      </w:pPr>
      <w:r>
        <w:rPr>
          <w:rFonts w:hint="eastAsia" w:ascii="Cambria" w:hAnsi="Cambria"/>
          <w:b/>
          <w:sz w:val="28"/>
          <w:szCs w:val="28"/>
        </w:rPr>
        <w:t>2024年  月</w:t>
      </w:r>
    </w:p>
    <w:p w14:paraId="0B923371">
      <w:pPr>
        <w:jc w:val="center"/>
        <w:rPr>
          <w:b/>
          <w:sz w:val="44"/>
          <w:szCs w:val="44"/>
        </w:rPr>
      </w:pPr>
      <w:r>
        <w:rPr>
          <w:b/>
          <w:sz w:val="44"/>
          <w:szCs w:val="44"/>
        </w:rPr>
        <w:br w:type="page"/>
      </w:r>
    </w:p>
    <w:p w14:paraId="6E4AC73D">
      <w:pPr>
        <w:jc w:val="center"/>
        <w:rPr>
          <w:b/>
          <w:sz w:val="44"/>
          <w:szCs w:val="44"/>
        </w:rPr>
      </w:pPr>
    </w:p>
    <w:p w14:paraId="6098A64F">
      <w:pPr>
        <w:jc w:val="center"/>
        <w:rPr>
          <w:b/>
          <w:sz w:val="44"/>
          <w:szCs w:val="44"/>
        </w:rPr>
      </w:pPr>
      <w:r>
        <w:rPr>
          <w:rFonts w:hint="eastAsia"/>
          <w:b/>
          <w:sz w:val="44"/>
          <w:szCs w:val="44"/>
        </w:rPr>
        <w:t>目录</w:t>
      </w:r>
    </w:p>
    <w:p w14:paraId="5B3118FD">
      <w:pPr>
        <w:jc w:val="center"/>
        <w:rPr>
          <w:b/>
          <w:sz w:val="44"/>
          <w:szCs w:val="44"/>
        </w:rPr>
      </w:pPr>
    </w:p>
    <w:p w14:paraId="05987828">
      <w:pPr>
        <w:jc w:val="center"/>
        <w:rPr>
          <w:b/>
          <w:sz w:val="30"/>
          <w:szCs w:val="30"/>
        </w:rPr>
      </w:pPr>
    </w:p>
    <w:p w14:paraId="45464CA1">
      <w:pPr>
        <w:jc w:val="left"/>
        <w:rPr>
          <w:b/>
          <w:sz w:val="30"/>
          <w:szCs w:val="30"/>
        </w:rPr>
      </w:pPr>
      <w:r>
        <w:rPr>
          <w:b/>
          <w:sz w:val="30"/>
          <w:szCs w:val="30"/>
        </w:rPr>
        <w:t>第一</w:t>
      </w:r>
      <w:r>
        <w:rPr>
          <w:rFonts w:hint="eastAsia"/>
          <w:b/>
          <w:sz w:val="30"/>
          <w:szCs w:val="30"/>
        </w:rPr>
        <w:t xml:space="preserve">节 </w:t>
      </w:r>
      <w:r>
        <w:rPr>
          <w:b/>
          <w:sz w:val="30"/>
          <w:szCs w:val="30"/>
        </w:rPr>
        <w:t>合同协议书</w:t>
      </w:r>
    </w:p>
    <w:p w14:paraId="34F69BDF">
      <w:pPr>
        <w:jc w:val="left"/>
        <w:rPr>
          <w:b/>
          <w:sz w:val="30"/>
          <w:szCs w:val="30"/>
        </w:rPr>
      </w:pPr>
    </w:p>
    <w:p w14:paraId="73C69C9D">
      <w:pPr>
        <w:jc w:val="left"/>
        <w:rPr>
          <w:b/>
          <w:sz w:val="30"/>
          <w:szCs w:val="30"/>
        </w:rPr>
      </w:pPr>
    </w:p>
    <w:p w14:paraId="257334BD">
      <w:pPr>
        <w:jc w:val="left"/>
        <w:rPr>
          <w:b/>
          <w:sz w:val="30"/>
          <w:szCs w:val="30"/>
        </w:rPr>
      </w:pPr>
      <w:r>
        <w:rPr>
          <w:rFonts w:hint="eastAsia"/>
          <w:b/>
          <w:sz w:val="30"/>
          <w:szCs w:val="30"/>
        </w:rPr>
        <w:t>第二节 合同条款通用部分</w:t>
      </w:r>
    </w:p>
    <w:p w14:paraId="4FBAFA52">
      <w:pPr>
        <w:jc w:val="left"/>
        <w:rPr>
          <w:b/>
          <w:sz w:val="30"/>
          <w:szCs w:val="30"/>
        </w:rPr>
      </w:pPr>
    </w:p>
    <w:p w14:paraId="5321F674">
      <w:pPr>
        <w:jc w:val="left"/>
        <w:rPr>
          <w:b/>
          <w:sz w:val="30"/>
          <w:szCs w:val="30"/>
        </w:rPr>
      </w:pPr>
    </w:p>
    <w:p w14:paraId="58F891BD">
      <w:pPr>
        <w:jc w:val="left"/>
        <w:rPr>
          <w:b/>
          <w:sz w:val="30"/>
          <w:szCs w:val="30"/>
        </w:rPr>
      </w:pPr>
      <w:r>
        <w:rPr>
          <w:rFonts w:hint="eastAsia"/>
          <w:b/>
          <w:sz w:val="30"/>
          <w:szCs w:val="30"/>
        </w:rPr>
        <w:t>第三节 合同条款专用部分</w:t>
      </w:r>
    </w:p>
    <w:p w14:paraId="52FBD215">
      <w:pPr>
        <w:jc w:val="left"/>
        <w:rPr>
          <w:b/>
          <w:sz w:val="30"/>
          <w:szCs w:val="30"/>
        </w:rPr>
      </w:pPr>
    </w:p>
    <w:p w14:paraId="21B741FA">
      <w:pPr>
        <w:jc w:val="left"/>
        <w:rPr>
          <w:b/>
          <w:sz w:val="30"/>
          <w:szCs w:val="30"/>
        </w:rPr>
      </w:pPr>
    </w:p>
    <w:p w14:paraId="0E6ADF34">
      <w:pPr>
        <w:jc w:val="left"/>
        <w:rPr>
          <w:b/>
          <w:sz w:val="30"/>
          <w:szCs w:val="30"/>
        </w:rPr>
      </w:pPr>
      <w:r>
        <w:rPr>
          <w:rFonts w:hint="eastAsia"/>
          <w:b/>
          <w:sz w:val="30"/>
          <w:szCs w:val="30"/>
        </w:rPr>
        <w:t>第四节 工程质量保证书</w:t>
      </w:r>
    </w:p>
    <w:p w14:paraId="35017707">
      <w:pPr>
        <w:jc w:val="left"/>
        <w:rPr>
          <w:b/>
          <w:sz w:val="30"/>
          <w:szCs w:val="30"/>
        </w:rPr>
      </w:pPr>
    </w:p>
    <w:p w14:paraId="144016AC">
      <w:pPr>
        <w:jc w:val="left"/>
        <w:rPr>
          <w:b/>
          <w:sz w:val="30"/>
          <w:szCs w:val="30"/>
        </w:rPr>
      </w:pPr>
    </w:p>
    <w:p w14:paraId="79B270C4">
      <w:pPr>
        <w:jc w:val="left"/>
        <w:rPr>
          <w:b/>
          <w:sz w:val="30"/>
          <w:szCs w:val="30"/>
        </w:rPr>
      </w:pPr>
      <w:r>
        <w:rPr>
          <w:rFonts w:hint="eastAsia"/>
          <w:b/>
          <w:sz w:val="30"/>
          <w:szCs w:val="30"/>
        </w:rPr>
        <w:t>第五节 工程廉政责任书</w:t>
      </w:r>
    </w:p>
    <w:p w14:paraId="4D9CF674">
      <w:pPr>
        <w:jc w:val="left"/>
        <w:rPr>
          <w:b/>
          <w:sz w:val="30"/>
          <w:szCs w:val="30"/>
        </w:rPr>
      </w:pPr>
    </w:p>
    <w:p w14:paraId="19A7A5AC">
      <w:pPr>
        <w:jc w:val="left"/>
        <w:rPr>
          <w:b/>
          <w:sz w:val="30"/>
          <w:szCs w:val="30"/>
        </w:rPr>
      </w:pPr>
    </w:p>
    <w:p w14:paraId="4F8B6FAE">
      <w:pPr>
        <w:jc w:val="left"/>
        <w:rPr>
          <w:b/>
          <w:sz w:val="30"/>
          <w:szCs w:val="30"/>
        </w:rPr>
      </w:pPr>
      <w:r>
        <w:rPr>
          <w:rFonts w:hint="eastAsia"/>
          <w:b/>
          <w:sz w:val="30"/>
          <w:szCs w:val="30"/>
        </w:rPr>
        <w:t>第六节 中标通知书</w:t>
      </w:r>
    </w:p>
    <w:p w14:paraId="334848E5">
      <w:pPr>
        <w:jc w:val="left"/>
        <w:rPr>
          <w:b/>
          <w:sz w:val="30"/>
          <w:szCs w:val="30"/>
        </w:rPr>
      </w:pPr>
    </w:p>
    <w:p w14:paraId="77213522">
      <w:pPr>
        <w:jc w:val="left"/>
        <w:rPr>
          <w:b/>
          <w:sz w:val="30"/>
          <w:szCs w:val="30"/>
        </w:rPr>
      </w:pPr>
    </w:p>
    <w:p w14:paraId="50003F2E">
      <w:pPr>
        <w:jc w:val="left"/>
        <w:rPr>
          <w:b/>
          <w:sz w:val="30"/>
          <w:szCs w:val="30"/>
        </w:rPr>
      </w:pPr>
      <w:r>
        <w:rPr>
          <w:rFonts w:hint="eastAsia"/>
          <w:b/>
          <w:sz w:val="30"/>
          <w:szCs w:val="30"/>
        </w:rPr>
        <w:t>第七节 施工安全协议书</w:t>
      </w:r>
    </w:p>
    <w:p w14:paraId="34849BDB">
      <w:pPr>
        <w:jc w:val="left"/>
        <w:rPr>
          <w:b/>
          <w:sz w:val="30"/>
          <w:szCs w:val="30"/>
        </w:rPr>
      </w:pPr>
    </w:p>
    <w:p w14:paraId="5E5BF9B9">
      <w:pPr>
        <w:jc w:val="left"/>
        <w:rPr>
          <w:b/>
          <w:sz w:val="30"/>
          <w:szCs w:val="30"/>
        </w:rPr>
      </w:pPr>
    </w:p>
    <w:p w14:paraId="09880DE5">
      <w:pPr>
        <w:jc w:val="left"/>
        <w:rPr>
          <w:b/>
          <w:sz w:val="30"/>
          <w:szCs w:val="30"/>
        </w:rPr>
      </w:pPr>
      <w:r>
        <w:rPr>
          <w:rFonts w:hint="eastAsia"/>
          <w:b/>
          <w:sz w:val="30"/>
          <w:szCs w:val="30"/>
        </w:rPr>
        <w:t>第八节 合同附件</w:t>
      </w:r>
    </w:p>
    <w:p w14:paraId="4389BBF2">
      <w:pPr>
        <w:jc w:val="center"/>
        <w:rPr>
          <w:b/>
          <w:sz w:val="44"/>
          <w:szCs w:val="44"/>
        </w:rPr>
      </w:pPr>
      <w:r>
        <w:rPr>
          <w:b/>
          <w:sz w:val="30"/>
          <w:szCs w:val="30"/>
        </w:rPr>
        <w:br w:type="page"/>
      </w:r>
    </w:p>
    <w:p w14:paraId="15FBFDC5">
      <w:pPr>
        <w:jc w:val="center"/>
        <w:rPr>
          <w:b/>
          <w:sz w:val="44"/>
          <w:szCs w:val="44"/>
        </w:rPr>
      </w:pPr>
    </w:p>
    <w:p w14:paraId="7F4333A6">
      <w:pPr>
        <w:jc w:val="center"/>
        <w:rPr>
          <w:b/>
          <w:sz w:val="44"/>
          <w:szCs w:val="44"/>
        </w:rPr>
      </w:pPr>
    </w:p>
    <w:p w14:paraId="50215347">
      <w:pPr>
        <w:jc w:val="center"/>
        <w:rPr>
          <w:b/>
          <w:sz w:val="44"/>
          <w:szCs w:val="44"/>
        </w:rPr>
      </w:pPr>
    </w:p>
    <w:p w14:paraId="29849AE5">
      <w:pPr>
        <w:jc w:val="center"/>
        <w:rPr>
          <w:b/>
          <w:sz w:val="44"/>
          <w:szCs w:val="44"/>
        </w:rPr>
      </w:pPr>
      <w:r>
        <w:rPr>
          <w:b/>
          <w:sz w:val="44"/>
          <w:szCs w:val="44"/>
        </w:rPr>
        <w:t>第一</w:t>
      </w:r>
      <w:r>
        <w:rPr>
          <w:rFonts w:hint="eastAsia"/>
          <w:b/>
          <w:sz w:val="44"/>
          <w:szCs w:val="44"/>
        </w:rPr>
        <w:t xml:space="preserve">节 </w:t>
      </w:r>
      <w:r>
        <w:rPr>
          <w:b/>
          <w:sz w:val="44"/>
          <w:szCs w:val="44"/>
        </w:rPr>
        <w:t>合同协议书</w:t>
      </w:r>
    </w:p>
    <w:p w14:paraId="5F36FD56">
      <w:pPr>
        <w:jc w:val="center"/>
        <w:rPr>
          <w:b/>
          <w:sz w:val="44"/>
          <w:szCs w:val="44"/>
        </w:rPr>
      </w:pPr>
    </w:p>
    <w:p w14:paraId="5BA1A448">
      <w:pPr>
        <w:pStyle w:val="359"/>
        <w:jc w:val="center"/>
        <w:rPr>
          <w:sz w:val="28"/>
          <w:szCs w:val="28"/>
        </w:rPr>
      </w:pPr>
      <w:bookmarkStart w:id="161" w:name="_Toc142385525"/>
      <w:r>
        <w:rPr>
          <w:rFonts w:hint="eastAsia"/>
          <w:sz w:val="28"/>
          <w:szCs w:val="28"/>
        </w:rPr>
        <w:t>合同协议书</w:t>
      </w:r>
      <w:bookmarkEnd w:id="161"/>
    </w:p>
    <w:p w14:paraId="63284867">
      <w:pPr>
        <w:pStyle w:val="518"/>
        <w:spacing w:line="440" w:lineRule="exact"/>
      </w:pPr>
      <w:r>
        <w:rPr>
          <w:szCs w:val="21"/>
        </w:rPr>
        <w:t xml:space="preserve">                                                    </w:t>
      </w:r>
    </w:p>
    <w:p w14:paraId="1B6E86FD">
      <w:pPr>
        <w:spacing w:line="360" w:lineRule="auto"/>
        <w:jc w:val="left"/>
        <w:rPr>
          <w:b/>
          <w:bCs/>
          <w:szCs w:val="18"/>
          <w:u w:val="single"/>
        </w:rPr>
      </w:pPr>
      <w:r>
        <w:rPr>
          <w:b/>
          <w:bCs/>
          <w:szCs w:val="18"/>
        </w:rPr>
        <w:t>发包人</w:t>
      </w:r>
      <w:r>
        <w:rPr>
          <w:rFonts w:hint="eastAsia"/>
          <w:b/>
          <w:bCs/>
          <w:szCs w:val="18"/>
        </w:rPr>
        <w:t>（甲方）</w:t>
      </w:r>
      <w:r>
        <w:rPr>
          <w:b/>
          <w:bCs/>
          <w:szCs w:val="18"/>
        </w:rPr>
        <w:t>（全称）：</w:t>
      </w:r>
      <w:r>
        <w:rPr>
          <w:rFonts w:hint="eastAsia"/>
          <w:b/>
          <w:bCs/>
          <w:szCs w:val="18"/>
          <w:u w:val="single"/>
        </w:rPr>
        <w:t xml:space="preserve"> 北京外国语大学同文教育发展培训中心</w:t>
      </w:r>
      <w:r>
        <w:rPr>
          <w:b/>
          <w:bCs/>
          <w:szCs w:val="18"/>
          <w:u w:val="single"/>
        </w:rPr>
        <w:t xml:space="preserve"> </w:t>
      </w:r>
    </w:p>
    <w:p w14:paraId="7A3D5D24">
      <w:pPr>
        <w:spacing w:line="400" w:lineRule="exact"/>
        <w:rPr>
          <w:b/>
          <w:bCs/>
          <w:szCs w:val="18"/>
          <w:u w:val="single"/>
        </w:rPr>
      </w:pPr>
      <w:r>
        <w:rPr>
          <w:b/>
          <w:bCs/>
          <w:szCs w:val="18"/>
        </w:rPr>
        <w:t>承包人</w:t>
      </w:r>
      <w:r>
        <w:rPr>
          <w:rFonts w:hint="eastAsia"/>
          <w:b/>
          <w:bCs/>
          <w:szCs w:val="18"/>
        </w:rPr>
        <w:t>（乙方）</w:t>
      </w:r>
      <w:r>
        <w:rPr>
          <w:b/>
          <w:bCs/>
          <w:szCs w:val="18"/>
        </w:rPr>
        <w:t>（全称）：</w:t>
      </w:r>
      <w:r>
        <w:rPr>
          <w:b/>
          <w:bCs/>
          <w:szCs w:val="18"/>
          <w:u w:val="single"/>
        </w:rPr>
        <w:t xml:space="preserve"> </w:t>
      </w:r>
      <w:r>
        <w:rPr>
          <w:rFonts w:hint="eastAsia"/>
          <w:b/>
          <w:bCs/>
          <w:szCs w:val="18"/>
          <w:u w:val="single"/>
        </w:rPr>
        <w:t xml:space="preserve">            </w:t>
      </w:r>
    </w:p>
    <w:p w14:paraId="1F2B27FD">
      <w:pPr>
        <w:spacing w:line="400" w:lineRule="exact"/>
        <w:ind w:firstLine="490"/>
      </w:pPr>
    </w:p>
    <w:p w14:paraId="55A9DCC4">
      <w:pPr>
        <w:spacing w:line="360" w:lineRule="auto"/>
        <w:rPr>
          <w:b/>
          <w:bCs/>
          <w:szCs w:val="18"/>
          <w:u w:val="single"/>
        </w:rPr>
      </w:pPr>
      <w:r>
        <w:rPr>
          <w:szCs w:val="21"/>
        </w:rPr>
        <w:t>发包人为建设</w:t>
      </w:r>
      <w:r>
        <w:rPr>
          <w:rFonts w:hint="eastAsia"/>
          <w:b/>
          <w:bCs/>
          <w:szCs w:val="18"/>
          <w:u w:val="single"/>
        </w:rPr>
        <w:t xml:space="preserve"> 久凌大厦南楼五层改造工程 </w:t>
      </w:r>
      <w:r>
        <w:rPr>
          <w:szCs w:val="21"/>
        </w:rPr>
        <w:t>（以下简称“本工程”）。</w:t>
      </w:r>
      <w:r>
        <w:t>依照《中华人民共和国招标投标法》、《中华人民共和国</w:t>
      </w:r>
      <w:r>
        <w:rPr>
          <w:rFonts w:hint="eastAsia"/>
        </w:rPr>
        <w:t>民法典</w:t>
      </w:r>
      <w:r>
        <w:t>》、《中华人民共和国建筑法》、及其他有关法律、行政法规，遵循平等、自愿、公平和诚实信用的原则，双方共同达成并订立如下协议。</w:t>
      </w:r>
    </w:p>
    <w:p w14:paraId="70872C75">
      <w:pPr>
        <w:spacing w:line="360" w:lineRule="auto"/>
        <w:rPr>
          <w:rFonts w:eastAsia="Cambria"/>
        </w:rPr>
      </w:pPr>
      <w:r>
        <w:rPr>
          <w:rFonts w:hint="eastAsia" w:ascii="宋体" w:hAnsi="宋体" w:cs="宋体"/>
        </w:rPr>
        <w:t>一、工程概况</w:t>
      </w:r>
    </w:p>
    <w:p w14:paraId="0CC17BDE">
      <w:pPr>
        <w:spacing w:line="360" w:lineRule="auto"/>
        <w:rPr>
          <w:u w:val="single"/>
        </w:rPr>
      </w:pPr>
      <w:r>
        <w:t>工程名称：</w:t>
      </w:r>
      <w:r>
        <w:rPr>
          <w:rFonts w:hint="eastAsia"/>
          <w:u w:val="single"/>
        </w:rPr>
        <w:t>久凌大厦南楼五层改造工程</w:t>
      </w:r>
      <w:r>
        <w:rPr>
          <w:u w:val="single"/>
        </w:rPr>
        <w:t xml:space="preserve"> </w:t>
      </w:r>
    </w:p>
    <w:p w14:paraId="75B9B4C2">
      <w:pPr>
        <w:spacing w:line="360" w:lineRule="auto"/>
        <w:rPr>
          <w:u w:val="single"/>
        </w:rPr>
      </w:pPr>
      <w:r>
        <w:t>工程地点：</w:t>
      </w:r>
      <w:r>
        <w:rPr>
          <w:rFonts w:hint="eastAsia"/>
          <w:u w:val="single"/>
        </w:rPr>
        <w:t>北京市海淀区西三环北路21号</w:t>
      </w:r>
    </w:p>
    <w:p w14:paraId="705870C2">
      <w:pPr>
        <w:spacing w:line="360" w:lineRule="auto"/>
        <w:rPr>
          <w:u w:val="single"/>
        </w:rPr>
      </w:pPr>
      <w:r>
        <w:t>工程内容：</w:t>
      </w:r>
      <w:r>
        <w:rPr>
          <w:rFonts w:hint="eastAsia"/>
          <w:u w:val="single"/>
        </w:rPr>
        <w:t>包括但不限于电气工程、给排水工程、建筑工程、弱电工程、通风空调工程、消防工程、室内装修工程等工程量清单及图纸所示范围内的全部工作内容。</w:t>
      </w:r>
    </w:p>
    <w:p w14:paraId="0BEAAD1A">
      <w:pPr>
        <w:rPr>
          <w:u w:val="single"/>
        </w:rPr>
      </w:pPr>
      <w:r>
        <w:t>工程立项批准文号：</w:t>
      </w:r>
      <w:r>
        <w:rPr>
          <w:u w:val="single"/>
        </w:rPr>
        <w:t xml:space="preserve">             </w:t>
      </w:r>
      <w:r>
        <w:rPr>
          <w:b/>
          <w:sz w:val="18"/>
          <w:szCs w:val="18"/>
          <w:u w:val="single"/>
        </w:rPr>
        <w:t>/</w:t>
      </w:r>
      <w:r>
        <w:rPr>
          <w:u w:val="single"/>
        </w:rPr>
        <w:t xml:space="preserve">             </w:t>
      </w:r>
      <w:r>
        <w:rPr>
          <w:rFonts w:hint="eastAsia"/>
          <w:u w:val="single"/>
        </w:rPr>
        <w:t xml:space="preserve"> </w:t>
      </w:r>
      <w:r>
        <w:rPr>
          <w:u w:val="single"/>
        </w:rPr>
        <w:t xml:space="preserve">     </w:t>
      </w:r>
    </w:p>
    <w:p w14:paraId="44FF8434">
      <w:pPr>
        <w:spacing w:line="360" w:lineRule="auto"/>
        <w:rPr>
          <w:u w:val="single"/>
        </w:rPr>
      </w:pPr>
      <w:r>
        <w:t>资金来源：</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14:paraId="197F9CDA">
      <w:pPr>
        <w:spacing w:line="360" w:lineRule="auto"/>
        <w:rPr>
          <w:rFonts w:eastAsia="Cambria"/>
        </w:rPr>
      </w:pPr>
      <w:r>
        <w:rPr>
          <w:rFonts w:hint="eastAsia" w:ascii="宋体" w:hAnsi="宋体" w:cs="宋体"/>
        </w:rPr>
        <w:t>二、工程承包范围</w:t>
      </w:r>
    </w:p>
    <w:p w14:paraId="4FB1287E">
      <w:pPr>
        <w:spacing w:line="360" w:lineRule="auto"/>
      </w:pPr>
      <w:r>
        <w:t>承包范围：</w:t>
      </w:r>
      <w:r>
        <w:rPr>
          <w:szCs w:val="18"/>
          <w:u w:val="single"/>
        </w:rPr>
        <w:t>完成工程量清单所列内容。</w:t>
      </w:r>
      <w:r>
        <w:rPr>
          <w:rFonts w:hint="eastAsia"/>
          <w:u w:val="single"/>
        </w:rPr>
        <w:t xml:space="preserve"> </w:t>
      </w:r>
    </w:p>
    <w:p w14:paraId="5A6B46AF">
      <w:pPr>
        <w:spacing w:line="360" w:lineRule="auto"/>
        <w:rPr>
          <w:b/>
          <w:u w:val="single"/>
        </w:rPr>
      </w:pPr>
      <w:r>
        <w:t>详细承包范围见“技术标准和要求”。</w:t>
      </w:r>
    </w:p>
    <w:p w14:paraId="60838A67">
      <w:pPr>
        <w:spacing w:line="360" w:lineRule="auto"/>
        <w:rPr>
          <w:rFonts w:eastAsia="Cambria"/>
        </w:rPr>
      </w:pPr>
      <w:r>
        <w:rPr>
          <w:rFonts w:hint="eastAsia" w:ascii="宋体" w:hAnsi="宋体" w:cs="宋体"/>
        </w:rPr>
        <w:t>三、合同工期</w:t>
      </w:r>
    </w:p>
    <w:p w14:paraId="316181A9">
      <w:pPr>
        <w:spacing w:line="360" w:lineRule="auto"/>
        <w:rPr>
          <w:u w:val="single"/>
        </w:rPr>
      </w:pPr>
      <w:r>
        <w:t>计划开工日期：</w:t>
      </w:r>
      <w:r>
        <w:rPr>
          <w:u w:val="single"/>
        </w:rPr>
        <w:t xml:space="preserve">  </w:t>
      </w:r>
      <w:r>
        <w:rPr>
          <w:rFonts w:hint="eastAsia"/>
          <w:u w:val="single"/>
        </w:rPr>
        <w:t>2024</w:t>
      </w:r>
      <w:r>
        <w:rPr>
          <w:u w:val="single"/>
        </w:rPr>
        <w:t xml:space="preserve"> </w:t>
      </w:r>
      <w:r>
        <w:rPr>
          <w:rFonts w:hint="eastAsia"/>
          <w:u w:val="single"/>
        </w:rPr>
        <w:t xml:space="preserve"> </w:t>
      </w:r>
      <w:r>
        <w:t>年</w:t>
      </w:r>
      <w:r>
        <w:rPr>
          <w:rFonts w:hint="eastAsia"/>
          <w:u w:val="single"/>
        </w:rPr>
        <w:t xml:space="preserve"> </w:t>
      </w:r>
      <w:r>
        <w:rPr>
          <w:u w:val="single"/>
        </w:rPr>
        <w:t xml:space="preserve">  </w:t>
      </w:r>
      <w:r>
        <w:rPr>
          <w:rFonts w:hint="eastAsia"/>
          <w:u w:val="single"/>
        </w:rPr>
        <w:t xml:space="preserve"> </w:t>
      </w:r>
      <w:r>
        <w:rPr>
          <w:u w:val="single"/>
        </w:rPr>
        <w:t xml:space="preserve"> </w:t>
      </w:r>
      <w:r>
        <w:t>月</w:t>
      </w:r>
      <w:r>
        <w:rPr>
          <w:rFonts w:hint="eastAsia"/>
          <w:u w:val="single"/>
        </w:rPr>
        <w:t xml:space="preserve">  </w:t>
      </w:r>
      <w:r>
        <w:rPr>
          <w:u w:val="single"/>
        </w:rPr>
        <w:t xml:space="preserve"> </w:t>
      </w:r>
      <w:r>
        <w:rPr>
          <w:rFonts w:hint="eastAsia"/>
          <w:u w:val="single"/>
        </w:rPr>
        <w:t xml:space="preserve">  </w:t>
      </w:r>
      <w:r>
        <w:t>日</w:t>
      </w:r>
    </w:p>
    <w:p w14:paraId="04B80DFC">
      <w:pPr>
        <w:spacing w:line="360" w:lineRule="auto"/>
        <w:rPr>
          <w:u w:val="single"/>
        </w:rPr>
      </w:pPr>
      <w:r>
        <w:t>计划竣工日期：</w:t>
      </w:r>
      <w:r>
        <w:rPr>
          <w:u w:val="single"/>
        </w:rPr>
        <w:t xml:space="preserve">  </w:t>
      </w:r>
      <w:r>
        <w:rPr>
          <w:rFonts w:hint="eastAsia"/>
          <w:u w:val="single"/>
        </w:rPr>
        <w:t>2024</w:t>
      </w:r>
      <w:r>
        <w:rPr>
          <w:u w:val="single"/>
        </w:rPr>
        <w:t xml:space="preserve"> </w:t>
      </w:r>
      <w:r>
        <w:t>年</w:t>
      </w:r>
      <w:r>
        <w:rPr>
          <w:rFonts w:hint="eastAsia"/>
          <w:u w:val="single"/>
        </w:rPr>
        <w:t xml:space="preserve">  </w:t>
      </w:r>
      <w:r>
        <w:rPr>
          <w:u w:val="single"/>
        </w:rPr>
        <w:t xml:space="preserve"> </w:t>
      </w:r>
      <w:r>
        <w:rPr>
          <w:rFonts w:hint="eastAsia"/>
          <w:u w:val="single"/>
        </w:rPr>
        <w:t xml:space="preserve"> </w:t>
      </w:r>
      <w:r>
        <w:rPr>
          <w:u w:val="single"/>
        </w:rPr>
        <w:t xml:space="preserve"> </w:t>
      </w:r>
      <w:r>
        <w:t>月</w:t>
      </w:r>
      <w:r>
        <w:rPr>
          <w:rFonts w:hint="eastAsia"/>
          <w:u w:val="single"/>
        </w:rPr>
        <w:t xml:space="preserve">  </w:t>
      </w:r>
      <w:r>
        <w:rPr>
          <w:u w:val="single"/>
        </w:rPr>
        <w:t xml:space="preserve"> </w:t>
      </w:r>
      <w:r>
        <w:rPr>
          <w:rFonts w:hint="eastAsia"/>
          <w:u w:val="single"/>
        </w:rPr>
        <w:t xml:space="preserve"> </w:t>
      </w:r>
      <w:r>
        <w:rPr>
          <w:u w:val="single"/>
        </w:rPr>
        <w:t xml:space="preserve"> </w:t>
      </w:r>
      <w:r>
        <w:t>日</w:t>
      </w:r>
    </w:p>
    <w:p w14:paraId="23FD2B01">
      <w:pPr>
        <w:spacing w:line="360" w:lineRule="auto"/>
      </w:pPr>
      <w:r>
        <w:t>工期总日历天数</w:t>
      </w:r>
      <w:r>
        <w:rPr>
          <w:u w:val="single"/>
        </w:rPr>
        <w:t xml:space="preserve">    </w:t>
      </w:r>
      <w:r>
        <w:t>天，自监理人发出的开工通知中载明的开工日期起算。</w:t>
      </w:r>
    </w:p>
    <w:p w14:paraId="42679084">
      <w:pPr>
        <w:spacing w:line="360" w:lineRule="auto"/>
        <w:rPr>
          <w:rFonts w:eastAsia="Cambria"/>
        </w:rPr>
      </w:pPr>
      <w:r>
        <w:rPr>
          <w:rFonts w:hint="eastAsia" w:ascii="宋体" w:hAnsi="宋体" w:cs="宋体"/>
        </w:rPr>
        <w:t>四、质量标准</w:t>
      </w:r>
    </w:p>
    <w:p w14:paraId="1A1FF8EA">
      <w:pPr>
        <w:spacing w:line="360" w:lineRule="auto"/>
        <w:rPr>
          <w:u w:val="single"/>
        </w:rPr>
      </w:pPr>
      <w:r>
        <w:t>工程质量标准：</w:t>
      </w:r>
      <w:r>
        <w:rPr>
          <w:u w:val="single"/>
        </w:rPr>
        <w:t xml:space="preserve">    合格 </w:t>
      </w:r>
      <w:r>
        <w:rPr>
          <w:rFonts w:hint="eastAsia"/>
          <w:u w:val="single"/>
        </w:rPr>
        <w:t xml:space="preserve"> </w:t>
      </w:r>
      <w:r>
        <w:rPr>
          <w:u w:val="single"/>
        </w:rPr>
        <w:t xml:space="preserve">  </w:t>
      </w:r>
      <w:r>
        <w:t xml:space="preserve"> </w:t>
      </w:r>
    </w:p>
    <w:p w14:paraId="579CDE22">
      <w:pPr>
        <w:spacing w:line="360" w:lineRule="auto"/>
        <w:rPr>
          <w:rFonts w:eastAsia="Cambria"/>
        </w:rPr>
      </w:pPr>
      <w:r>
        <w:rPr>
          <w:rFonts w:hint="eastAsia" w:ascii="宋体" w:hAnsi="宋体" w:cs="宋体"/>
        </w:rPr>
        <w:t>五、合同形式</w:t>
      </w:r>
    </w:p>
    <w:p w14:paraId="38028FE0">
      <w:pPr>
        <w:spacing w:line="360" w:lineRule="auto"/>
        <w:rPr>
          <w:b/>
          <w:u w:val="single"/>
        </w:rPr>
      </w:pPr>
      <w:r>
        <w:t xml:space="preserve">本合同采用 </w:t>
      </w:r>
      <w:r>
        <w:rPr>
          <w:u w:val="single"/>
        </w:rPr>
        <w:t xml:space="preserve">   </w:t>
      </w:r>
      <w:r>
        <w:rPr>
          <w:rFonts w:hint="eastAsia"/>
          <w:u w:val="single"/>
        </w:rPr>
        <w:t>固定总价合同</w:t>
      </w:r>
      <w:r>
        <w:rPr>
          <w:u w:val="single"/>
        </w:rPr>
        <w:t xml:space="preserve">  </w:t>
      </w:r>
      <w:r>
        <w:t xml:space="preserve"> 合同形式。</w:t>
      </w:r>
    </w:p>
    <w:p w14:paraId="55564FD4">
      <w:pPr>
        <w:spacing w:line="360" w:lineRule="auto"/>
        <w:rPr>
          <w:rFonts w:eastAsia="Cambria"/>
          <w:bCs/>
        </w:rPr>
      </w:pPr>
      <w:r>
        <w:rPr>
          <w:rFonts w:hint="eastAsia" w:ascii="宋体" w:hAnsi="宋体" w:cs="宋体"/>
          <w:bCs/>
        </w:rPr>
        <w:t>六、签约合同价</w:t>
      </w:r>
    </w:p>
    <w:p w14:paraId="6B414E7B">
      <w:pPr>
        <w:spacing w:line="360" w:lineRule="auto"/>
      </w:pPr>
      <w:r>
        <w:t>1.签约合同价为：</w:t>
      </w:r>
    </w:p>
    <w:p w14:paraId="436CB60D">
      <w:pPr>
        <w:spacing w:line="360" w:lineRule="auto"/>
      </w:pPr>
      <w:r>
        <w:rPr>
          <w:rFonts w:hint="eastAsia"/>
        </w:rPr>
        <w:t>人民币（大写）</w:t>
      </w:r>
      <w:r>
        <w:rPr>
          <w:rFonts w:hint="eastAsia"/>
          <w:u w:val="single"/>
        </w:rPr>
        <w:t xml:space="preserve">        </w:t>
      </w:r>
      <w:r>
        <w:rPr>
          <w:rFonts w:hint="eastAsia"/>
        </w:rPr>
        <w:t xml:space="preserve"> (</w:t>
      </w:r>
      <w:r>
        <w:rPr>
          <w:rFonts w:ascii="Calibri" w:hAnsi="Calibri" w:cs="Calibri"/>
        </w:rPr>
        <w:t>¥</w:t>
      </w:r>
      <w:r>
        <w:rPr>
          <w:rFonts w:hint="eastAsia"/>
        </w:rPr>
        <w:t xml:space="preserve"> </w:t>
      </w:r>
      <w:r>
        <w:rPr>
          <w:rFonts w:hint="eastAsia"/>
          <w:u w:val="single"/>
        </w:rPr>
        <w:t xml:space="preserve"> </w:t>
      </w:r>
      <w:r>
        <w:rPr>
          <w:u w:val="single"/>
        </w:rPr>
        <w:t xml:space="preserve">          </w:t>
      </w:r>
      <w:r>
        <w:rPr>
          <w:rFonts w:hint="eastAsia"/>
        </w:rPr>
        <w:t>元)；</w:t>
      </w:r>
    </w:p>
    <w:p w14:paraId="3C90E3D2">
      <w:pPr>
        <w:spacing w:line="360" w:lineRule="auto"/>
      </w:pPr>
      <w:r>
        <w:rPr>
          <w:rFonts w:hint="eastAsia"/>
        </w:rPr>
        <w:t>其中：</w:t>
      </w:r>
    </w:p>
    <w:p w14:paraId="1D80B3A0">
      <w:pPr>
        <w:spacing w:line="360" w:lineRule="auto"/>
      </w:pPr>
      <w:r>
        <w:rPr>
          <w:rFonts w:hint="eastAsia"/>
        </w:rPr>
        <w:t>（</w:t>
      </w:r>
      <w:r>
        <w:t>1）安全文明施工费：</w:t>
      </w:r>
    </w:p>
    <w:p w14:paraId="6D77CDC6">
      <w:pPr>
        <w:spacing w:line="360" w:lineRule="auto"/>
      </w:pPr>
      <w:r>
        <w:rPr>
          <w:rFonts w:hint="eastAsia"/>
        </w:rPr>
        <w:t>人民币（大写）</w:t>
      </w:r>
      <w:r>
        <w:rPr>
          <w:rFonts w:hint="eastAsia"/>
          <w:u w:val="single"/>
        </w:rPr>
        <w:t xml:space="preserve">            </w:t>
      </w:r>
      <w:r>
        <w:rPr>
          <w:rFonts w:hint="eastAsia"/>
        </w:rPr>
        <w:t xml:space="preserve"> (</w:t>
      </w:r>
      <w:r>
        <w:rPr>
          <w:rFonts w:ascii="Calibri" w:hAnsi="Calibri" w:cs="Calibri"/>
        </w:rPr>
        <w:t>¥</w:t>
      </w:r>
      <w:r>
        <w:rPr>
          <w:u w:val="single"/>
        </w:rPr>
        <w:t xml:space="preserve">        </w:t>
      </w:r>
      <w:r>
        <w:rPr>
          <w:rFonts w:hint="eastAsia"/>
        </w:rPr>
        <w:t>元，含税)；</w:t>
      </w:r>
    </w:p>
    <w:p w14:paraId="281E1E2A">
      <w:pPr>
        <w:spacing w:line="360" w:lineRule="auto"/>
      </w:pPr>
      <w:r>
        <w:rPr>
          <w:rFonts w:hint="eastAsia"/>
        </w:rPr>
        <w:t>（</w:t>
      </w:r>
      <w:r>
        <w:t>2）材料和工程设备暂估价金额：</w:t>
      </w:r>
    </w:p>
    <w:p w14:paraId="26780734">
      <w:pPr>
        <w:spacing w:line="360" w:lineRule="auto"/>
      </w:pPr>
      <w:r>
        <w:rPr>
          <w:rFonts w:hint="eastAsia"/>
        </w:rPr>
        <w:t>人民币（大写）</w:t>
      </w: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ascii="Calibri" w:hAnsi="Calibri" w:cs="Calibri"/>
        </w:rPr>
        <w:t>¥</w:t>
      </w:r>
      <w:r>
        <w:rPr>
          <w:u w:val="single"/>
        </w:rPr>
        <w:t xml:space="preserve">    </w:t>
      </w:r>
      <w:r>
        <w:rPr>
          <w:rFonts w:hint="eastAsia"/>
        </w:rPr>
        <w:t>元)；</w:t>
      </w:r>
    </w:p>
    <w:p w14:paraId="65B9167A">
      <w:pPr>
        <w:spacing w:line="360" w:lineRule="auto"/>
      </w:pPr>
      <w:r>
        <w:rPr>
          <w:rFonts w:hint="eastAsia"/>
        </w:rPr>
        <w:t>（</w:t>
      </w:r>
      <w:r>
        <w:t>3）专业工程暂估价金额：</w:t>
      </w:r>
    </w:p>
    <w:p w14:paraId="08A03631">
      <w:pPr>
        <w:spacing w:line="360" w:lineRule="auto"/>
      </w:pPr>
      <w:r>
        <w:rPr>
          <w:rFonts w:hint="eastAsia"/>
        </w:rPr>
        <w:t>人民币（大写）</w:t>
      </w:r>
      <w:r>
        <w:rPr>
          <w:rFonts w:hint="eastAsia"/>
          <w:u w:val="single"/>
        </w:rPr>
        <w:t xml:space="preserve">    </w:t>
      </w:r>
      <w:r>
        <w:rPr>
          <w:rFonts w:hint="eastAsia"/>
        </w:rPr>
        <w:t xml:space="preserve"> (</w:t>
      </w:r>
      <w:r>
        <w:rPr>
          <w:rFonts w:ascii="Calibri" w:hAnsi="Calibri" w:cs="Calibri"/>
        </w:rPr>
        <w:t>¥</w:t>
      </w:r>
      <w:r>
        <w:rPr>
          <w:u w:val="single"/>
        </w:rPr>
        <w:t xml:space="preserve">     </w:t>
      </w:r>
      <w:r>
        <w:rPr>
          <w:rFonts w:hint="eastAsia"/>
        </w:rPr>
        <w:t>元)；</w:t>
      </w:r>
    </w:p>
    <w:p w14:paraId="054BB08C">
      <w:pPr>
        <w:spacing w:line="360" w:lineRule="auto"/>
        <w:rPr>
          <w:u w:val="single"/>
        </w:rPr>
      </w:pPr>
      <w:r>
        <w:rPr>
          <w:rFonts w:hint="eastAsia"/>
        </w:rPr>
        <w:t>（</w:t>
      </w:r>
      <w:r>
        <w:t>4）暂列金额：</w:t>
      </w:r>
    </w:p>
    <w:p w14:paraId="43C0ADEC">
      <w:pPr>
        <w:spacing w:line="360" w:lineRule="auto"/>
      </w:pPr>
      <w:r>
        <w:rPr>
          <w:rFonts w:hint="eastAsia"/>
        </w:rPr>
        <w:t>人民币（大写）</w:t>
      </w: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ascii="Calibri" w:hAnsi="Calibri" w:cs="Calibri"/>
        </w:rPr>
        <w:t>¥</w:t>
      </w:r>
      <w:r>
        <w:rPr>
          <w:u w:val="single"/>
        </w:rPr>
        <w:t xml:space="preserve">          </w:t>
      </w:r>
      <w:r>
        <w:rPr>
          <w:rFonts w:hint="eastAsia"/>
        </w:rPr>
        <w:t>元，含税)。</w:t>
      </w:r>
    </w:p>
    <w:p w14:paraId="51DD0003">
      <w:pPr>
        <w:spacing w:line="360" w:lineRule="auto"/>
        <w:rPr>
          <w:rFonts w:eastAsia="Cambria"/>
          <w:bCs/>
        </w:rPr>
      </w:pPr>
      <w:r>
        <w:rPr>
          <w:rFonts w:hint="eastAsia" w:ascii="宋体" w:hAnsi="宋体" w:cs="宋体"/>
          <w:bCs/>
        </w:rPr>
        <w:t>七、承包人项目经理：</w:t>
      </w:r>
    </w:p>
    <w:p w14:paraId="265665A8">
      <w:pPr>
        <w:spacing w:line="360" w:lineRule="auto"/>
        <w:rPr>
          <w:szCs w:val="21"/>
        </w:rPr>
      </w:pPr>
      <w:r>
        <w:rPr>
          <w:szCs w:val="21"/>
        </w:rPr>
        <w:t>姓名：</w:t>
      </w:r>
      <w:r>
        <w:rPr>
          <w:rFonts w:hint="eastAsia"/>
          <w:szCs w:val="21"/>
          <w:u w:val="single"/>
        </w:rPr>
        <w:t xml:space="preserve">       </w:t>
      </w:r>
      <w:r>
        <w:rPr>
          <w:szCs w:val="21"/>
        </w:rPr>
        <w:t xml:space="preserve">；        </w:t>
      </w:r>
      <w:r>
        <w:rPr>
          <w:rFonts w:hint="eastAsia"/>
          <w:szCs w:val="21"/>
        </w:rPr>
        <w:t xml:space="preserve">  </w:t>
      </w:r>
      <w:r>
        <w:rPr>
          <w:szCs w:val="21"/>
        </w:rPr>
        <w:t>职称：</w:t>
      </w:r>
      <w:r>
        <w:rPr>
          <w:rFonts w:hint="eastAsia"/>
          <w:szCs w:val="21"/>
          <w:u w:val="single"/>
        </w:rPr>
        <w:t xml:space="preserve">          </w:t>
      </w:r>
      <w:r>
        <w:rPr>
          <w:szCs w:val="21"/>
        </w:rPr>
        <w:t>；</w:t>
      </w:r>
    </w:p>
    <w:p w14:paraId="5B86AD74">
      <w:pPr>
        <w:spacing w:line="360" w:lineRule="auto"/>
        <w:rPr>
          <w:szCs w:val="21"/>
        </w:rPr>
      </w:pPr>
      <w:r>
        <w:rPr>
          <w:szCs w:val="21"/>
        </w:rPr>
        <w:t>身份证号：</w:t>
      </w:r>
      <w:r>
        <w:rPr>
          <w:szCs w:val="21"/>
          <w:u w:val="single"/>
        </w:rPr>
        <w:t xml:space="preserve">           </w:t>
      </w:r>
      <w:r>
        <w:rPr>
          <w:rFonts w:hint="eastAsia"/>
          <w:szCs w:val="21"/>
          <w:u w:val="single"/>
        </w:rPr>
        <w:t xml:space="preserve"> </w:t>
      </w:r>
      <w:r>
        <w:rPr>
          <w:szCs w:val="21"/>
        </w:rPr>
        <w:t>；        建造师执业资格证书号：</w:t>
      </w:r>
      <w:r>
        <w:rPr>
          <w:szCs w:val="21"/>
          <w:u w:val="single"/>
        </w:rPr>
        <w:t xml:space="preserve">     </w:t>
      </w:r>
      <w:r>
        <w:rPr>
          <w:rFonts w:hint="eastAsia"/>
          <w:szCs w:val="21"/>
          <w:u w:val="single"/>
        </w:rPr>
        <w:t xml:space="preserve">  </w:t>
      </w:r>
    </w:p>
    <w:p w14:paraId="58B929A9">
      <w:pPr>
        <w:spacing w:line="360" w:lineRule="auto"/>
        <w:rPr>
          <w:szCs w:val="21"/>
        </w:rPr>
      </w:pPr>
      <w:r>
        <w:rPr>
          <w:szCs w:val="21"/>
        </w:rPr>
        <w:t>建造师注册证书号:</w:t>
      </w:r>
      <w:r>
        <w:rPr>
          <w:rFonts w:hint="eastAsia"/>
          <w:szCs w:val="21"/>
          <w:u w:val="single"/>
        </w:rPr>
        <w:t xml:space="preserve">        </w:t>
      </w:r>
    </w:p>
    <w:p w14:paraId="52800F29">
      <w:pPr>
        <w:spacing w:line="360" w:lineRule="auto"/>
        <w:rPr>
          <w:szCs w:val="21"/>
        </w:rPr>
      </w:pPr>
      <w:r>
        <w:rPr>
          <w:szCs w:val="21"/>
        </w:rPr>
        <w:t>安全生产考核合格证书号：</w:t>
      </w:r>
      <w:r>
        <w:rPr>
          <w:rFonts w:hint="eastAsia"/>
          <w:szCs w:val="21"/>
          <w:u w:val="single"/>
        </w:rPr>
        <w:t xml:space="preserve">           </w:t>
      </w:r>
      <w:r>
        <w:rPr>
          <w:szCs w:val="21"/>
          <w:u w:val="single"/>
        </w:rPr>
        <w:t xml:space="preserve">  </w:t>
      </w:r>
      <w:r>
        <w:rPr>
          <w:szCs w:val="21"/>
        </w:rPr>
        <w:t>。</w:t>
      </w:r>
    </w:p>
    <w:p w14:paraId="15D27EC6">
      <w:pPr>
        <w:spacing w:line="360" w:lineRule="auto"/>
        <w:rPr>
          <w:szCs w:val="21"/>
        </w:rPr>
      </w:pPr>
      <w:r>
        <w:rPr>
          <w:rFonts w:hint="eastAsia"/>
          <w:szCs w:val="21"/>
        </w:rPr>
        <w:t>关于项目经理每月在施工现场的时间要求：</w:t>
      </w:r>
      <w:r>
        <w:rPr>
          <w:rFonts w:hint="eastAsia"/>
          <w:szCs w:val="21"/>
          <w:u w:val="single"/>
        </w:rPr>
        <w:t>每月到场时间不少于</w:t>
      </w:r>
      <w:r>
        <w:rPr>
          <w:szCs w:val="21"/>
          <w:u w:val="single"/>
        </w:rPr>
        <w:t>22</w:t>
      </w:r>
      <w:r>
        <w:rPr>
          <w:rFonts w:hint="eastAsia"/>
          <w:szCs w:val="21"/>
          <w:u w:val="single"/>
        </w:rPr>
        <w:t>天</w:t>
      </w:r>
    </w:p>
    <w:p w14:paraId="47563477">
      <w:pPr>
        <w:spacing w:line="360" w:lineRule="auto"/>
        <w:rPr>
          <w:rFonts w:eastAsia="Cambria"/>
        </w:rPr>
      </w:pPr>
      <w:r>
        <w:rPr>
          <w:rFonts w:hint="eastAsia" w:ascii="宋体" w:hAnsi="宋体" w:cs="宋体"/>
        </w:rPr>
        <w:t>八、合同文件的组成</w:t>
      </w:r>
    </w:p>
    <w:p w14:paraId="51279E75">
      <w:pPr>
        <w:spacing w:line="360" w:lineRule="auto"/>
        <w:rPr>
          <w:szCs w:val="21"/>
        </w:rPr>
      </w:pPr>
      <w:r>
        <w:rPr>
          <w:szCs w:val="21"/>
        </w:rPr>
        <w:t xml:space="preserve"> 下列文件共同构成合同文件：</w:t>
      </w:r>
    </w:p>
    <w:p w14:paraId="77F6D78D">
      <w:pPr>
        <w:spacing w:line="360" w:lineRule="auto"/>
      </w:pPr>
      <w:r>
        <w:t>1、中标通知书；</w:t>
      </w:r>
    </w:p>
    <w:p w14:paraId="53B82F63">
      <w:pPr>
        <w:spacing w:line="360" w:lineRule="auto"/>
      </w:pPr>
      <w:r>
        <w:t>2、</w:t>
      </w:r>
      <w:r>
        <w:rPr>
          <w:szCs w:val="21"/>
        </w:rPr>
        <w:t>投标函及投标函附录</w:t>
      </w:r>
      <w:r>
        <w:t>；</w:t>
      </w:r>
    </w:p>
    <w:p w14:paraId="5BFEC9D9">
      <w:pPr>
        <w:spacing w:line="360" w:lineRule="auto"/>
      </w:pPr>
      <w:r>
        <w:t>3、专用合同条款；</w:t>
      </w:r>
    </w:p>
    <w:p w14:paraId="58925E5A">
      <w:pPr>
        <w:spacing w:line="360" w:lineRule="auto"/>
      </w:pPr>
      <w:r>
        <w:t>4、通用合同条款；</w:t>
      </w:r>
    </w:p>
    <w:p w14:paraId="023A7858">
      <w:pPr>
        <w:spacing w:line="360" w:lineRule="auto"/>
      </w:pPr>
      <w:r>
        <w:t>5、</w:t>
      </w:r>
      <w:r>
        <w:rPr>
          <w:szCs w:val="21"/>
        </w:rPr>
        <w:t>技术标准和要求；</w:t>
      </w:r>
    </w:p>
    <w:p w14:paraId="18276CB0">
      <w:pPr>
        <w:spacing w:line="360" w:lineRule="auto"/>
      </w:pPr>
      <w:r>
        <w:t>6、图纸；</w:t>
      </w:r>
    </w:p>
    <w:p w14:paraId="3B814F91">
      <w:pPr>
        <w:spacing w:line="360" w:lineRule="auto"/>
      </w:pPr>
      <w:r>
        <w:t>7、已标价工程量清单；</w:t>
      </w:r>
    </w:p>
    <w:p w14:paraId="6AD63DEC">
      <w:pPr>
        <w:spacing w:line="360" w:lineRule="auto"/>
      </w:pPr>
      <w:r>
        <w:t>8、其他合同文件。</w:t>
      </w:r>
    </w:p>
    <w:p w14:paraId="3812752E">
      <w:pPr>
        <w:spacing w:line="360" w:lineRule="auto"/>
        <w:rPr>
          <w:szCs w:val="21"/>
        </w:rPr>
      </w:pPr>
      <w:r>
        <w:rPr>
          <w:szCs w:val="21"/>
        </w:rPr>
        <w:t>上述文件互相补充和解释，如有不明确或不一致之处，以合同约定次序在先者为准。</w:t>
      </w:r>
    </w:p>
    <w:p w14:paraId="372635A9">
      <w:pPr>
        <w:spacing w:line="360" w:lineRule="auto"/>
      </w:pPr>
      <w:r>
        <w:t>九、本协议书中有关词语定义与合同条款中的定义相同。</w:t>
      </w:r>
    </w:p>
    <w:p w14:paraId="4FE566F7">
      <w:pPr>
        <w:spacing w:line="360" w:lineRule="auto"/>
      </w:pPr>
      <w:r>
        <w:t>十、承包人承诺按照合同约定进行施工、竣工、交付并承担质量缺陷保修责任。</w:t>
      </w:r>
    </w:p>
    <w:p w14:paraId="2EABF204">
      <w:pPr>
        <w:spacing w:line="360" w:lineRule="auto"/>
      </w:pPr>
      <w:r>
        <w:t>十一、发包人承诺按照合同约定的条件、期限和方式向承包人支付合同价款。</w:t>
      </w:r>
    </w:p>
    <w:p w14:paraId="15704698">
      <w:pPr>
        <w:spacing w:line="360" w:lineRule="auto"/>
        <w:rPr>
          <w:u w:val="single"/>
        </w:rPr>
      </w:pPr>
      <w:r>
        <w:t>十二、本协议书连同其他合同文件正本一式</w:t>
      </w:r>
      <w:r>
        <w:rPr>
          <w:rFonts w:hint="eastAsia"/>
          <w:u w:val="single"/>
        </w:rPr>
        <w:t xml:space="preserve"> </w:t>
      </w:r>
      <w:r>
        <w:rPr>
          <w:u w:val="single"/>
        </w:rPr>
        <w:t>两份</w:t>
      </w:r>
      <w:r>
        <w:rPr>
          <w:rFonts w:hint="eastAsia"/>
          <w:u w:val="single"/>
        </w:rPr>
        <w:t xml:space="preserve"> </w:t>
      </w:r>
      <w:r>
        <w:t>，合同双方各执一份；副本一式</w:t>
      </w:r>
      <w:r>
        <w:rPr>
          <w:u w:val="single"/>
        </w:rPr>
        <w:t xml:space="preserve"> </w:t>
      </w:r>
      <w:r>
        <w:rPr>
          <w:rFonts w:hint="eastAsia"/>
          <w:u w:val="single"/>
        </w:rPr>
        <w:t>四份</w:t>
      </w:r>
      <w:r>
        <w:rPr>
          <w:u w:val="single"/>
        </w:rPr>
        <w:t xml:space="preserve"> </w:t>
      </w:r>
      <w:r>
        <w:rPr>
          <w:rFonts w:hint="eastAsia"/>
          <w:u w:val="single"/>
        </w:rPr>
        <w:t>，</w:t>
      </w:r>
      <w:r>
        <w:rPr>
          <w:rFonts w:hint="eastAsia"/>
        </w:rPr>
        <w:t>甲乙合同</w:t>
      </w:r>
      <w:r>
        <w:t>双方各执</w:t>
      </w:r>
      <w:r>
        <w:rPr>
          <w:rFonts w:hint="eastAsia"/>
        </w:rPr>
        <w:t>两</w:t>
      </w:r>
      <w:r>
        <w:t>份。</w:t>
      </w:r>
    </w:p>
    <w:p w14:paraId="0F50DF1B">
      <w:pPr>
        <w:spacing w:line="360" w:lineRule="auto"/>
      </w:pPr>
      <w:r>
        <w:t>十三、合同未尽事宜，双方另行签订补充协议，但不得背离本协议第八条所约定的合同文件的实质性内容。补充协议是合同文件的组成部分。</w:t>
      </w:r>
    </w:p>
    <w:p w14:paraId="2C8BD6E4">
      <w:pPr>
        <w:spacing w:line="360" w:lineRule="auto"/>
      </w:pPr>
      <w:r>
        <w:rPr>
          <w:rFonts w:hint="eastAsia"/>
        </w:rPr>
        <w:t>十四、本合同由双方法定代表人或授权委托人签字并盖章后生效。</w:t>
      </w:r>
    </w:p>
    <w:p w14:paraId="0BBFB8A1">
      <w:pPr>
        <w:spacing w:line="360" w:lineRule="auto"/>
      </w:pPr>
    </w:p>
    <w:p w14:paraId="551ABD1F">
      <w:pPr>
        <w:spacing w:line="360" w:lineRule="auto"/>
      </w:pPr>
    </w:p>
    <w:p w14:paraId="7DD636C9">
      <w:pPr>
        <w:tabs>
          <w:tab w:val="left" w:pos="1695"/>
        </w:tabs>
        <w:adjustRightInd w:val="0"/>
        <w:snapToGrid w:val="0"/>
        <w:spacing w:line="360" w:lineRule="auto"/>
        <w:ind w:firstLine="480"/>
        <w:rPr>
          <w:rFonts w:ascii="Cambria" w:hAnsi="Cambria"/>
          <w:szCs w:val="21"/>
        </w:rPr>
      </w:pPr>
    </w:p>
    <w:p w14:paraId="1E00A5C6">
      <w:pPr>
        <w:tabs>
          <w:tab w:val="left" w:pos="5085"/>
        </w:tabs>
        <w:adjustRightInd w:val="0"/>
        <w:snapToGrid w:val="0"/>
        <w:spacing w:line="480" w:lineRule="auto"/>
        <w:ind w:left="5985" w:hanging="5985" w:hangingChars="2850"/>
      </w:pPr>
    </w:p>
    <w:p w14:paraId="3BFDC4E5">
      <w:pPr>
        <w:tabs>
          <w:tab w:val="left" w:pos="5085"/>
        </w:tabs>
        <w:adjustRightInd w:val="0"/>
        <w:snapToGrid w:val="0"/>
        <w:spacing w:line="480" w:lineRule="auto"/>
        <w:ind w:left="5985" w:hanging="5985" w:hangingChars="2850"/>
        <w:sectPr>
          <w:pgSz w:w="11906" w:h="16838"/>
          <w:pgMar w:top="1440" w:right="1797" w:bottom="1440" w:left="1797" w:header="851" w:footer="992" w:gutter="0"/>
          <w:cols w:space="720" w:num="1"/>
          <w:docGrid w:linePitch="312" w:charSpace="0"/>
        </w:sectPr>
      </w:pPr>
    </w:p>
    <w:p w14:paraId="66917B97">
      <w:pPr>
        <w:tabs>
          <w:tab w:val="left" w:pos="5085"/>
        </w:tabs>
        <w:adjustRightInd w:val="0"/>
        <w:snapToGrid w:val="0"/>
        <w:spacing w:line="480" w:lineRule="auto"/>
        <w:ind w:left="5985" w:hanging="5985" w:hangingChars="2850"/>
      </w:pPr>
      <w:r>
        <w:t>发包人：（公章）</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r>
        <w:t xml:space="preserve"> 承包人：（公章</w:t>
      </w:r>
      <w:r>
        <w:rPr>
          <w:u w:val="single"/>
        </w:rPr>
        <w:t>）</w:t>
      </w:r>
      <w:r>
        <w:rPr>
          <w:rFonts w:hint="eastAsia"/>
          <w:u w:val="single"/>
        </w:rPr>
        <w:t xml:space="preserve"> </w:t>
      </w:r>
      <w:r>
        <w:rPr>
          <w:u w:val="single"/>
        </w:rPr>
        <w:t xml:space="preserve">            </w:t>
      </w:r>
    </w:p>
    <w:p w14:paraId="763F3A07">
      <w:pPr>
        <w:spacing w:line="360" w:lineRule="auto"/>
        <w:ind w:left="5985" w:hanging="5985" w:hangingChars="2850"/>
      </w:pPr>
      <w:r>
        <w:t>住所：</w:t>
      </w:r>
      <w:r>
        <w:rPr>
          <w:rFonts w:hint="eastAsia"/>
          <w:u w:val="single"/>
        </w:rPr>
        <w:t xml:space="preserve"> </w:t>
      </w:r>
      <w:r>
        <w:rPr>
          <w:u w:val="single"/>
        </w:rPr>
        <w:t xml:space="preserve">                      </w:t>
      </w:r>
      <w:r>
        <w:rPr>
          <w:rFonts w:hint="eastAsia"/>
          <w:u w:val="single"/>
        </w:rPr>
        <w:t xml:space="preserve">    </w:t>
      </w:r>
      <w:r>
        <w:rPr>
          <w:rFonts w:hint="eastAsia"/>
        </w:rPr>
        <w:t xml:space="preserve">    </w:t>
      </w:r>
      <w:r>
        <w:t>住所：</w:t>
      </w:r>
      <w:r>
        <w:rPr>
          <w:rFonts w:hint="eastAsia" w:ascii="Cambria" w:hAnsi="Cambria"/>
          <w:szCs w:val="21"/>
          <w:u w:val="single"/>
        </w:rPr>
        <w:t xml:space="preserve">            </w:t>
      </w:r>
      <w:r>
        <w:rPr>
          <w:rFonts w:ascii="Cambria" w:hAnsi="Cambria"/>
          <w:szCs w:val="21"/>
          <w:u w:val="single"/>
        </w:rPr>
        <w:t xml:space="preserve">    </w:t>
      </w:r>
      <w:r>
        <w:rPr>
          <w:rFonts w:hint="eastAsia" w:ascii="Cambria" w:hAnsi="Cambria"/>
          <w:szCs w:val="21"/>
          <w:u w:val="single"/>
        </w:rPr>
        <w:t xml:space="preserve">      </w:t>
      </w:r>
    </w:p>
    <w:p w14:paraId="72A20724">
      <w:pPr>
        <w:spacing w:line="360" w:lineRule="auto"/>
      </w:pPr>
      <w:r>
        <w:t>法定代表人：</w:t>
      </w:r>
      <w:r>
        <w:rPr>
          <w:rFonts w:hint="eastAsia"/>
          <w:u w:val="single"/>
        </w:rPr>
        <w:t xml:space="preserve">                 </w:t>
      </w:r>
      <w:r>
        <w:rPr>
          <w:rFonts w:hint="eastAsia"/>
        </w:rPr>
        <w:t xml:space="preserve">        </w:t>
      </w:r>
      <w:r>
        <w:t>法定代表人：</w:t>
      </w:r>
      <w:r>
        <w:rPr>
          <w:rFonts w:hint="eastAsia"/>
          <w:u w:val="single"/>
        </w:rPr>
        <w:t xml:space="preserve">                 </w:t>
      </w:r>
      <w:r>
        <w:rPr>
          <w:rFonts w:hint="eastAsia"/>
        </w:rPr>
        <w:t xml:space="preserve"> </w:t>
      </w:r>
    </w:p>
    <w:p w14:paraId="4CF8DFCC">
      <w:pPr>
        <w:spacing w:line="360" w:lineRule="auto"/>
      </w:pPr>
      <w:r>
        <w:t>或委托代表人：</w:t>
      </w:r>
      <w:r>
        <w:rPr>
          <w:rFonts w:hint="eastAsia"/>
          <w:u w:val="single"/>
        </w:rPr>
        <w:t xml:space="preserve">                   </w:t>
      </w:r>
      <w:r>
        <w:rPr>
          <w:rFonts w:hint="eastAsia"/>
        </w:rPr>
        <w:t xml:space="preserve">  </w:t>
      </w:r>
      <w:r>
        <w:t xml:space="preserve">  或委托代表人：</w:t>
      </w:r>
      <w:r>
        <w:rPr>
          <w:rFonts w:hint="eastAsia"/>
          <w:u w:val="single"/>
        </w:rPr>
        <w:t xml:space="preserve">                     </w:t>
      </w:r>
    </w:p>
    <w:p w14:paraId="02AE685C">
      <w:pPr>
        <w:spacing w:line="440" w:lineRule="exact"/>
      </w:pPr>
      <w:r>
        <w:t>电话：</w:t>
      </w:r>
      <w:r>
        <w:rPr>
          <w:u w:val="single"/>
        </w:rPr>
        <w:t xml:space="preserve">        </w:t>
      </w:r>
      <w:r>
        <w:rPr>
          <w:rFonts w:hint="eastAsia"/>
          <w:u w:val="single"/>
        </w:rPr>
        <w:t xml:space="preserve">   </w:t>
      </w:r>
      <w:r>
        <w:rPr>
          <w:rFonts w:hint="eastAsia"/>
        </w:rPr>
        <w:t xml:space="preserve">                        </w:t>
      </w:r>
      <w:r>
        <w:t xml:space="preserve"> 电话：</w:t>
      </w:r>
      <w:r>
        <w:rPr>
          <w:u w:val="single"/>
        </w:rPr>
        <w:t xml:space="preserve">                </w:t>
      </w:r>
    </w:p>
    <w:p w14:paraId="77E63D54">
      <w:pPr>
        <w:spacing w:line="440" w:lineRule="exact"/>
        <w:rPr>
          <w:u w:val="single"/>
        </w:rPr>
      </w:pPr>
      <w:r>
        <w:t>传真：</w:t>
      </w:r>
      <w:r>
        <w:rPr>
          <w:u w:val="single"/>
        </w:rPr>
        <w:t xml:space="preserve">           </w:t>
      </w:r>
      <w:r>
        <w:t xml:space="preserve">              </w:t>
      </w:r>
      <w:r>
        <w:rPr>
          <w:rFonts w:hint="eastAsia"/>
        </w:rPr>
        <w:t xml:space="preserve">          </w:t>
      </w:r>
      <w:r>
        <w:t xml:space="preserve"> 传真：</w:t>
      </w:r>
      <w:r>
        <w:rPr>
          <w:rFonts w:hint="eastAsia"/>
          <w:u w:val="single"/>
        </w:rPr>
        <w:t xml:space="preserve"> </w:t>
      </w:r>
      <w:r>
        <w:rPr>
          <w:u w:val="single"/>
        </w:rPr>
        <w:t xml:space="preserve">               </w:t>
      </w:r>
    </w:p>
    <w:p w14:paraId="56CBAA4A">
      <w:pPr>
        <w:spacing w:line="440" w:lineRule="exact"/>
        <w:rPr>
          <w:u w:val="single"/>
        </w:rPr>
      </w:pPr>
      <w:r>
        <w:t>开户银行：</w:t>
      </w:r>
      <w:r>
        <w:rPr>
          <w:rFonts w:hint="eastAsia"/>
          <w:u w:val="single"/>
        </w:rPr>
        <w:t xml:space="preserve">           </w:t>
      </w:r>
      <w:r>
        <w:rPr>
          <w:rFonts w:hint="eastAsia"/>
        </w:rPr>
        <w:t xml:space="preserve">  </w:t>
      </w:r>
      <w:r>
        <w:t xml:space="preserve">                  开户银行：</w:t>
      </w:r>
      <w:r>
        <w:rPr>
          <w:rFonts w:hint="eastAsia"/>
          <w:u w:val="single"/>
        </w:rPr>
        <w:t xml:space="preserve">                </w:t>
      </w:r>
      <w:r>
        <w:rPr>
          <w:u w:val="single"/>
        </w:rPr>
        <w:t xml:space="preserve"> </w:t>
      </w:r>
    </w:p>
    <w:p w14:paraId="5E50C381">
      <w:pPr>
        <w:spacing w:line="440" w:lineRule="exact"/>
      </w:pPr>
      <w:r>
        <w:t>账号：</w:t>
      </w:r>
      <w:r>
        <w:rPr>
          <w:rFonts w:hint="eastAsia"/>
          <w:u w:val="single"/>
        </w:rPr>
        <w:t xml:space="preserve"> </w:t>
      </w:r>
      <w:r>
        <w:rPr>
          <w:u w:val="single"/>
        </w:rPr>
        <w:t xml:space="preserve">              </w:t>
      </w:r>
      <w:r>
        <w:t xml:space="preserve">      </w:t>
      </w:r>
      <w:r>
        <w:rPr>
          <w:rFonts w:hint="eastAsia"/>
        </w:rPr>
        <w:t xml:space="preserve">        </w:t>
      </w:r>
      <w:r>
        <w:t xml:space="preserve">      账号：</w:t>
      </w:r>
      <w:r>
        <w:rPr>
          <w:rFonts w:hint="eastAsia"/>
          <w:u w:val="single"/>
        </w:rPr>
        <w:t xml:space="preserve"> </w:t>
      </w:r>
      <w:r>
        <w:rPr>
          <w:u w:val="single"/>
        </w:rPr>
        <w:t xml:space="preserve">                </w:t>
      </w:r>
    </w:p>
    <w:p w14:paraId="5B6917E9">
      <w:pPr>
        <w:spacing w:line="440" w:lineRule="exact"/>
        <w:rPr>
          <w:szCs w:val="21"/>
          <w:u w:val="single"/>
        </w:rPr>
      </w:pPr>
      <w:r>
        <w:t>邮政编码：</w:t>
      </w:r>
      <w:r>
        <w:rPr>
          <w:u w:val="single"/>
        </w:rPr>
        <w:t xml:space="preserve">          </w:t>
      </w:r>
      <w:r>
        <w:rPr>
          <w:rFonts w:hint="eastAsia"/>
          <w:u w:val="single"/>
        </w:rPr>
        <w:t xml:space="preserve"> </w:t>
      </w:r>
      <w:r>
        <w:rPr>
          <w:rFonts w:hint="eastAsia"/>
        </w:rPr>
        <w:t xml:space="preserve">                    </w:t>
      </w:r>
      <w:r>
        <w:t>邮政编码：</w:t>
      </w:r>
      <w:r>
        <w:rPr>
          <w:u w:val="single"/>
        </w:rPr>
        <w:t xml:space="preserve">         </w:t>
      </w:r>
    </w:p>
    <w:p w14:paraId="69C71CA2">
      <w:pPr>
        <w:rPr>
          <w:szCs w:val="21"/>
          <w:u w:val="single"/>
        </w:rPr>
      </w:pPr>
    </w:p>
    <w:p w14:paraId="16A26EA3">
      <w:pPr>
        <w:rPr>
          <w:szCs w:val="21"/>
          <w:u w:val="single"/>
        </w:rPr>
      </w:pPr>
    </w:p>
    <w:p w14:paraId="3315DCCF">
      <w:pPr>
        <w:spacing w:line="360" w:lineRule="auto"/>
        <w:ind w:left="6008" w:hanging="6008" w:hangingChars="2850"/>
        <w:sectPr>
          <w:pgSz w:w="11906" w:h="16838"/>
          <w:pgMar w:top="1440" w:right="1797" w:bottom="1440" w:left="1797" w:header="851" w:footer="992" w:gutter="0"/>
          <w:cols w:space="720" w:num="1"/>
          <w:docGrid w:linePitch="312" w:charSpace="0"/>
        </w:sectPr>
      </w:pPr>
      <w:r>
        <w:rPr>
          <w:rFonts w:hint="eastAsia"/>
          <w:b/>
          <w:bCs/>
          <w:szCs w:val="21"/>
        </w:rPr>
        <w:t>合同签订日期：</w:t>
      </w:r>
      <w:r>
        <w:rPr>
          <w:rFonts w:hint="eastAsia"/>
          <w:b/>
          <w:bCs/>
          <w:szCs w:val="21"/>
          <w:u w:val="single"/>
        </w:rPr>
        <w:t xml:space="preserve">  2024</w:t>
      </w:r>
      <w:r>
        <w:rPr>
          <w:b/>
          <w:bCs/>
          <w:szCs w:val="21"/>
          <w:u w:val="single"/>
        </w:rPr>
        <w:t xml:space="preserve">    </w:t>
      </w:r>
      <w:r>
        <w:rPr>
          <w:rFonts w:hint="eastAsia"/>
          <w:b/>
          <w:bCs/>
          <w:szCs w:val="21"/>
        </w:rPr>
        <w:t>年</w:t>
      </w:r>
      <w:r>
        <w:rPr>
          <w:rFonts w:hint="eastAsia"/>
          <w:b/>
          <w:bCs/>
          <w:szCs w:val="21"/>
          <w:u w:val="single"/>
        </w:rPr>
        <w:t xml:space="preserve">  </w:t>
      </w:r>
      <w:r>
        <w:rPr>
          <w:b/>
          <w:bCs/>
          <w:szCs w:val="21"/>
          <w:u w:val="single"/>
        </w:rPr>
        <w:t xml:space="preserve">    </w:t>
      </w:r>
      <w:r>
        <w:rPr>
          <w:rFonts w:hint="eastAsia"/>
          <w:b/>
          <w:bCs/>
          <w:szCs w:val="21"/>
        </w:rPr>
        <w:t>月</w:t>
      </w:r>
      <w:r>
        <w:rPr>
          <w:rFonts w:hint="eastAsia"/>
          <w:b/>
          <w:bCs/>
          <w:szCs w:val="21"/>
          <w:u w:val="single"/>
        </w:rPr>
        <w:t xml:space="preserve">      </w:t>
      </w:r>
      <w:r>
        <w:rPr>
          <w:rFonts w:hint="eastAsia"/>
          <w:b/>
          <w:bCs/>
          <w:szCs w:val="21"/>
        </w:rPr>
        <w:t>日</w:t>
      </w:r>
    </w:p>
    <w:p w14:paraId="3D89D151">
      <w:pPr>
        <w:jc w:val="center"/>
        <w:rPr>
          <w:b/>
          <w:sz w:val="44"/>
          <w:szCs w:val="44"/>
        </w:rPr>
      </w:pPr>
    </w:p>
    <w:p w14:paraId="6B2FEF0F">
      <w:pPr>
        <w:jc w:val="center"/>
        <w:rPr>
          <w:b/>
          <w:sz w:val="44"/>
          <w:szCs w:val="44"/>
        </w:rPr>
      </w:pPr>
    </w:p>
    <w:p w14:paraId="28F2FC1A">
      <w:pPr>
        <w:jc w:val="center"/>
        <w:rPr>
          <w:b/>
          <w:sz w:val="44"/>
          <w:szCs w:val="44"/>
        </w:rPr>
      </w:pPr>
    </w:p>
    <w:p w14:paraId="0CBE296C">
      <w:pPr>
        <w:jc w:val="center"/>
        <w:rPr>
          <w:b/>
          <w:sz w:val="44"/>
          <w:szCs w:val="44"/>
        </w:rPr>
      </w:pPr>
    </w:p>
    <w:p w14:paraId="7647BBA5">
      <w:pPr>
        <w:jc w:val="center"/>
        <w:rPr>
          <w:b/>
          <w:sz w:val="44"/>
          <w:szCs w:val="44"/>
        </w:rPr>
      </w:pPr>
      <w:r>
        <w:rPr>
          <w:b/>
          <w:sz w:val="44"/>
          <w:szCs w:val="44"/>
        </w:rPr>
        <w:t>第</w:t>
      </w:r>
      <w:r>
        <w:rPr>
          <w:rFonts w:hint="eastAsia"/>
          <w:b/>
          <w:sz w:val="44"/>
          <w:szCs w:val="44"/>
        </w:rPr>
        <w:t>二节 合同条款通用部分</w:t>
      </w:r>
    </w:p>
    <w:p w14:paraId="38F6979C">
      <w:pPr>
        <w:jc w:val="center"/>
        <w:rPr>
          <w:b/>
          <w:sz w:val="44"/>
          <w:szCs w:val="44"/>
        </w:rPr>
      </w:pPr>
    </w:p>
    <w:p w14:paraId="67232073">
      <w:pPr>
        <w:pStyle w:val="359"/>
        <w:jc w:val="center"/>
        <w:rPr>
          <w:sz w:val="28"/>
          <w:szCs w:val="28"/>
        </w:rPr>
      </w:pPr>
      <w:r>
        <w:br w:type="page"/>
      </w:r>
      <w:bookmarkStart w:id="162" w:name="_Toc142385526"/>
      <w:r>
        <w:rPr>
          <w:rFonts w:hint="eastAsia"/>
          <w:sz w:val="28"/>
          <w:szCs w:val="28"/>
        </w:rPr>
        <w:t>通用合同条款</w:t>
      </w:r>
      <w:bookmarkEnd w:id="162"/>
    </w:p>
    <w:p w14:paraId="49A0C161">
      <w:pPr>
        <w:spacing w:line="400" w:lineRule="exact"/>
      </w:pPr>
    </w:p>
    <w:p w14:paraId="37278BC4">
      <w:pPr>
        <w:pStyle w:val="548"/>
        <w:spacing w:before="120" w:after="120"/>
        <w:rPr>
          <w:rFonts w:cs="仿宋_GB2312"/>
        </w:rPr>
      </w:pPr>
      <w:bookmarkStart w:id="163" w:name="_Toc142385527"/>
      <w:bookmarkStart w:id="164" w:name="_Toc442365614"/>
      <w:bookmarkStart w:id="165" w:name="_Toc448758522"/>
      <w:bookmarkStart w:id="166" w:name="_Toc469660017"/>
      <w:bookmarkStart w:id="167" w:name="_Toc342296262"/>
      <w:bookmarkStart w:id="168" w:name="_Toc132618598"/>
      <w:bookmarkStart w:id="169" w:name="_Toc132618989"/>
      <w:bookmarkStart w:id="170" w:name="_Toc338944704"/>
      <w:bookmarkStart w:id="171" w:name="_Toc109914305"/>
      <w:bookmarkStart w:id="172" w:name="_Toc129798240"/>
      <w:bookmarkStart w:id="173" w:name="_Toc448758422"/>
      <w:r>
        <w:rPr>
          <w:rFonts w:cs="仿宋_GB2312"/>
        </w:rPr>
        <w:t>1. 一般约定</w:t>
      </w:r>
      <w:bookmarkEnd w:id="163"/>
      <w:bookmarkEnd w:id="164"/>
      <w:bookmarkEnd w:id="165"/>
      <w:bookmarkEnd w:id="166"/>
      <w:bookmarkEnd w:id="167"/>
      <w:bookmarkEnd w:id="168"/>
      <w:bookmarkEnd w:id="169"/>
      <w:bookmarkEnd w:id="170"/>
      <w:bookmarkEnd w:id="171"/>
      <w:bookmarkEnd w:id="172"/>
      <w:bookmarkEnd w:id="173"/>
    </w:p>
    <w:p w14:paraId="0329BCC4">
      <w:pPr>
        <w:pStyle w:val="512"/>
        <w:spacing w:before="120" w:after="120"/>
      </w:pPr>
      <w:bookmarkStart w:id="174" w:name="_Toc132618599"/>
      <w:bookmarkStart w:id="175" w:name="_Toc132618990"/>
      <w:bookmarkStart w:id="176" w:name="_Toc142385528"/>
      <w:bookmarkStart w:id="177" w:name="_Toc342296263"/>
      <w:bookmarkStart w:id="178" w:name="_Toc129798241"/>
      <w:bookmarkStart w:id="179" w:name="_Toc109914306"/>
      <w:bookmarkStart w:id="180" w:name="_Toc338944705"/>
      <w:r>
        <w:t>1.1 词语定义</w:t>
      </w:r>
      <w:bookmarkEnd w:id="174"/>
      <w:bookmarkEnd w:id="175"/>
      <w:bookmarkEnd w:id="176"/>
      <w:bookmarkEnd w:id="177"/>
      <w:bookmarkEnd w:id="178"/>
      <w:bookmarkEnd w:id="179"/>
      <w:bookmarkEnd w:id="180"/>
    </w:p>
    <w:p w14:paraId="733B6785">
      <w:pPr>
        <w:spacing w:line="400" w:lineRule="exact"/>
        <w:ind w:firstLine="420" w:firstLineChars="200"/>
      </w:pPr>
      <w:r>
        <w:t>通用合同条款、专用合同条款中的下列词语应具有本款所赋予的含义。</w:t>
      </w:r>
    </w:p>
    <w:p w14:paraId="48FF3BA0">
      <w:pPr>
        <w:spacing w:line="400" w:lineRule="exact"/>
        <w:ind w:firstLine="420" w:firstLineChars="200"/>
      </w:pPr>
      <w:r>
        <w:t xml:space="preserve">1.1.1 </w:t>
      </w:r>
      <w:r>
        <w:rPr>
          <w:rFonts w:hint="eastAsia" w:ascii="宋体" w:hAnsi="宋体" w:cs="宋体"/>
        </w:rPr>
        <w:t>合同</w:t>
      </w:r>
    </w:p>
    <w:p w14:paraId="029F3FAC">
      <w:pPr>
        <w:spacing w:line="400" w:lineRule="exact"/>
        <w:ind w:firstLine="718" w:firstLineChars="342"/>
      </w:pPr>
      <w:r>
        <w:t>1.1.1.1 合同文件（或称合同）：指合同协议书、中标通知书、投标函及投标函附录、专用合同条款、通用合同条款、技术标准和要求、图纸、已标价工程量清单，以及其他合同文件。</w:t>
      </w:r>
    </w:p>
    <w:p w14:paraId="325A5518">
      <w:pPr>
        <w:spacing w:line="400" w:lineRule="exact"/>
        <w:ind w:firstLine="718" w:firstLineChars="342"/>
      </w:pPr>
      <w:r>
        <w:t>1.1.1.2 合同协议书：指第1.5款所指的合同协议书。</w:t>
      </w:r>
    </w:p>
    <w:p w14:paraId="4E7F489F">
      <w:pPr>
        <w:spacing w:line="400" w:lineRule="exact"/>
        <w:ind w:firstLine="718" w:firstLineChars="342"/>
      </w:pPr>
      <w:r>
        <w:t>1.1.1.3 中标通知书：指发包人通知承包人中标的函件。</w:t>
      </w:r>
    </w:p>
    <w:p w14:paraId="0411D082">
      <w:pPr>
        <w:spacing w:line="400" w:lineRule="exact"/>
        <w:ind w:firstLine="718" w:firstLineChars="342"/>
        <w:rPr>
          <w:dstrike/>
          <w:szCs w:val="21"/>
        </w:rPr>
      </w:pPr>
      <w:r>
        <w:t>1.1.1.4 投标函：指构成合同文件组成部分的由承包人填写并签署的投标函。</w:t>
      </w:r>
    </w:p>
    <w:p w14:paraId="3A78CF69">
      <w:pPr>
        <w:spacing w:line="400" w:lineRule="exact"/>
        <w:ind w:firstLine="718" w:firstLineChars="342"/>
      </w:pPr>
      <w:r>
        <w:t>1.1.1.5 投标函附录：指附在投标函后构成合同文件的投标函附录。</w:t>
      </w:r>
    </w:p>
    <w:p w14:paraId="47B9D439">
      <w:pPr>
        <w:spacing w:line="400" w:lineRule="exact"/>
        <w:ind w:firstLine="718" w:firstLineChars="342"/>
      </w:pPr>
      <w:r>
        <w:t>1.1.1.6 技术标准和要求：指构成合同文件组成部分的名为技术标准和要求的文件，包括合同双方当事人约定对其所作的修改或补充。</w:t>
      </w:r>
    </w:p>
    <w:p w14:paraId="3F0F69D2">
      <w:pPr>
        <w:spacing w:line="400" w:lineRule="exact"/>
        <w:ind w:firstLine="718" w:firstLineChars="342"/>
      </w:pPr>
      <w:r>
        <w:t>1.1.1.7图纸：指包含在合同中的工程图纸，以及由发包人按合同约定提供的任何补充和修改的图纸，包括配套的说明。</w:t>
      </w:r>
    </w:p>
    <w:p w14:paraId="4D5B7255">
      <w:pPr>
        <w:spacing w:line="400" w:lineRule="exact"/>
        <w:ind w:firstLine="718" w:firstLineChars="342"/>
      </w:pPr>
      <w:r>
        <w:t>1.1.1.8 已标价工程量清单：指构成合同文件组成部分的由承包人按照规定的格式和要求填写并标明价格的工程量清单。</w:t>
      </w:r>
    </w:p>
    <w:p w14:paraId="483E06F0">
      <w:pPr>
        <w:spacing w:line="400" w:lineRule="exact"/>
        <w:ind w:firstLine="718" w:firstLineChars="342"/>
      </w:pPr>
      <w:r>
        <w:t>1.1.1.9 其他合同文件：指经合同双方当事人确认构成合同文件的其他文件。</w:t>
      </w:r>
    </w:p>
    <w:p w14:paraId="0E9CF9C9">
      <w:pPr>
        <w:spacing w:line="400" w:lineRule="exact"/>
        <w:ind w:firstLine="420" w:firstLineChars="200"/>
      </w:pPr>
      <w:r>
        <w:t xml:space="preserve">1.1.2 </w:t>
      </w:r>
      <w:r>
        <w:rPr>
          <w:rFonts w:hint="eastAsia" w:ascii="宋体" w:hAnsi="宋体" w:cs="宋体"/>
        </w:rPr>
        <w:t>合同当事人和人员</w:t>
      </w:r>
    </w:p>
    <w:p w14:paraId="37274A45">
      <w:pPr>
        <w:spacing w:line="400" w:lineRule="exact"/>
        <w:ind w:firstLine="718" w:firstLineChars="342"/>
      </w:pPr>
      <w:r>
        <w:t>1.1.2.1 合同当事人:指发包人和（或）承包人。</w:t>
      </w:r>
    </w:p>
    <w:p w14:paraId="79590005">
      <w:pPr>
        <w:spacing w:line="400" w:lineRule="exact"/>
        <w:ind w:firstLine="718" w:firstLineChars="342"/>
      </w:pPr>
      <w:r>
        <w:t>1.1.2.2 发包人：指专用合同条款中指明并与承包人在合同协议书中签字的当事人。</w:t>
      </w:r>
    </w:p>
    <w:p w14:paraId="6662C08B">
      <w:pPr>
        <w:spacing w:line="400" w:lineRule="exact"/>
        <w:ind w:firstLine="718" w:firstLineChars="342"/>
      </w:pPr>
      <w:r>
        <w:t>1.1.2.3 承包人：指与发包人签订合同协议书的当事人。</w:t>
      </w:r>
    </w:p>
    <w:p w14:paraId="758170BB">
      <w:pPr>
        <w:spacing w:line="400" w:lineRule="exact"/>
        <w:ind w:firstLine="718" w:firstLineChars="342"/>
      </w:pPr>
      <w:r>
        <w:t>1.1.2.4 承包人项目经理：指承包人派驻施工场地的全权负责人。</w:t>
      </w:r>
    </w:p>
    <w:p w14:paraId="01CEA6C8">
      <w:pPr>
        <w:spacing w:line="400" w:lineRule="exact"/>
        <w:ind w:firstLine="718" w:firstLineChars="342"/>
      </w:pPr>
      <w:r>
        <w:t>1.1.2.5 分包人：指从承包人处分包合同中某一部分工程，并与其签订分包合同的分包人。</w:t>
      </w:r>
    </w:p>
    <w:p w14:paraId="6FE0E90C">
      <w:pPr>
        <w:spacing w:line="400" w:lineRule="exact"/>
        <w:ind w:firstLine="718" w:firstLineChars="342"/>
      </w:pPr>
      <w:r>
        <w:t>1.1.2.6 监理人：指在专用合同条款中指明的，受发包人委托对合同履行实施管理的法人或其他组织。</w:t>
      </w:r>
    </w:p>
    <w:p w14:paraId="22595984">
      <w:pPr>
        <w:spacing w:line="400" w:lineRule="exact"/>
        <w:ind w:firstLine="718" w:firstLineChars="342"/>
      </w:pPr>
      <w:r>
        <w:t>1.1.2.7 总监理工程师（总监）：指由监理人委派常驻施工场地对合同履行实施管理的全权负责人。</w:t>
      </w:r>
    </w:p>
    <w:p w14:paraId="58CBD393">
      <w:pPr>
        <w:spacing w:line="400" w:lineRule="exact"/>
        <w:ind w:firstLine="420" w:firstLineChars="200"/>
      </w:pPr>
      <w:r>
        <w:t xml:space="preserve">1.1.3 </w:t>
      </w:r>
      <w:r>
        <w:rPr>
          <w:rFonts w:hint="eastAsia" w:ascii="宋体" w:hAnsi="宋体" w:cs="宋体"/>
        </w:rPr>
        <w:t>工程和设备</w:t>
      </w:r>
    </w:p>
    <w:p w14:paraId="1E809834">
      <w:pPr>
        <w:spacing w:line="400" w:lineRule="exact"/>
        <w:ind w:firstLine="718" w:firstLineChars="342"/>
      </w:pPr>
      <w:r>
        <w:t>1.1.3.1 工程：指永久工程和（或）临时工程。</w:t>
      </w:r>
    </w:p>
    <w:p w14:paraId="465BC8A6">
      <w:pPr>
        <w:spacing w:line="400" w:lineRule="exact"/>
        <w:ind w:firstLine="718" w:firstLineChars="342"/>
      </w:pPr>
      <w:r>
        <w:t>1.1.3.2 永久工程：指按合同约定建造并移交给发包人的工程，包括工程设备。</w:t>
      </w:r>
    </w:p>
    <w:p w14:paraId="4A2D6644">
      <w:pPr>
        <w:spacing w:line="400" w:lineRule="exact"/>
        <w:ind w:firstLine="718" w:firstLineChars="342"/>
      </w:pPr>
      <w:r>
        <w:t>1.1.3.3 临时工程：指为完成合同约定的永久工程所修建的各类临时性工程，不包括施工设备。</w:t>
      </w:r>
    </w:p>
    <w:p w14:paraId="4AB91000">
      <w:pPr>
        <w:spacing w:line="400" w:lineRule="exact"/>
        <w:ind w:firstLine="718" w:firstLineChars="342"/>
      </w:pPr>
      <w:r>
        <w:t>1.1.3.4 单位工程：指专用合同条款中指明特定范围的永久工程。</w:t>
      </w:r>
    </w:p>
    <w:p w14:paraId="38A7ACE9">
      <w:pPr>
        <w:spacing w:line="400" w:lineRule="exact"/>
        <w:ind w:firstLine="718" w:firstLineChars="342"/>
      </w:pPr>
      <w:r>
        <w:t>1.1.3.5 工程设备：指构成或计划构成永久工程一部分的机电设备、金属结构设备、仪器装置及其他类似的设备和装置。</w:t>
      </w:r>
    </w:p>
    <w:p w14:paraId="13A1497A">
      <w:pPr>
        <w:spacing w:line="400" w:lineRule="exact"/>
        <w:ind w:firstLine="718" w:firstLineChars="342"/>
      </w:pPr>
      <w:r>
        <w:t>1.1.3.6 施工设备：指为完成合同约定的各项工作所需的设备、器具和其他物品，不包括临时工程和材料。</w:t>
      </w:r>
    </w:p>
    <w:p w14:paraId="2D8C9733">
      <w:pPr>
        <w:spacing w:line="400" w:lineRule="exact"/>
        <w:ind w:firstLine="718" w:firstLineChars="342"/>
      </w:pPr>
      <w:r>
        <w:t>1.1.3.7 临时设施：指为完成合同约定的各项工作所服务的临时性生产和生活设施。</w:t>
      </w:r>
    </w:p>
    <w:p w14:paraId="05915D1E">
      <w:pPr>
        <w:spacing w:line="400" w:lineRule="exact"/>
        <w:ind w:firstLine="718" w:firstLineChars="342"/>
      </w:pPr>
      <w:r>
        <w:t>1.1.3.8 承包人设备：指承包人自带的施工设备。</w:t>
      </w:r>
    </w:p>
    <w:p w14:paraId="34ADF65B">
      <w:pPr>
        <w:spacing w:line="400" w:lineRule="exact"/>
        <w:ind w:firstLine="718" w:firstLineChars="342"/>
      </w:pPr>
      <w:r>
        <w:t>1.1.3.9 施工场地（或称工地、现场）：指用于合同工程施工的场所，以及在合同中指定作为施工场地组成部分的其他场所，包括永久占地和临时占地。</w:t>
      </w:r>
    </w:p>
    <w:p w14:paraId="10D0CC37">
      <w:pPr>
        <w:spacing w:line="400" w:lineRule="exact"/>
        <w:ind w:firstLine="718" w:firstLineChars="342"/>
      </w:pPr>
      <w:r>
        <w:t>1.1.3.10 永久占地：指专用合同条款中指明为实施合同工程需永久占用的土地。</w:t>
      </w:r>
    </w:p>
    <w:p w14:paraId="35371493">
      <w:pPr>
        <w:spacing w:line="400" w:lineRule="exact"/>
        <w:ind w:firstLine="718" w:firstLineChars="342"/>
      </w:pPr>
      <w:r>
        <w:t>1.1.3.11 临时占地：指专用合同条款中指明为实施合同工程需临时占用的土地。</w:t>
      </w:r>
    </w:p>
    <w:p w14:paraId="1D1D26E4">
      <w:pPr>
        <w:spacing w:line="400" w:lineRule="exact"/>
        <w:ind w:firstLine="420" w:firstLineChars="200"/>
      </w:pPr>
      <w:r>
        <w:t xml:space="preserve">1.1.4 </w:t>
      </w:r>
      <w:r>
        <w:rPr>
          <w:rFonts w:hint="eastAsia" w:ascii="宋体" w:hAnsi="宋体" w:cs="宋体"/>
        </w:rPr>
        <w:t>日期</w:t>
      </w:r>
    </w:p>
    <w:p w14:paraId="0269CA5B">
      <w:pPr>
        <w:spacing w:line="400" w:lineRule="exact"/>
        <w:ind w:firstLine="718" w:firstLineChars="342"/>
      </w:pPr>
      <w:r>
        <w:t>1.1.4.1 开工通知：指监理人按第11.1款通知承包人开工的函件。</w:t>
      </w:r>
    </w:p>
    <w:p w14:paraId="2F84AA26">
      <w:pPr>
        <w:spacing w:line="400" w:lineRule="exact"/>
        <w:ind w:firstLine="718" w:firstLineChars="342"/>
      </w:pPr>
      <w:r>
        <w:t>1.1.4.2 开工日期：指监理人按第11.1款发出的开工通知中写明的开工日期。</w:t>
      </w:r>
    </w:p>
    <w:p w14:paraId="0F804A47">
      <w:pPr>
        <w:spacing w:line="400" w:lineRule="exact"/>
        <w:ind w:firstLine="718" w:firstLineChars="342"/>
      </w:pPr>
      <w:r>
        <w:t>1.1.4.3工期：指承包人在投标函中承诺的完成合同工程所需的期限，包括按第11.3款、第11.4款和第11.6款约定所作的变更。</w:t>
      </w:r>
    </w:p>
    <w:p w14:paraId="47AE4170">
      <w:pPr>
        <w:spacing w:line="400" w:lineRule="exact"/>
        <w:ind w:firstLine="718" w:firstLineChars="342"/>
      </w:pPr>
      <w:r>
        <w:t>1.1.4.4 竣工日期：指第1.1.4.3目约定工期届满时的日期。实际竣工日期以工程接收证书中写明的日期为准。</w:t>
      </w:r>
    </w:p>
    <w:p w14:paraId="03112FA5">
      <w:pPr>
        <w:spacing w:line="400" w:lineRule="exact"/>
        <w:ind w:firstLine="718" w:firstLineChars="342"/>
      </w:pPr>
      <w:r>
        <w:t>1.1.4.5 缺陷责任期：指履行第19.2款约定的缺陷责任的期限，具体期限由专用合同条款约定，包括根据第19.3款约定所作的延长。</w:t>
      </w:r>
    </w:p>
    <w:p w14:paraId="455D8B22">
      <w:pPr>
        <w:spacing w:line="400" w:lineRule="exact"/>
        <w:ind w:firstLine="718" w:firstLineChars="342"/>
      </w:pPr>
      <w:r>
        <w:t>1.1.4.6 基准日期：指投标截止时间前28天的日期。</w:t>
      </w:r>
    </w:p>
    <w:p w14:paraId="30AF680E">
      <w:pPr>
        <w:spacing w:line="400" w:lineRule="exact"/>
        <w:ind w:firstLine="718" w:firstLineChars="342"/>
      </w:pPr>
      <w:r>
        <w:t>1.1.4.7 天：除特别指明外，指日历天。合同中按天计算时间的，开始当天不计入，从次日开始计算。期限最后一天的截止时间为当天24:00。</w:t>
      </w:r>
    </w:p>
    <w:p w14:paraId="54379D41">
      <w:pPr>
        <w:spacing w:line="400" w:lineRule="exact"/>
        <w:ind w:firstLine="420" w:firstLineChars="200"/>
      </w:pPr>
      <w:r>
        <w:t xml:space="preserve">1.1.5 </w:t>
      </w:r>
      <w:r>
        <w:rPr>
          <w:rFonts w:hint="eastAsia" w:ascii="宋体" w:hAnsi="宋体" w:cs="宋体"/>
        </w:rPr>
        <w:t>合同价格和费用</w:t>
      </w:r>
    </w:p>
    <w:p w14:paraId="74989AFB">
      <w:pPr>
        <w:spacing w:line="400" w:lineRule="exact"/>
        <w:ind w:firstLine="718" w:firstLineChars="342"/>
      </w:pPr>
      <w:r>
        <w:t>1.1.5.1 签约合同价：指签定合同时合同协议书中写明的，包括了暂列金额、暂估价的合同总金额。</w:t>
      </w:r>
    </w:p>
    <w:p w14:paraId="1D7E7D41">
      <w:pPr>
        <w:spacing w:line="400" w:lineRule="exact"/>
        <w:ind w:firstLine="718" w:firstLineChars="342"/>
      </w:pPr>
      <w:r>
        <w:t>1.1.5.2 合同价格：指承包人按合同约定完成了包括缺陷责任期内的全部承包工作后，发包人应付给承包人的金额，包括在履行合同过程中按合同约定进行的变更和调整。</w:t>
      </w:r>
    </w:p>
    <w:p w14:paraId="1897FA03">
      <w:pPr>
        <w:spacing w:line="400" w:lineRule="exact"/>
        <w:ind w:firstLine="718" w:firstLineChars="342"/>
      </w:pPr>
      <w:r>
        <w:t>1.1.5.3 费用：指为履行合同所发生的或将要发生的所有合理开支，包括管理费和应分摊的其他费用，但不包括利润。</w:t>
      </w:r>
    </w:p>
    <w:p w14:paraId="195EFEF0">
      <w:pPr>
        <w:spacing w:line="400" w:lineRule="exact"/>
        <w:ind w:firstLine="718" w:firstLineChars="342"/>
      </w:pPr>
      <w:r>
        <w:t>1.1.5.4 暂列金额：指已标价工程量清单中所列的暂列金额，用于在签订协议书时尚未确定或不可预见变更的施工及其所需材料、工程设备、服务等的金额，包括以计日工方式支付的金额。</w:t>
      </w:r>
    </w:p>
    <w:p w14:paraId="6C66F95A">
      <w:pPr>
        <w:spacing w:line="400" w:lineRule="exact"/>
        <w:ind w:firstLine="718" w:firstLineChars="342"/>
      </w:pPr>
      <w:r>
        <w:t>1.1.5.5暂估价：指发包人在工程量清单中给定的用于支付必然发生但暂时不能确定价格的材料、设备以及专业工程的金额。</w:t>
      </w:r>
    </w:p>
    <w:p w14:paraId="4578EC6E">
      <w:pPr>
        <w:spacing w:line="400" w:lineRule="exact"/>
        <w:ind w:firstLine="718" w:firstLineChars="342"/>
      </w:pPr>
      <w:r>
        <w:t>1.1.5.6 计日工：指对零星工作采取的一种计价方式，按合同中的计日工子目及其单价计价付款。</w:t>
      </w:r>
    </w:p>
    <w:p w14:paraId="4B12FFD1">
      <w:pPr>
        <w:spacing w:line="400" w:lineRule="exact"/>
        <w:ind w:firstLine="718" w:firstLineChars="342"/>
      </w:pPr>
      <w:r>
        <w:t>1.1.5.7 质量保证金（或称保留金）：指按第17.4.1项约定用于保证在缺陷责任期内履行缺陷修复义务的金额。</w:t>
      </w:r>
    </w:p>
    <w:p w14:paraId="32ECD62F">
      <w:pPr>
        <w:spacing w:line="400" w:lineRule="exact"/>
        <w:ind w:firstLine="420" w:firstLineChars="200"/>
      </w:pPr>
      <w:r>
        <w:t xml:space="preserve">1.1.6 </w:t>
      </w:r>
      <w:r>
        <w:rPr>
          <w:rFonts w:hint="eastAsia" w:ascii="宋体" w:hAnsi="宋体" w:cs="宋体"/>
        </w:rPr>
        <w:t>其他</w:t>
      </w:r>
    </w:p>
    <w:p w14:paraId="42E19A12">
      <w:pPr>
        <w:spacing w:line="400" w:lineRule="exact"/>
        <w:ind w:firstLine="718" w:firstLineChars="342"/>
      </w:pPr>
      <w:r>
        <w:t>1.1.6.1 书面形式：指合同文件、信函、电报、传真等可以有形地表现所载内容的形式。</w:t>
      </w:r>
    </w:p>
    <w:p w14:paraId="63E08BF0">
      <w:pPr>
        <w:pStyle w:val="512"/>
        <w:spacing w:before="120" w:after="120"/>
      </w:pPr>
      <w:bookmarkStart w:id="181" w:name="_Toc132618991"/>
      <w:bookmarkStart w:id="182" w:name="_Toc342296264"/>
      <w:bookmarkStart w:id="183" w:name="_Toc152045613"/>
      <w:bookmarkStart w:id="184" w:name="_Toc152042391"/>
      <w:bookmarkStart w:id="185" w:name="_Toc132618600"/>
      <w:bookmarkStart w:id="186" w:name="_Toc179632631"/>
      <w:bookmarkStart w:id="187" w:name="_Toc109914307"/>
      <w:bookmarkStart w:id="188" w:name="_Toc338944706"/>
      <w:bookmarkStart w:id="189" w:name="_Toc142385529"/>
      <w:bookmarkStart w:id="190" w:name="_Toc129798242"/>
      <w:bookmarkStart w:id="191" w:name="_Toc144974581"/>
      <w:r>
        <w:t>1.2 语言文字</w:t>
      </w:r>
      <w:bookmarkEnd w:id="181"/>
      <w:bookmarkEnd w:id="182"/>
      <w:bookmarkEnd w:id="183"/>
      <w:bookmarkEnd w:id="184"/>
      <w:bookmarkEnd w:id="185"/>
      <w:bookmarkEnd w:id="186"/>
      <w:bookmarkEnd w:id="187"/>
      <w:bookmarkEnd w:id="188"/>
      <w:bookmarkEnd w:id="189"/>
      <w:bookmarkEnd w:id="190"/>
      <w:bookmarkEnd w:id="191"/>
    </w:p>
    <w:p w14:paraId="38656981">
      <w:pPr>
        <w:spacing w:line="400" w:lineRule="exact"/>
        <w:ind w:firstLine="420" w:firstLineChars="200"/>
      </w:pPr>
      <w:r>
        <w:t>除专用术语外，合同使用的语言文字为中文。必要时专用术语应附有中文注释。</w:t>
      </w:r>
    </w:p>
    <w:p w14:paraId="258D423F">
      <w:pPr>
        <w:pStyle w:val="512"/>
        <w:spacing w:before="120" w:after="120"/>
      </w:pPr>
      <w:bookmarkStart w:id="192" w:name="_Toc152042392"/>
      <w:bookmarkStart w:id="193" w:name="_Toc132618601"/>
      <w:bookmarkStart w:id="194" w:name="_Toc152045614"/>
      <w:bookmarkStart w:id="195" w:name="_Toc179632632"/>
      <w:bookmarkStart w:id="196" w:name="_Toc129798243"/>
      <w:bookmarkStart w:id="197" w:name="_Toc144974582"/>
      <w:bookmarkStart w:id="198" w:name="_Toc338944707"/>
      <w:bookmarkStart w:id="199" w:name="_Toc142385530"/>
      <w:bookmarkStart w:id="200" w:name="_Toc132618992"/>
      <w:bookmarkStart w:id="201" w:name="_Toc109914308"/>
      <w:bookmarkStart w:id="202" w:name="_Toc342296265"/>
      <w:r>
        <w:t>1.3 法律</w:t>
      </w:r>
      <w:bookmarkEnd w:id="192"/>
      <w:bookmarkEnd w:id="193"/>
      <w:bookmarkEnd w:id="194"/>
      <w:bookmarkEnd w:id="195"/>
      <w:bookmarkEnd w:id="196"/>
      <w:bookmarkEnd w:id="197"/>
      <w:bookmarkEnd w:id="198"/>
      <w:bookmarkEnd w:id="199"/>
      <w:bookmarkEnd w:id="200"/>
      <w:bookmarkEnd w:id="201"/>
      <w:bookmarkEnd w:id="202"/>
    </w:p>
    <w:p w14:paraId="37333032">
      <w:pPr>
        <w:spacing w:line="400" w:lineRule="exact"/>
        <w:ind w:firstLine="420" w:firstLineChars="200"/>
      </w:pPr>
      <w:r>
        <w:t>适用于合同的法律包括中华人民共和国法律、行政法规、部门规章，以及工程所在地的地方法规、自治条例、单行条例和地方政府规章。</w:t>
      </w:r>
    </w:p>
    <w:p w14:paraId="41CCC8AD">
      <w:pPr>
        <w:pStyle w:val="512"/>
        <w:spacing w:before="120" w:after="120"/>
      </w:pPr>
      <w:bookmarkStart w:id="203" w:name="_Toc109914309"/>
      <w:bookmarkStart w:id="204" w:name="_Toc132618602"/>
      <w:bookmarkStart w:id="205" w:name="_Toc129798244"/>
      <w:bookmarkStart w:id="206" w:name="_Toc142385531"/>
      <w:bookmarkStart w:id="207" w:name="_Toc338944708"/>
      <w:bookmarkStart w:id="208" w:name="_Toc132618993"/>
      <w:bookmarkStart w:id="209" w:name="_Toc342296266"/>
      <w:r>
        <w:t>1.4 合同文件的优先顺序</w:t>
      </w:r>
      <w:bookmarkEnd w:id="203"/>
      <w:bookmarkEnd w:id="204"/>
      <w:bookmarkEnd w:id="205"/>
      <w:bookmarkEnd w:id="206"/>
      <w:bookmarkEnd w:id="207"/>
      <w:bookmarkEnd w:id="208"/>
      <w:bookmarkEnd w:id="209"/>
    </w:p>
    <w:p w14:paraId="683B7EDE">
      <w:pPr>
        <w:spacing w:line="400" w:lineRule="exact"/>
        <w:ind w:firstLine="420" w:firstLineChars="200"/>
      </w:pPr>
      <w:r>
        <w:t>组成合同的各项文件应互相解释，互为说明。除专用合同条款另有约定外，解释合同文件的优先顺序如下：</w:t>
      </w:r>
    </w:p>
    <w:p w14:paraId="4D7F0BAD">
      <w:pPr>
        <w:spacing w:line="400" w:lineRule="exact"/>
        <w:ind w:firstLine="359" w:firstLineChars="171"/>
      </w:pPr>
      <w:r>
        <w:t>（1）合同协议书；</w:t>
      </w:r>
    </w:p>
    <w:p w14:paraId="1DEFBD72">
      <w:pPr>
        <w:spacing w:line="400" w:lineRule="exact"/>
        <w:ind w:firstLine="359" w:firstLineChars="171"/>
      </w:pPr>
      <w:r>
        <w:t>（2）中标通知书；</w:t>
      </w:r>
    </w:p>
    <w:p w14:paraId="114390D7">
      <w:pPr>
        <w:spacing w:line="400" w:lineRule="exact"/>
        <w:ind w:firstLine="359" w:firstLineChars="171"/>
      </w:pPr>
      <w:r>
        <w:t>（3）投标函及投标函附录；</w:t>
      </w:r>
    </w:p>
    <w:p w14:paraId="68183416">
      <w:pPr>
        <w:spacing w:line="400" w:lineRule="exact"/>
        <w:ind w:firstLine="359" w:firstLineChars="171"/>
      </w:pPr>
      <w:r>
        <w:t>（4）专用合同条款；</w:t>
      </w:r>
    </w:p>
    <w:p w14:paraId="039321BD">
      <w:pPr>
        <w:spacing w:line="400" w:lineRule="exact"/>
        <w:ind w:firstLine="359" w:firstLineChars="171"/>
      </w:pPr>
      <w:r>
        <w:t>（5）通用合同条款；</w:t>
      </w:r>
    </w:p>
    <w:p w14:paraId="3E81F8CC">
      <w:pPr>
        <w:spacing w:line="400" w:lineRule="exact"/>
        <w:ind w:firstLine="359" w:firstLineChars="171"/>
      </w:pPr>
      <w:r>
        <w:t>（6）技术标准和要求；</w:t>
      </w:r>
    </w:p>
    <w:p w14:paraId="1B32793C">
      <w:pPr>
        <w:spacing w:line="400" w:lineRule="exact"/>
        <w:ind w:firstLine="359" w:firstLineChars="171"/>
      </w:pPr>
      <w:r>
        <w:t>（7）图纸；</w:t>
      </w:r>
    </w:p>
    <w:p w14:paraId="7A61C571">
      <w:pPr>
        <w:spacing w:line="400" w:lineRule="exact"/>
        <w:ind w:firstLine="359" w:firstLineChars="171"/>
      </w:pPr>
      <w:r>
        <w:t>（8）已标价工程量清单；</w:t>
      </w:r>
    </w:p>
    <w:p w14:paraId="13E0674E">
      <w:pPr>
        <w:spacing w:line="400" w:lineRule="exact"/>
        <w:ind w:firstLine="359" w:firstLineChars="171"/>
      </w:pPr>
      <w:r>
        <w:t>（9）其他合同文件。</w:t>
      </w:r>
    </w:p>
    <w:p w14:paraId="22E7DA81">
      <w:pPr>
        <w:pStyle w:val="512"/>
        <w:spacing w:before="120" w:after="120"/>
      </w:pPr>
      <w:bookmarkStart w:id="210" w:name="_Toc132618994"/>
      <w:bookmarkStart w:id="211" w:name="_Toc142385532"/>
      <w:bookmarkStart w:id="212" w:name="_Toc338944709"/>
      <w:bookmarkStart w:id="213" w:name="_Toc129798245"/>
      <w:bookmarkStart w:id="214" w:name="_Toc109914310"/>
      <w:bookmarkStart w:id="215" w:name="_Toc342296267"/>
      <w:bookmarkStart w:id="216" w:name="_Toc132618603"/>
      <w:r>
        <w:t>1.5 合同协议书</w:t>
      </w:r>
      <w:bookmarkEnd w:id="210"/>
      <w:bookmarkEnd w:id="211"/>
      <w:bookmarkEnd w:id="212"/>
      <w:bookmarkEnd w:id="213"/>
      <w:bookmarkEnd w:id="214"/>
      <w:bookmarkEnd w:id="215"/>
      <w:bookmarkEnd w:id="216"/>
    </w:p>
    <w:p w14:paraId="33B63F10">
      <w:pPr>
        <w:spacing w:line="400" w:lineRule="exact"/>
        <w:ind w:firstLine="420" w:firstLineChars="200"/>
      </w:pPr>
      <w:r>
        <w:t>承包人按中标通知书规定的时间与发包人签订合同协议书。除法律另有规定或合同另有约定外，发包人和承包人的法定代表人或其委托代理人在合同协议书上签字并盖单位章后，合同生效。</w:t>
      </w:r>
    </w:p>
    <w:p w14:paraId="719E0521">
      <w:pPr>
        <w:pStyle w:val="512"/>
        <w:spacing w:before="120" w:after="120"/>
      </w:pPr>
      <w:bookmarkStart w:id="217" w:name="_Toc129798246"/>
      <w:bookmarkStart w:id="218" w:name="_Toc142385533"/>
      <w:bookmarkStart w:id="219" w:name="_Toc132618604"/>
      <w:bookmarkStart w:id="220" w:name="_Toc338944710"/>
      <w:bookmarkStart w:id="221" w:name="_Toc342296268"/>
      <w:bookmarkStart w:id="222" w:name="_Toc109914311"/>
      <w:bookmarkStart w:id="223" w:name="_Toc132618995"/>
      <w:r>
        <w:t>1.6 图纸和承包人文件</w:t>
      </w:r>
      <w:bookmarkEnd w:id="217"/>
      <w:bookmarkEnd w:id="218"/>
      <w:bookmarkEnd w:id="219"/>
      <w:bookmarkEnd w:id="220"/>
      <w:bookmarkEnd w:id="221"/>
      <w:bookmarkEnd w:id="222"/>
      <w:bookmarkEnd w:id="223"/>
    </w:p>
    <w:p w14:paraId="5637A54B">
      <w:pPr>
        <w:spacing w:line="400" w:lineRule="exact"/>
        <w:ind w:firstLine="420" w:firstLineChars="200"/>
      </w:pPr>
      <w:r>
        <w:t>1.6.1</w:t>
      </w:r>
      <w:r>
        <w:rPr>
          <w:rFonts w:hint="eastAsia" w:ascii="宋体" w:hAnsi="宋体" w:cs="宋体"/>
        </w:rPr>
        <w:t>图纸的提供</w:t>
      </w:r>
      <w:r>
        <w:rPr>
          <w:rFonts w:hint="eastAsia" w:ascii="等线" w:hAnsi="等线" w:eastAsia="等线"/>
        </w:rPr>
        <w:t>和交底</w:t>
      </w:r>
    </w:p>
    <w:p w14:paraId="2FCD1413">
      <w:pPr>
        <w:spacing w:line="400" w:lineRule="exact"/>
        <w:ind w:firstLine="420" w:firstLineChars="200"/>
      </w:pPr>
      <w:r>
        <w:rPr>
          <w:rFonts w:hint="eastAsia"/>
        </w:rPr>
        <w:t>发包人应按照专用合同条款约定的期限、数量和内容向承包人免费提供图纸，并组织承包人、监理人和设计人进行图纸会审和设计交底。</w:t>
      </w:r>
      <w:r>
        <w:t xml:space="preserve">。由于发包人未按时提供图纸造成工期延误的，按第11.3款的约定办理。1.6.2 </w:t>
      </w:r>
      <w:r>
        <w:rPr>
          <w:rFonts w:hint="eastAsia" w:ascii="宋体" w:hAnsi="宋体" w:cs="宋体"/>
        </w:rPr>
        <w:t>承包人提供的文件</w:t>
      </w:r>
    </w:p>
    <w:p w14:paraId="6987F0F8">
      <w:pPr>
        <w:spacing w:line="400" w:lineRule="exact"/>
      </w:pPr>
      <w:r>
        <w:t>　　</w:t>
      </w:r>
      <w:r>
        <w:rPr>
          <w:rFonts w:hint="eastAsia"/>
        </w:rPr>
        <w:t>承包人应按照专用合同条款的约定提供应当由其编制的与工程施工有关的文件，其中应</w:t>
      </w:r>
      <w:r>
        <w:t>包括部分工程的大样图、加工图等</w:t>
      </w:r>
      <w:r>
        <w:rPr>
          <w:rFonts w:hint="eastAsia"/>
        </w:rPr>
        <w:t>。同时按照专用合同条款约定的期限、数量和形式提交监理人，由监理人报送发包人。除专用合同条款另有约定外，监理人应在收到承包人文件后</w:t>
      </w:r>
      <w:r>
        <w:t>7天内审查完毕，监理人对承包人文件有异议的，承包人应予以修改，并重新报送监理人</w:t>
      </w:r>
      <w:r>
        <w:rPr>
          <w:rFonts w:hint="eastAsia"/>
        </w:rPr>
        <w:t>。</w:t>
      </w:r>
    </w:p>
    <w:p w14:paraId="1F3452A8">
      <w:pPr>
        <w:spacing w:line="400" w:lineRule="exact"/>
        <w:ind w:firstLine="420" w:firstLineChars="200"/>
      </w:pPr>
      <w:r>
        <w:t xml:space="preserve">1.6.3 </w:t>
      </w:r>
      <w:r>
        <w:rPr>
          <w:rFonts w:hint="eastAsia" w:ascii="宋体" w:hAnsi="宋体" w:cs="宋体"/>
        </w:rPr>
        <w:t>图纸的修改</w:t>
      </w:r>
    </w:p>
    <w:p w14:paraId="3553B479">
      <w:pPr>
        <w:spacing w:line="400" w:lineRule="exact"/>
        <w:ind w:firstLine="420" w:firstLineChars="200"/>
      </w:pPr>
      <w:r>
        <w:t xml:space="preserve">图纸需要修改和补充的，应由监理人取得发包人同意后，在该工程或工程相应部位施工前的合理期限内签发图纸修改图给承包人，具体签发期限在专用合同条款中约定。承包人应按修改后的图纸施工。 </w:t>
      </w:r>
    </w:p>
    <w:p w14:paraId="673F5DB2">
      <w:pPr>
        <w:spacing w:line="400" w:lineRule="exact"/>
        <w:ind w:firstLine="420" w:firstLineChars="200"/>
      </w:pPr>
      <w:r>
        <w:t xml:space="preserve">1.6.4 </w:t>
      </w:r>
      <w:r>
        <w:rPr>
          <w:rFonts w:hint="eastAsia" w:ascii="宋体" w:hAnsi="宋体" w:cs="宋体"/>
        </w:rPr>
        <w:t>图纸的错误</w:t>
      </w:r>
    </w:p>
    <w:p w14:paraId="04FA6A68">
      <w:pPr>
        <w:spacing w:line="400" w:lineRule="exact"/>
        <w:ind w:firstLine="420" w:firstLineChars="200"/>
      </w:pPr>
      <w:r>
        <w:rPr>
          <w:rFonts w:hint="eastAsia"/>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r>
        <w:t xml:space="preserve">1.6.5 </w:t>
      </w:r>
      <w:r>
        <w:rPr>
          <w:rFonts w:hint="eastAsia" w:ascii="宋体" w:hAnsi="宋体" w:cs="宋体"/>
        </w:rPr>
        <w:t>图纸和承包人文件的保管</w:t>
      </w:r>
    </w:p>
    <w:p w14:paraId="15D0CB1C">
      <w:pPr>
        <w:spacing w:line="400" w:lineRule="exact"/>
        <w:ind w:firstLine="420" w:firstLineChars="200"/>
      </w:pPr>
      <w:r>
        <w:t>监理人和承包人均应在施工场地各保存一套完整的包含第1.6.1项、第1.6.2项、第1.6.3项约定内容的图纸和承包人文件</w:t>
      </w:r>
      <w:r>
        <w:rPr>
          <w:rFonts w:hint="eastAsia"/>
        </w:rPr>
        <w:t>，，供发包人、监理人及有关人员进行工程检查时使用。</w:t>
      </w:r>
    </w:p>
    <w:p w14:paraId="060CB4E9">
      <w:pPr>
        <w:pStyle w:val="512"/>
        <w:spacing w:before="120" w:after="120"/>
      </w:pPr>
      <w:bookmarkStart w:id="224" w:name="_Toc129798247"/>
      <w:bookmarkStart w:id="225" w:name="_Toc342296269"/>
      <w:bookmarkStart w:id="226" w:name="_Toc109914312"/>
      <w:bookmarkStart w:id="227" w:name="_Toc132618996"/>
      <w:bookmarkStart w:id="228" w:name="_Toc142385534"/>
      <w:bookmarkStart w:id="229" w:name="_Toc338944711"/>
      <w:bookmarkStart w:id="230" w:name="_Toc132618605"/>
      <w:r>
        <w:t>1.7 联络</w:t>
      </w:r>
      <w:bookmarkEnd w:id="224"/>
      <w:bookmarkEnd w:id="225"/>
      <w:bookmarkEnd w:id="226"/>
      <w:bookmarkEnd w:id="227"/>
      <w:bookmarkEnd w:id="228"/>
      <w:bookmarkEnd w:id="229"/>
      <w:bookmarkEnd w:id="230"/>
    </w:p>
    <w:p w14:paraId="308509EA">
      <w:pPr>
        <w:spacing w:line="400" w:lineRule="exact"/>
        <w:ind w:firstLine="420" w:firstLineChars="200"/>
      </w:pPr>
      <w:r>
        <w:t>1.7.1 与合同有关的通知、批准、证明、证书、指示、要求、请求、同意、意见、确定和决定等，均应采用书面形式。</w:t>
      </w:r>
    </w:p>
    <w:p w14:paraId="7ADA237B">
      <w:pPr>
        <w:spacing w:line="400" w:lineRule="exact"/>
        <w:ind w:firstLine="420" w:firstLineChars="200"/>
      </w:pPr>
      <w:r>
        <w:t>1.7.2 第1.7.1项中的通知、批准、证明、证书、指示、要求、请求、同意、意见、确定和决定等来往函件，均应在合同约定的期限内送达指定地点和接收人，并办理签收手续。</w:t>
      </w:r>
    </w:p>
    <w:p w14:paraId="1D901ED8">
      <w:pPr>
        <w:pStyle w:val="512"/>
        <w:spacing w:before="120" w:after="120"/>
      </w:pPr>
      <w:bookmarkStart w:id="231" w:name="_Toc129798248"/>
      <w:bookmarkStart w:id="232" w:name="_Toc144974587"/>
      <w:bookmarkStart w:id="233" w:name="_Toc342296270"/>
      <w:bookmarkStart w:id="234" w:name="_Toc179632637"/>
      <w:bookmarkStart w:id="235" w:name="_Toc338944712"/>
      <w:bookmarkStart w:id="236" w:name="_Toc132618606"/>
      <w:bookmarkStart w:id="237" w:name="_Toc142385535"/>
      <w:bookmarkStart w:id="238" w:name="_Toc132618997"/>
      <w:bookmarkStart w:id="239" w:name="_Toc152042397"/>
      <w:bookmarkStart w:id="240" w:name="_Toc109914313"/>
      <w:bookmarkStart w:id="241" w:name="_Toc152045619"/>
      <w:r>
        <w:t>1.8 转让</w:t>
      </w:r>
      <w:bookmarkEnd w:id="231"/>
      <w:bookmarkEnd w:id="232"/>
      <w:bookmarkEnd w:id="233"/>
      <w:bookmarkEnd w:id="234"/>
      <w:bookmarkEnd w:id="235"/>
      <w:bookmarkEnd w:id="236"/>
      <w:bookmarkEnd w:id="237"/>
      <w:bookmarkEnd w:id="238"/>
      <w:bookmarkEnd w:id="239"/>
      <w:bookmarkEnd w:id="240"/>
      <w:bookmarkEnd w:id="241"/>
    </w:p>
    <w:p w14:paraId="3CFC135E">
      <w:pPr>
        <w:spacing w:line="400" w:lineRule="exact"/>
        <w:ind w:firstLine="420" w:firstLineChars="200"/>
      </w:pPr>
      <w:r>
        <w:t>除合同另有约定外，未经对方当事人同意，一方当事人不得将合同权利全部或部分转让给第三人，也不得全部或部分转移合同义务。</w:t>
      </w:r>
    </w:p>
    <w:p w14:paraId="2D7FE141">
      <w:pPr>
        <w:pStyle w:val="512"/>
        <w:spacing w:before="120" w:after="120"/>
      </w:pPr>
      <w:bookmarkStart w:id="242" w:name="_Toc338944713"/>
      <w:bookmarkStart w:id="243" w:name="_Toc342296271"/>
      <w:bookmarkStart w:id="244" w:name="_Toc152045620"/>
      <w:bookmarkStart w:id="245" w:name="_Toc179632638"/>
      <w:bookmarkStart w:id="246" w:name="_Toc132618607"/>
      <w:bookmarkStart w:id="247" w:name="_Toc132618998"/>
      <w:bookmarkStart w:id="248" w:name="_Toc129798249"/>
      <w:bookmarkStart w:id="249" w:name="_Toc142385536"/>
      <w:bookmarkStart w:id="250" w:name="_Toc109914314"/>
      <w:bookmarkStart w:id="251" w:name="_Toc152042398"/>
      <w:bookmarkStart w:id="252" w:name="_Toc144974588"/>
      <w:r>
        <w:t>1.9 严禁贿赂</w:t>
      </w:r>
      <w:bookmarkEnd w:id="242"/>
      <w:bookmarkEnd w:id="243"/>
      <w:bookmarkEnd w:id="244"/>
      <w:bookmarkEnd w:id="245"/>
      <w:bookmarkEnd w:id="246"/>
      <w:bookmarkEnd w:id="247"/>
      <w:bookmarkEnd w:id="248"/>
      <w:bookmarkEnd w:id="249"/>
      <w:bookmarkEnd w:id="250"/>
      <w:bookmarkEnd w:id="251"/>
      <w:bookmarkEnd w:id="252"/>
    </w:p>
    <w:p w14:paraId="1DF147DE">
      <w:pPr>
        <w:spacing w:line="400" w:lineRule="exact"/>
        <w:ind w:firstLine="420" w:firstLineChars="200"/>
      </w:pPr>
      <w:r>
        <w:t>合同双方当事人不得以贿赂或变相贿赂的方式，谋取不当利益或损害对方权益。因贿赂造成对方损失的，行为人应赔偿损失，并承担相应的法律责任。</w:t>
      </w:r>
    </w:p>
    <w:p w14:paraId="4C5ECD8A">
      <w:pPr>
        <w:spacing w:line="400" w:lineRule="exact"/>
        <w:ind w:firstLine="420" w:firstLineChars="200"/>
      </w:pPr>
      <w:r>
        <w:rPr>
          <w:rFonts w:hint="eastAsia"/>
        </w:rPr>
        <w:t>承包人不得与监理人或发包人聘请的第三方串通损害发包人利益。未经发包人书面同意，承包人不得为监理人提供合同约定以外的通讯设备、交通工具及其他任何形式的利益，不得向监理人支付报酬。</w:t>
      </w:r>
    </w:p>
    <w:p w14:paraId="6C000251">
      <w:pPr>
        <w:pStyle w:val="512"/>
        <w:spacing w:before="120" w:after="120"/>
      </w:pPr>
      <w:bookmarkStart w:id="253" w:name="_Toc144974589"/>
      <w:bookmarkStart w:id="254" w:name="_Toc132618608"/>
      <w:bookmarkStart w:id="255" w:name="_Toc152042399"/>
      <w:bookmarkStart w:id="256" w:name="_Toc132618999"/>
      <w:bookmarkStart w:id="257" w:name="_Toc152045621"/>
      <w:bookmarkStart w:id="258" w:name="_Toc338944714"/>
      <w:bookmarkStart w:id="259" w:name="_Toc342296272"/>
      <w:bookmarkStart w:id="260" w:name="_Toc129798250"/>
      <w:bookmarkStart w:id="261" w:name="_Toc142385537"/>
      <w:bookmarkStart w:id="262" w:name="_Toc109914315"/>
      <w:bookmarkStart w:id="263" w:name="_Toc179632639"/>
      <w:r>
        <w:t>1.10 化石、文物</w:t>
      </w:r>
      <w:bookmarkEnd w:id="253"/>
      <w:bookmarkEnd w:id="254"/>
      <w:bookmarkEnd w:id="255"/>
      <w:bookmarkEnd w:id="256"/>
      <w:bookmarkEnd w:id="257"/>
      <w:bookmarkEnd w:id="258"/>
      <w:bookmarkEnd w:id="259"/>
      <w:bookmarkEnd w:id="260"/>
      <w:bookmarkEnd w:id="261"/>
      <w:bookmarkEnd w:id="262"/>
      <w:bookmarkEnd w:id="263"/>
    </w:p>
    <w:p w14:paraId="5765DFCD">
      <w:pPr>
        <w:spacing w:line="400" w:lineRule="exact"/>
        <w:ind w:firstLine="420" w:firstLineChars="200"/>
      </w:pPr>
      <w: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7A479768">
      <w:pPr>
        <w:spacing w:line="400" w:lineRule="exact"/>
        <w:ind w:firstLine="420" w:firstLineChars="200"/>
      </w:pPr>
      <w:r>
        <w:t>1.10.2 承包人发现文物后不及时报告或隐瞒不报，致使文物丢失或损坏的，应赔偿损失，并承担相应的法律责任。</w:t>
      </w:r>
    </w:p>
    <w:p w14:paraId="27886C1D">
      <w:pPr>
        <w:pStyle w:val="512"/>
        <w:spacing w:before="120" w:after="120"/>
      </w:pPr>
      <w:bookmarkStart w:id="264" w:name="_Toc132619000"/>
      <w:bookmarkStart w:id="265" w:name="_Toc179632640"/>
      <w:bookmarkStart w:id="266" w:name="_Toc342296273"/>
      <w:bookmarkStart w:id="267" w:name="_Toc109914316"/>
      <w:bookmarkStart w:id="268" w:name="_Toc129798251"/>
      <w:bookmarkStart w:id="269" w:name="_Toc144974590"/>
      <w:bookmarkStart w:id="270" w:name="_Toc152045622"/>
      <w:bookmarkStart w:id="271" w:name="_Toc152042400"/>
      <w:bookmarkStart w:id="272" w:name="_Toc338944715"/>
      <w:bookmarkStart w:id="273" w:name="_Toc142385538"/>
      <w:r>
        <w:t>1.11 专利技术</w:t>
      </w:r>
      <w:bookmarkEnd w:id="264"/>
      <w:bookmarkEnd w:id="265"/>
      <w:bookmarkEnd w:id="266"/>
      <w:bookmarkEnd w:id="267"/>
      <w:bookmarkEnd w:id="268"/>
      <w:bookmarkEnd w:id="269"/>
      <w:bookmarkEnd w:id="270"/>
      <w:bookmarkEnd w:id="271"/>
      <w:bookmarkEnd w:id="272"/>
      <w:bookmarkEnd w:id="273"/>
    </w:p>
    <w:p w14:paraId="37A86DC7">
      <w:pPr>
        <w:spacing w:line="400" w:lineRule="exact"/>
        <w:ind w:firstLine="420" w:firstLineChars="200"/>
      </w:pPr>
      <w:r>
        <w:t>1.11.1 承包人在使用任何材料、承包人设备、工程设备或采用施工工艺时，因侵犯专利权或其他知识产权所引起的责任，由承包人承担，但由于遵照发包人提供的设计或技术标准和要求引起的除外。</w:t>
      </w:r>
    </w:p>
    <w:p w14:paraId="53882B95">
      <w:pPr>
        <w:spacing w:line="400" w:lineRule="exact"/>
        <w:ind w:firstLine="420" w:firstLineChars="200"/>
      </w:pPr>
      <w:r>
        <w:t>1.11.2 承包人在投标文件中采用专利技术的，专利技术的使用费包含在投标报价内。</w:t>
      </w:r>
    </w:p>
    <w:p w14:paraId="29FCC720">
      <w:pPr>
        <w:spacing w:line="400" w:lineRule="exact"/>
        <w:ind w:firstLine="420" w:firstLineChars="200"/>
      </w:pPr>
      <w:r>
        <w:t>1.11.3 承包人的技术秘密和声明需要保密的资料和信息，发包人和监理人不得为合同以外的目的泄露给他人。</w:t>
      </w:r>
    </w:p>
    <w:p w14:paraId="616FE1DA">
      <w:pPr>
        <w:pStyle w:val="512"/>
        <w:spacing w:before="120" w:after="120"/>
      </w:pPr>
      <w:bookmarkStart w:id="274" w:name="_Toc338944716"/>
      <w:bookmarkStart w:id="275" w:name="_Toc129798252"/>
      <w:bookmarkStart w:id="276" w:name="_Toc152042401"/>
      <w:bookmarkStart w:id="277" w:name="_Toc179632641"/>
      <w:bookmarkStart w:id="278" w:name="_Toc142385539"/>
      <w:bookmarkStart w:id="279" w:name="_Toc132619001"/>
      <w:bookmarkStart w:id="280" w:name="_Toc144974591"/>
      <w:bookmarkStart w:id="281" w:name="_Toc342296274"/>
      <w:bookmarkStart w:id="282" w:name="_Toc152045623"/>
      <w:bookmarkStart w:id="283" w:name="_Toc109914317"/>
      <w:r>
        <w:t>1.12 图纸和文件的保密</w:t>
      </w:r>
      <w:bookmarkEnd w:id="274"/>
      <w:bookmarkEnd w:id="275"/>
      <w:bookmarkEnd w:id="276"/>
      <w:bookmarkEnd w:id="277"/>
      <w:bookmarkEnd w:id="278"/>
      <w:bookmarkEnd w:id="279"/>
      <w:bookmarkEnd w:id="280"/>
      <w:bookmarkEnd w:id="281"/>
      <w:bookmarkEnd w:id="282"/>
      <w:bookmarkEnd w:id="283"/>
    </w:p>
    <w:p w14:paraId="1C385020">
      <w:pPr>
        <w:spacing w:line="400" w:lineRule="exact"/>
        <w:ind w:firstLine="420" w:firstLineChars="200"/>
      </w:pPr>
      <w:r>
        <w:t>1.12.1 发包人提供的图纸和文件，未经发包人同意，承包人不得为合同以外的目的泄露给他人或公开发表与引用。</w:t>
      </w:r>
    </w:p>
    <w:p w14:paraId="37668CA1">
      <w:pPr>
        <w:spacing w:line="400" w:lineRule="exact"/>
        <w:ind w:firstLine="420" w:firstLineChars="200"/>
      </w:pPr>
      <w:r>
        <w:t>1.12.2 承包人提供的文件，未经承包人同意，发包人和监理人不得为合同以外的目的泄露给他人或公开发表与引用。</w:t>
      </w:r>
    </w:p>
    <w:p w14:paraId="742DCE62">
      <w:pPr>
        <w:pStyle w:val="512"/>
        <w:spacing w:before="120" w:after="120"/>
      </w:pPr>
      <w:bookmarkStart w:id="284" w:name="_Toc132619002"/>
      <w:bookmarkStart w:id="285" w:name="_Toc129798253"/>
      <w:bookmarkStart w:id="286" w:name="_Toc109914318"/>
      <w:bookmarkStart w:id="287" w:name="_Toc132618611"/>
      <w:bookmarkStart w:id="288" w:name="_Toc142385540"/>
      <w:r>
        <w:t>1.13</w:t>
      </w:r>
      <w:r>
        <w:rPr>
          <w:rFonts w:hint="eastAsia" w:ascii="等线" w:hAnsi="等线" w:eastAsia="等线"/>
        </w:rPr>
        <w:t>交通运输</w:t>
      </w:r>
      <w:bookmarkEnd w:id="284"/>
      <w:bookmarkEnd w:id="285"/>
      <w:bookmarkEnd w:id="286"/>
      <w:bookmarkEnd w:id="287"/>
      <w:bookmarkEnd w:id="288"/>
    </w:p>
    <w:p w14:paraId="1C5373E6">
      <w:pPr>
        <w:spacing w:line="400" w:lineRule="exact"/>
        <w:ind w:firstLine="420" w:firstLineChars="200"/>
      </w:pPr>
      <w:r>
        <w:t xml:space="preserve">1.13.1 </w:t>
      </w:r>
      <w:r>
        <w:rPr>
          <w:rFonts w:hint="eastAsia"/>
        </w:rPr>
        <w:t>除专用合同条款另有约定外，发包人应根据施工需要，负责取得出入施工现场所需的校内手续，承包人应协助发包人办理修建场内外道路等其他基础设施的手续。</w:t>
      </w:r>
    </w:p>
    <w:p w14:paraId="4892006B">
      <w:pPr>
        <w:spacing w:line="400" w:lineRule="exact"/>
        <w:ind w:firstLine="420" w:firstLineChars="200"/>
      </w:pPr>
      <w:r>
        <w:t>1.13.2</w:t>
      </w:r>
      <w:r>
        <w:rPr>
          <w:rFonts w:hint="eastAsia"/>
        </w:rPr>
        <w:t>承包人应在投标、订立合同前查勘施工现场，并根据工程规模及技术参数合理预见工程施工所需的进出施工现场的方式、手段、路径等，并在投标文件中体现。因承包人未合理预见所增加的费用和（或）延误的工期由承包人自行承担。</w:t>
      </w:r>
      <w:bookmarkStart w:id="289" w:name="_Toc448758523"/>
      <w:bookmarkStart w:id="290" w:name="_Toc442365615"/>
      <w:bookmarkStart w:id="291" w:name="_Toc342296275"/>
      <w:bookmarkStart w:id="292" w:name="_Toc469660018"/>
      <w:bookmarkStart w:id="293" w:name="_Toc338944717"/>
      <w:bookmarkStart w:id="294" w:name="_Toc448758423"/>
    </w:p>
    <w:p w14:paraId="2426D5C0">
      <w:pPr>
        <w:pStyle w:val="548"/>
        <w:spacing w:before="120" w:after="120"/>
        <w:rPr>
          <w:rFonts w:cs="仿宋_GB2312"/>
        </w:rPr>
      </w:pPr>
      <w:bookmarkStart w:id="295" w:name="_Toc129798254"/>
      <w:bookmarkStart w:id="296" w:name="_Toc132619003"/>
      <w:bookmarkStart w:id="297" w:name="_Toc109914319"/>
      <w:bookmarkStart w:id="298" w:name="_Toc142385541"/>
      <w:bookmarkStart w:id="299" w:name="_Toc132618612"/>
      <w:r>
        <w:rPr>
          <w:rFonts w:cs="仿宋_GB2312"/>
        </w:rPr>
        <w:t>2. 发包人义务</w:t>
      </w:r>
      <w:bookmarkEnd w:id="289"/>
      <w:bookmarkEnd w:id="290"/>
      <w:bookmarkEnd w:id="291"/>
      <w:bookmarkEnd w:id="292"/>
      <w:bookmarkEnd w:id="293"/>
      <w:bookmarkEnd w:id="294"/>
      <w:bookmarkEnd w:id="295"/>
      <w:bookmarkEnd w:id="296"/>
      <w:bookmarkEnd w:id="297"/>
      <w:bookmarkEnd w:id="298"/>
      <w:bookmarkEnd w:id="299"/>
    </w:p>
    <w:p w14:paraId="00E2E82B">
      <w:pPr>
        <w:pStyle w:val="512"/>
        <w:spacing w:before="120" w:after="120"/>
      </w:pPr>
      <w:bookmarkStart w:id="300" w:name="_Toc142385542"/>
      <w:bookmarkStart w:id="301" w:name="_Toc179632643"/>
      <w:bookmarkStart w:id="302" w:name="_Toc109914320"/>
      <w:bookmarkStart w:id="303" w:name="_Toc132619004"/>
      <w:bookmarkStart w:id="304" w:name="_Toc338944718"/>
      <w:bookmarkStart w:id="305" w:name="_Toc152045625"/>
      <w:bookmarkStart w:id="306" w:name="_Toc144974593"/>
      <w:bookmarkStart w:id="307" w:name="_Toc342296276"/>
      <w:bookmarkStart w:id="308" w:name="_Toc129798255"/>
      <w:bookmarkStart w:id="309" w:name="_Toc132618613"/>
      <w:bookmarkStart w:id="310" w:name="_Toc152042403"/>
      <w:r>
        <w:t>2.1 遵守法律</w:t>
      </w:r>
      <w:bookmarkEnd w:id="300"/>
      <w:bookmarkEnd w:id="301"/>
      <w:bookmarkEnd w:id="302"/>
      <w:bookmarkEnd w:id="303"/>
      <w:bookmarkEnd w:id="304"/>
      <w:bookmarkEnd w:id="305"/>
      <w:bookmarkEnd w:id="306"/>
      <w:bookmarkEnd w:id="307"/>
      <w:bookmarkEnd w:id="308"/>
      <w:bookmarkEnd w:id="309"/>
      <w:bookmarkEnd w:id="310"/>
    </w:p>
    <w:p w14:paraId="1BF15CB1">
      <w:pPr>
        <w:spacing w:line="400" w:lineRule="exact"/>
        <w:ind w:firstLine="420" w:firstLineChars="200"/>
      </w:pPr>
      <w:r>
        <w:rPr>
          <w:rFonts w:hint="eastAsia"/>
        </w:rPr>
        <w:t>发包人应要求在施工现场的发包人人员遵守法律及有关安全、质量、环境保护、文明施工等规定，并保障承包人免于承受因发包人人员未遵守上述要求给承包人造成的损失和责任。</w:t>
      </w:r>
    </w:p>
    <w:p w14:paraId="157DA615">
      <w:pPr>
        <w:spacing w:line="400" w:lineRule="exact"/>
        <w:ind w:firstLine="420" w:firstLineChars="200"/>
      </w:pPr>
      <w:r>
        <w:rPr>
          <w:rFonts w:hint="eastAsia"/>
        </w:rPr>
        <w:t>发包人人员包括发包人代表及其他由发包人派驻施工现场的人员。</w:t>
      </w:r>
    </w:p>
    <w:p w14:paraId="10591FF4">
      <w:pPr>
        <w:pStyle w:val="512"/>
        <w:spacing w:before="120" w:after="120"/>
      </w:pPr>
      <w:bookmarkStart w:id="311" w:name="_Toc342296277"/>
      <w:bookmarkStart w:id="312" w:name="_Toc132619005"/>
      <w:bookmarkStart w:id="313" w:name="_Toc109914321"/>
      <w:bookmarkStart w:id="314" w:name="_Toc129798256"/>
      <w:bookmarkStart w:id="315" w:name="_Toc152045626"/>
      <w:bookmarkStart w:id="316" w:name="_Toc179632644"/>
      <w:bookmarkStart w:id="317" w:name="_Toc132618614"/>
      <w:bookmarkStart w:id="318" w:name="_Toc144974594"/>
      <w:bookmarkStart w:id="319" w:name="_Toc152042404"/>
      <w:bookmarkStart w:id="320" w:name="_Toc338944719"/>
      <w:bookmarkStart w:id="321" w:name="_Toc142385543"/>
      <w:r>
        <w:t>2.2 发出开工通知</w:t>
      </w:r>
      <w:bookmarkEnd w:id="311"/>
      <w:bookmarkEnd w:id="312"/>
      <w:bookmarkEnd w:id="313"/>
      <w:bookmarkEnd w:id="314"/>
      <w:bookmarkEnd w:id="315"/>
      <w:bookmarkEnd w:id="316"/>
      <w:bookmarkEnd w:id="317"/>
      <w:bookmarkEnd w:id="318"/>
      <w:bookmarkEnd w:id="319"/>
      <w:bookmarkEnd w:id="320"/>
      <w:bookmarkEnd w:id="321"/>
    </w:p>
    <w:p w14:paraId="462B84D5">
      <w:pPr>
        <w:spacing w:line="400" w:lineRule="exact"/>
        <w:ind w:firstLine="420" w:firstLineChars="200"/>
      </w:pPr>
      <w:r>
        <w:t>发包人应委托监理人按第11.1款的约定向承包人发出开工通知。</w:t>
      </w:r>
    </w:p>
    <w:p w14:paraId="0E93AF85">
      <w:pPr>
        <w:pStyle w:val="512"/>
        <w:spacing w:before="120" w:after="120"/>
      </w:pPr>
      <w:bookmarkStart w:id="322" w:name="_Toc342296278"/>
      <w:bookmarkStart w:id="323" w:name="_Toc338944720"/>
      <w:bookmarkStart w:id="324" w:name="_Toc109914322"/>
      <w:bookmarkStart w:id="325" w:name="_Toc132619006"/>
      <w:bookmarkStart w:id="326" w:name="_Toc129798257"/>
      <w:bookmarkStart w:id="327" w:name="_Toc132618615"/>
      <w:bookmarkStart w:id="328" w:name="_Toc142385544"/>
      <w:r>
        <w:t>2.3 提供施工场地</w:t>
      </w:r>
      <w:bookmarkEnd w:id="322"/>
      <w:bookmarkEnd w:id="323"/>
      <w:bookmarkEnd w:id="324"/>
      <w:bookmarkEnd w:id="325"/>
      <w:bookmarkEnd w:id="326"/>
      <w:bookmarkEnd w:id="327"/>
      <w:bookmarkEnd w:id="328"/>
    </w:p>
    <w:p w14:paraId="52C12BBA">
      <w:pPr>
        <w:spacing w:line="400" w:lineRule="exact"/>
        <w:ind w:firstLine="420" w:firstLineChars="200"/>
      </w:pPr>
      <w:r>
        <w:t>发包人应按专用合同条款约定向承包人提供施工场地，以及施工场地内地下管线和地下设施等有关资料，并保证资料的真实、准确、完整。</w:t>
      </w:r>
    </w:p>
    <w:p w14:paraId="57B75111">
      <w:pPr>
        <w:pStyle w:val="512"/>
        <w:spacing w:before="120" w:after="120"/>
      </w:pPr>
      <w:bookmarkStart w:id="329" w:name="_Toc342296279"/>
      <w:bookmarkStart w:id="330" w:name="_Toc338944721"/>
      <w:bookmarkStart w:id="331" w:name="_Toc109914323"/>
      <w:bookmarkStart w:id="332" w:name="_Toc152042406"/>
      <w:bookmarkStart w:id="333" w:name="_Toc132618616"/>
      <w:bookmarkStart w:id="334" w:name="_Toc152045628"/>
      <w:bookmarkStart w:id="335" w:name="_Toc144974596"/>
      <w:bookmarkStart w:id="336" w:name="_Toc132619007"/>
      <w:bookmarkStart w:id="337" w:name="_Toc129798258"/>
      <w:bookmarkStart w:id="338" w:name="_Toc179632646"/>
      <w:bookmarkStart w:id="339" w:name="_Toc142385545"/>
      <w:r>
        <w:t>2.4 协助承包人办理证件和批件</w:t>
      </w:r>
      <w:bookmarkEnd w:id="329"/>
      <w:bookmarkEnd w:id="330"/>
      <w:bookmarkEnd w:id="331"/>
      <w:bookmarkEnd w:id="332"/>
      <w:bookmarkEnd w:id="333"/>
      <w:bookmarkEnd w:id="334"/>
      <w:bookmarkEnd w:id="335"/>
      <w:bookmarkEnd w:id="336"/>
      <w:bookmarkEnd w:id="337"/>
      <w:bookmarkEnd w:id="338"/>
      <w:bookmarkEnd w:id="339"/>
    </w:p>
    <w:p w14:paraId="2EADD27E">
      <w:pPr>
        <w:spacing w:line="400" w:lineRule="exact"/>
        <w:ind w:firstLine="420" w:firstLineChars="200"/>
      </w:pPr>
      <w:r>
        <w:t>发包人应协助承包人办理法律规定的有关施工证件和批件。</w:t>
      </w:r>
    </w:p>
    <w:p w14:paraId="5D70F307">
      <w:pPr>
        <w:pStyle w:val="512"/>
        <w:spacing w:before="120" w:after="120"/>
      </w:pPr>
      <w:bookmarkStart w:id="340" w:name="_Toc129798259"/>
      <w:bookmarkStart w:id="341" w:name="_Toc132618617"/>
      <w:bookmarkStart w:id="342" w:name="_Toc342296280"/>
      <w:bookmarkStart w:id="343" w:name="_Toc338944722"/>
      <w:bookmarkStart w:id="344" w:name="_Toc109914324"/>
      <w:bookmarkStart w:id="345" w:name="_Toc132619008"/>
      <w:bookmarkStart w:id="346" w:name="_Toc142385546"/>
      <w:r>
        <w:t>2.5 组织设计交底</w:t>
      </w:r>
      <w:bookmarkEnd w:id="340"/>
      <w:bookmarkEnd w:id="341"/>
      <w:bookmarkEnd w:id="342"/>
      <w:bookmarkEnd w:id="343"/>
      <w:bookmarkEnd w:id="344"/>
      <w:bookmarkEnd w:id="345"/>
      <w:bookmarkEnd w:id="346"/>
    </w:p>
    <w:p w14:paraId="512849C7">
      <w:pPr>
        <w:spacing w:line="400" w:lineRule="exact"/>
        <w:ind w:firstLine="420" w:firstLineChars="200"/>
      </w:pPr>
      <w:r>
        <w:t>发包人应根据合同进度计划，组织设计单位向承包人进行设计交底。</w:t>
      </w:r>
    </w:p>
    <w:p w14:paraId="11A34943">
      <w:pPr>
        <w:pStyle w:val="512"/>
        <w:spacing w:before="120" w:after="120"/>
      </w:pPr>
      <w:bookmarkStart w:id="347" w:name="_Toc338944723"/>
      <w:bookmarkStart w:id="348" w:name="_Toc342296281"/>
      <w:bookmarkStart w:id="349" w:name="_Toc129798260"/>
      <w:bookmarkStart w:id="350" w:name="_Toc142385547"/>
      <w:bookmarkStart w:id="351" w:name="_Toc132619009"/>
      <w:bookmarkStart w:id="352" w:name="_Toc132618618"/>
      <w:bookmarkStart w:id="353" w:name="_Toc109914325"/>
      <w:r>
        <w:t>2.6 支付合同价款</w:t>
      </w:r>
      <w:bookmarkEnd w:id="347"/>
      <w:bookmarkEnd w:id="348"/>
      <w:bookmarkEnd w:id="349"/>
      <w:bookmarkEnd w:id="350"/>
      <w:bookmarkEnd w:id="351"/>
      <w:bookmarkEnd w:id="352"/>
      <w:bookmarkEnd w:id="353"/>
    </w:p>
    <w:p w14:paraId="403E4D61">
      <w:pPr>
        <w:spacing w:line="400" w:lineRule="exact"/>
        <w:ind w:firstLine="420" w:firstLineChars="200"/>
      </w:pPr>
      <w:r>
        <w:t>发包人应按合同约定向承包人及时支付合同价款。</w:t>
      </w:r>
    </w:p>
    <w:p w14:paraId="312B6B5D">
      <w:pPr>
        <w:pStyle w:val="512"/>
        <w:spacing w:before="120" w:after="120"/>
      </w:pPr>
      <w:bookmarkStart w:id="354" w:name="_Toc152045631"/>
      <w:bookmarkStart w:id="355" w:name="_Toc152042409"/>
      <w:bookmarkStart w:id="356" w:name="_Toc338944724"/>
      <w:bookmarkStart w:id="357" w:name="_Toc144974599"/>
      <w:bookmarkStart w:id="358" w:name="_Toc132619010"/>
      <w:bookmarkStart w:id="359" w:name="_Toc129798261"/>
      <w:bookmarkStart w:id="360" w:name="_Toc132618619"/>
      <w:bookmarkStart w:id="361" w:name="_Toc342296282"/>
      <w:bookmarkStart w:id="362" w:name="_Toc109914326"/>
      <w:bookmarkStart w:id="363" w:name="_Toc179632649"/>
      <w:bookmarkStart w:id="364" w:name="_Toc142385548"/>
      <w:r>
        <w:t>2.7 组织竣工验收</w:t>
      </w:r>
      <w:bookmarkEnd w:id="354"/>
      <w:bookmarkEnd w:id="355"/>
      <w:bookmarkEnd w:id="356"/>
      <w:bookmarkEnd w:id="357"/>
      <w:bookmarkEnd w:id="358"/>
      <w:bookmarkEnd w:id="359"/>
      <w:bookmarkEnd w:id="360"/>
      <w:bookmarkEnd w:id="361"/>
      <w:bookmarkEnd w:id="362"/>
      <w:bookmarkEnd w:id="363"/>
      <w:bookmarkEnd w:id="364"/>
    </w:p>
    <w:p w14:paraId="69C2A28E">
      <w:pPr>
        <w:spacing w:line="400" w:lineRule="exact"/>
        <w:ind w:firstLine="420" w:firstLineChars="200"/>
      </w:pPr>
      <w:r>
        <w:t>发包人应按合同约定及时组织竣工验收。</w:t>
      </w:r>
    </w:p>
    <w:p w14:paraId="6AE2FE45">
      <w:pPr>
        <w:pStyle w:val="512"/>
        <w:spacing w:before="120" w:after="120"/>
      </w:pPr>
      <w:bookmarkStart w:id="365" w:name="_Toc129798262"/>
      <w:bookmarkStart w:id="366" w:name="_Toc109914327"/>
      <w:bookmarkStart w:id="367" w:name="_Toc142385549"/>
      <w:bookmarkStart w:id="368" w:name="_Toc338944725"/>
      <w:bookmarkStart w:id="369" w:name="_Toc342296283"/>
      <w:bookmarkStart w:id="370" w:name="_Toc132619011"/>
      <w:bookmarkStart w:id="371" w:name="_Toc132618620"/>
      <w:r>
        <w:t>2.8 其他义务</w:t>
      </w:r>
      <w:bookmarkEnd w:id="365"/>
      <w:bookmarkEnd w:id="366"/>
      <w:bookmarkEnd w:id="367"/>
      <w:bookmarkEnd w:id="368"/>
      <w:bookmarkEnd w:id="369"/>
      <w:bookmarkEnd w:id="370"/>
      <w:bookmarkEnd w:id="371"/>
    </w:p>
    <w:p w14:paraId="2141915B">
      <w:pPr>
        <w:spacing w:line="400" w:lineRule="exact"/>
        <w:ind w:firstLine="420" w:firstLineChars="200"/>
      </w:pPr>
      <w:r>
        <w:t>发包人应履行合同约定的其他义务。</w:t>
      </w:r>
    </w:p>
    <w:p w14:paraId="6B72264C">
      <w:pPr>
        <w:pStyle w:val="548"/>
        <w:spacing w:before="120" w:after="120"/>
        <w:rPr>
          <w:rFonts w:cs="仿宋_GB2312"/>
        </w:rPr>
      </w:pPr>
      <w:bookmarkStart w:id="372" w:name="_Toc448758524"/>
      <w:bookmarkStart w:id="373" w:name="_Toc342296284"/>
      <w:bookmarkStart w:id="374" w:name="_Toc469660019"/>
      <w:bookmarkStart w:id="375" w:name="_Toc109914328"/>
      <w:bookmarkStart w:id="376" w:name="_Toc132618621"/>
      <w:bookmarkStart w:id="377" w:name="_Toc442365616"/>
      <w:bookmarkStart w:id="378" w:name="_Toc448758424"/>
      <w:bookmarkStart w:id="379" w:name="_Toc338944726"/>
      <w:bookmarkStart w:id="380" w:name="_Toc129798263"/>
      <w:bookmarkStart w:id="381" w:name="_Toc142385550"/>
      <w:bookmarkStart w:id="382" w:name="_Toc132619012"/>
      <w:r>
        <w:rPr>
          <w:rFonts w:cs="仿宋_GB2312"/>
        </w:rPr>
        <w:t>3. 监理人</w:t>
      </w:r>
      <w:bookmarkEnd w:id="372"/>
      <w:bookmarkEnd w:id="373"/>
      <w:bookmarkEnd w:id="374"/>
      <w:bookmarkEnd w:id="375"/>
      <w:bookmarkEnd w:id="376"/>
      <w:bookmarkEnd w:id="377"/>
      <w:bookmarkEnd w:id="378"/>
      <w:bookmarkEnd w:id="379"/>
      <w:bookmarkEnd w:id="380"/>
      <w:bookmarkEnd w:id="381"/>
      <w:bookmarkEnd w:id="382"/>
    </w:p>
    <w:p w14:paraId="15343470">
      <w:pPr>
        <w:pStyle w:val="512"/>
        <w:spacing w:before="120" w:after="120"/>
      </w:pPr>
      <w:bookmarkStart w:id="383" w:name="_Toc132619013"/>
      <w:bookmarkStart w:id="384" w:name="_Toc129798264"/>
      <w:bookmarkStart w:id="385" w:name="_Toc109914329"/>
      <w:bookmarkStart w:id="386" w:name="_Toc132618622"/>
      <w:bookmarkStart w:id="387" w:name="_Toc142385551"/>
      <w:bookmarkStart w:id="388" w:name="_Toc338944727"/>
      <w:bookmarkStart w:id="389" w:name="_Toc342296285"/>
      <w:r>
        <w:t>3.1 监理人的职责和权力</w:t>
      </w:r>
      <w:bookmarkEnd w:id="383"/>
      <w:bookmarkEnd w:id="384"/>
      <w:bookmarkEnd w:id="385"/>
      <w:bookmarkEnd w:id="386"/>
      <w:bookmarkEnd w:id="387"/>
      <w:bookmarkEnd w:id="388"/>
      <w:bookmarkEnd w:id="389"/>
    </w:p>
    <w:p w14:paraId="0ECC65DC">
      <w:pPr>
        <w:spacing w:line="400" w:lineRule="exact"/>
        <w:ind w:firstLine="420" w:firstLineChars="200"/>
      </w:pPr>
      <w:r>
        <w:t>3.1.1 监理人受发包人委托，享有合同约定的权力。监理人在行使某项权力前需要经发包人事先批准而通用合同条款没有指明的，应在专用合同条款中指明。</w:t>
      </w:r>
    </w:p>
    <w:p w14:paraId="526C731A">
      <w:pPr>
        <w:spacing w:line="400" w:lineRule="exact"/>
        <w:ind w:firstLine="420" w:firstLineChars="200"/>
      </w:pPr>
      <w:r>
        <w:t>3.1.2 监理人发出的任何指示应视为已得到发包人的批准，但监理人无权免除或变更合同约定的发包人和承包人的权利、义务和责任。</w:t>
      </w:r>
    </w:p>
    <w:p w14:paraId="25887F8B">
      <w:pPr>
        <w:spacing w:line="400" w:lineRule="exact"/>
        <w:ind w:firstLine="420" w:firstLineChars="200"/>
      </w:pPr>
      <w:r>
        <w:t>3.1.3 合同约定应由承包人承担的义务和责任，不因监理人对承包人提交文件的审查或批准，对工程、材料和设备的检查和检验，以及为实施监理作出的指示等职务行为而减轻或解除。</w:t>
      </w:r>
    </w:p>
    <w:p w14:paraId="0091BBD6">
      <w:pPr>
        <w:pStyle w:val="512"/>
        <w:spacing w:before="120" w:after="120"/>
      </w:pPr>
      <w:bookmarkStart w:id="390" w:name="_Toc152045635"/>
      <w:bookmarkStart w:id="391" w:name="_Toc338944728"/>
      <w:bookmarkStart w:id="392" w:name="_Toc109914330"/>
      <w:bookmarkStart w:id="393" w:name="_Toc342296286"/>
      <w:bookmarkStart w:id="394" w:name="_Toc179632653"/>
      <w:bookmarkStart w:id="395" w:name="_Toc144974603"/>
      <w:bookmarkStart w:id="396" w:name="_Toc142385552"/>
      <w:bookmarkStart w:id="397" w:name="_Toc132619014"/>
      <w:bookmarkStart w:id="398" w:name="_Toc152042413"/>
      <w:bookmarkStart w:id="399" w:name="_Toc129798265"/>
      <w:bookmarkStart w:id="400" w:name="_Toc132618623"/>
      <w:r>
        <w:t>3.2 总监理工程师</w:t>
      </w:r>
      <w:bookmarkEnd w:id="390"/>
      <w:bookmarkEnd w:id="391"/>
      <w:bookmarkEnd w:id="392"/>
      <w:bookmarkEnd w:id="393"/>
      <w:bookmarkEnd w:id="394"/>
      <w:bookmarkEnd w:id="395"/>
      <w:bookmarkEnd w:id="396"/>
      <w:bookmarkEnd w:id="397"/>
      <w:bookmarkEnd w:id="398"/>
      <w:bookmarkEnd w:id="399"/>
      <w:bookmarkEnd w:id="400"/>
    </w:p>
    <w:p w14:paraId="71DFA707">
      <w:pPr>
        <w:spacing w:line="400" w:lineRule="exact"/>
        <w:ind w:firstLine="420" w:firstLineChars="200"/>
      </w:pPr>
      <w:r>
        <w:t>发包人应在发出开工通知前将总监理工程师的任命通知承包人。总监理工程师更换时，应在调离14天前通知承包人。总监理工程师短期离开施工场地的，应委派代表代行其职责，并通知承包人。</w:t>
      </w:r>
    </w:p>
    <w:p w14:paraId="2C17B0C8">
      <w:pPr>
        <w:pStyle w:val="512"/>
        <w:spacing w:before="120" w:after="120"/>
      </w:pPr>
      <w:bookmarkStart w:id="401" w:name="_Toc132619015"/>
      <w:bookmarkStart w:id="402" w:name="_Toc142385553"/>
      <w:bookmarkStart w:id="403" w:name="_Toc338944729"/>
      <w:bookmarkStart w:id="404" w:name="_Toc109914331"/>
      <w:bookmarkStart w:id="405" w:name="_Toc132618624"/>
      <w:bookmarkStart w:id="406" w:name="_Toc342296287"/>
      <w:bookmarkStart w:id="407" w:name="_Toc129798266"/>
      <w:r>
        <w:t>3.3 监理人员</w:t>
      </w:r>
      <w:bookmarkEnd w:id="401"/>
      <w:bookmarkEnd w:id="402"/>
      <w:bookmarkEnd w:id="403"/>
      <w:bookmarkEnd w:id="404"/>
      <w:bookmarkEnd w:id="405"/>
      <w:bookmarkEnd w:id="406"/>
      <w:bookmarkEnd w:id="407"/>
    </w:p>
    <w:p w14:paraId="23E5A3A0">
      <w:pPr>
        <w:spacing w:line="400" w:lineRule="exact"/>
        <w:ind w:firstLine="420" w:firstLineChars="200"/>
      </w:pPr>
      <w: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3BC30917">
      <w:pPr>
        <w:spacing w:line="400" w:lineRule="exact"/>
        <w:ind w:firstLine="420" w:firstLineChars="200"/>
      </w:pPr>
      <w:r>
        <w:t>3.3.2 监理人员对承包人的任何工作、工程或其采用的材料和工程设备未在约定的或合理的期限内提出否定意见的，视为已获批准，但不影响监理人在以后拒绝该项工作、工程、材料或工程设备的权利。</w:t>
      </w:r>
    </w:p>
    <w:p w14:paraId="44409AA3">
      <w:pPr>
        <w:spacing w:line="400" w:lineRule="exact"/>
        <w:ind w:firstLine="420" w:firstLineChars="200"/>
      </w:pPr>
      <w:r>
        <w:t>3.3.3 承包人对总监理工程师授权的监理人员发出的指示有疑问的，可向总监理工程师提出书面异议，总监理工程师应在48小时内对该指示予以确认、更改或撤销。</w:t>
      </w:r>
    </w:p>
    <w:p w14:paraId="7D792C8A">
      <w:pPr>
        <w:spacing w:line="400" w:lineRule="exact"/>
        <w:ind w:firstLine="420" w:firstLineChars="200"/>
      </w:pPr>
      <w:r>
        <w:t>3.3.4 除专用合同条款另有约定外，总监理工程师不应将第3.5款约定应由总监理工程师作出确定的权力授权或委托给其他监理人员。</w:t>
      </w:r>
    </w:p>
    <w:p w14:paraId="2CAE955B">
      <w:pPr>
        <w:pStyle w:val="512"/>
        <w:spacing w:before="120" w:after="120"/>
      </w:pPr>
      <w:bookmarkStart w:id="408" w:name="_Toc342296288"/>
      <w:bookmarkStart w:id="409" w:name="_Toc142385554"/>
      <w:bookmarkStart w:id="410" w:name="_Toc132619016"/>
      <w:bookmarkStart w:id="411" w:name="_Toc109914332"/>
      <w:bookmarkStart w:id="412" w:name="_Toc132618625"/>
      <w:bookmarkStart w:id="413" w:name="_Toc338944730"/>
      <w:bookmarkStart w:id="414" w:name="_Toc129798267"/>
      <w:r>
        <w:t>3.4 监理人的指示</w:t>
      </w:r>
      <w:bookmarkEnd w:id="408"/>
      <w:bookmarkEnd w:id="409"/>
      <w:bookmarkEnd w:id="410"/>
      <w:bookmarkEnd w:id="411"/>
      <w:bookmarkEnd w:id="412"/>
      <w:bookmarkEnd w:id="413"/>
      <w:bookmarkEnd w:id="414"/>
    </w:p>
    <w:p w14:paraId="40A49B33">
      <w:pPr>
        <w:spacing w:line="400" w:lineRule="exact"/>
        <w:ind w:firstLine="420" w:firstLineChars="200"/>
      </w:pPr>
      <w:r>
        <w:t>3.4.1 监理人应按第3.1款的约定向承包人发出指示，监理人的指示应盖有监理人授权的施工场地机构章，并由总监理工程师或总监理工程师按第3.3.1项约定授权的监理人员签字。</w:t>
      </w:r>
    </w:p>
    <w:p w14:paraId="05E2D6E3">
      <w:pPr>
        <w:spacing w:line="400" w:lineRule="exact"/>
        <w:ind w:firstLine="420" w:firstLineChars="200"/>
      </w:pPr>
      <w:r>
        <w:t>3.4.2 承包人收到监理人按第3.4.1项作出的指示后应遵照执行。指示构成变更的，应按第15条处理。</w:t>
      </w:r>
    </w:p>
    <w:p w14:paraId="6A5A7065">
      <w:pPr>
        <w:spacing w:line="400" w:lineRule="exact"/>
        <w:ind w:firstLine="420" w:firstLineChars="200"/>
      </w:pPr>
      <w: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2A96B9CB">
      <w:pPr>
        <w:spacing w:line="400" w:lineRule="exact"/>
        <w:ind w:firstLine="420" w:firstLineChars="200"/>
      </w:pPr>
      <w:r>
        <w:t>3.4.4 除合同另有约定外，承包人只从总监理工程师或按第3.3.1项被授权的监理人员处取得指示。</w:t>
      </w:r>
    </w:p>
    <w:p w14:paraId="7362782F">
      <w:pPr>
        <w:spacing w:line="400" w:lineRule="exact"/>
        <w:ind w:firstLine="420" w:firstLineChars="200"/>
      </w:pPr>
      <w:r>
        <w:t xml:space="preserve">3.4.5 由于监理人未能按合同约定发出指示、指示延误或指示错误而导致承包人费用增加和（或）工期延误的，由发包人承担赔偿责任。 </w:t>
      </w:r>
    </w:p>
    <w:p w14:paraId="23A9A24E">
      <w:pPr>
        <w:pStyle w:val="512"/>
        <w:spacing w:before="120" w:after="120"/>
      </w:pPr>
      <w:bookmarkStart w:id="415" w:name="_Toc342296289"/>
      <w:bookmarkStart w:id="416" w:name="_Toc109914333"/>
      <w:bookmarkStart w:id="417" w:name="_Toc338944731"/>
      <w:bookmarkStart w:id="418" w:name="_Toc152045638"/>
      <w:bookmarkStart w:id="419" w:name="_Toc144974606"/>
      <w:bookmarkStart w:id="420" w:name="_Toc152042416"/>
      <w:bookmarkStart w:id="421" w:name="_Toc132619017"/>
      <w:bookmarkStart w:id="422" w:name="_Toc142385555"/>
      <w:bookmarkStart w:id="423" w:name="_Toc179632656"/>
      <w:bookmarkStart w:id="424" w:name="_Toc132618626"/>
      <w:bookmarkStart w:id="425" w:name="_Toc129798268"/>
      <w:r>
        <w:t>3.5 商定或确定</w:t>
      </w:r>
      <w:bookmarkEnd w:id="415"/>
      <w:bookmarkEnd w:id="416"/>
      <w:bookmarkEnd w:id="417"/>
      <w:bookmarkEnd w:id="418"/>
      <w:bookmarkEnd w:id="419"/>
      <w:bookmarkEnd w:id="420"/>
      <w:bookmarkEnd w:id="421"/>
      <w:bookmarkEnd w:id="422"/>
      <w:bookmarkEnd w:id="423"/>
      <w:bookmarkEnd w:id="424"/>
      <w:bookmarkEnd w:id="425"/>
    </w:p>
    <w:p w14:paraId="3DC44E4C">
      <w:pPr>
        <w:spacing w:line="400" w:lineRule="exact"/>
        <w:ind w:firstLine="420" w:firstLineChars="200"/>
      </w:pPr>
      <w:r>
        <w:t>3.5.1合同约定总监理工程师应按照本款对任何事项进行商定或确定时，总监理工程师应与合同当事人协商，尽量达成一致。不能达成一致的，总监理工程师应认真研究后审慎确定。</w:t>
      </w:r>
    </w:p>
    <w:p w14:paraId="2EFC89C9">
      <w:pPr>
        <w:spacing w:line="400" w:lineRule="exact"/>
        <w:ind w:firstLine="420" w:firstLineChars="200"/>
      </w:pPr>
      <w: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293EA522">
      <w:pPr>
        <w:pStyle w:val="548"/>
        <w:spacing w:before="120" w:after="120"/>
        <w:rPr>
          <w:rFonts w:cs="仿宋_GB2312"/>
        </w:rPr>
      </w:pPr>
      <w:bookmarkStart w:id="426" w:name="_Toc469660020"/>
      <w:bookmarkStart w:id="427" w:name="_Toc342296290"/>
      <w:bookmarkStart w:id="428" w:name="_Toc448758525"/>
      <w:bookmarkStart w:id="429" w:name="_Toc109914334"/>
      <w:bookmarkStart w:id="430" w:name="_Toc129798269"/>
      <w:bookmarkStart w:id="431" w:name="_Toc338944732"/>
      <w:bookmarkStart w:id="432" w:name="_Toc132618627"/>
      <w:bookmarkStart w:id="433" w:name="_Toc142385556"/>
      <w:bookmarkStart w:id="434" w:name="_Toc442365617"/>
      <w:bookmarkStart w:id="435" w:name="_Toc132619018"/>
      <w:bookmarkStart w:id="436" w:name="_Toc448758425"/>
      <w:r>
        <w:rPr>
          <w:rFonts w:cs="仿宋_GB2312"/>
        </w:rPr>
        <w:t>4. 承包人</w:t>
      </w:r>
      <w:bookmarkEnd w:id="426"/>
      <w:bookmarkEnd w:id="427"/>
      <w:bookmarkEnd w:id="428"/>
      <w:bookmarkEnd w:id="429"/>
      <w:bookmarkEnd w:id="430"/>
      <w:bookmarkEnd w:id="431"/>
      <w:bookmarkEnd w:id="432"/>
      <w:bookmarkEnd w:id="433"/>
      <w:bookmarkEnd w:id="434"/>
      <w:bookmarkEnd w:id="435"/>
      <w:bookmarkEnd w:id="436"/>
    </w:p>
    <w:p w14:paraId="6351DD45">
      <w:pPr>
        <w:pStyle w:val="512"/>
        <w:spacing w:before="120" w:after="120"/>
      </w:pPr>
      <w:bookmarkStart w:id="437" w:name="_Toc338944733"/>
      <w:bookmarkStart w:id="438" w:name="_Toc142385557"/>
      <w:bookmarkStart w:id="439" w:name="_Toc342296291"/>
      <w:bookmarkStart w:id="440" w:name="_Toc132618628"/>
      <w:bookmarkStart w:id="441" w:name="_Toc129798270"/>
      <w:bookmarkStart w:id="442" w:name="_Toc109914335"/>
      <w:bookmarkStart w:id="443" w:name="_Toc132619019"/>
      <w:r>
        <w:t>4.1 承包人的一般义务</w:t>
      </w:r>
      <w:bookmarkEnd w:id="437"/>
      <w:bookmarkEnd w:id="438"/>
      <w:bookmarkEnd w:id="439"/>
      <w:bookmarkEnd w:id="440"/>
      <w:bookmarkEnd w:id="441"/>
      <w:bookmarkEnd w:id="442"/>
      <w:bookmarkEnd w:id="443"/>
    </w:p>
    <w:p w14:paraId="56A28AB0">
      <w:pPr>
        <w:spacing w:line="400" w:lineRule="exact"/>
        <w:ind w:firstLine="420" w:firstLineChars="200"/>
      </w:pPr>
      <w:r>
        <w:t xml:space="preserve">4.1.1 </w:t>
      </w:r>
      <w:r>
        <w:rPr>
          <w:rFonts w:hint="eastAsia" w:ascii="宋体" w:hAnsi="宋体" w:cs="宋体"/>
        </w:rPr>
        <w:t>遵守法律</w:t>
      </w:r>
    </w:p>
    <w:p w14:paraId="34AF6DFC">
      <w:pPr>
        <w:spacing w:line="400" w:lineRule="exact"/>
        <w:ind w:firstLine="420" w:firstLineChars="200"/>
      </w:pPr>
      <w:r>
        <w:t>承包人在履行合同过程中应遵守法律，并保证发包人免于承担因承包人违反法律而引起的任何责任。</w:t>
      </w:r>
    </w:p>
    <w:p w14:paraId="491B338A">
      <w:pPr>
        <w:spacing w:line="400" w:lineRule="exact"/>
        <w:ind w:firstLine="420" w:firstLineChars="200"/>
      </w:pPr>
      <w:r>
        <w:t xml:space="preserve">4.1.2 </w:t>
      </w:r>
      <w:r>
        <w:rPr>
          <w:rFonts w:hint="eastAsia" w:ascii="宋体" w:hAnsi="宋体" w:cs="宋体"/>
        </w:rPr>
        <w:t>依法纳税</w:t>
      </w:r>
    </w:p>
    <w:p w14:paraId="33950A8D">
      <w:pPr>
        <w:spacing w:line="400" w:lineRule="exact"/>
        <w:ind w:firstLine="420" w:firstLineChars="200"/>
      </w:pPr>
      <w:r>
        <w:t>承包人应按有关法律规定纳税，应缴纳的税金包括在合同价格内。</w:t>
      </w:r>
    </w:p>
    <w:p w14:paraId="77C29FC2">
      <w:pPr>
        <w:spacing w:line="400" w:lineRule="exact"/>
        <w:ind w:firstLine="420" w:firstLineChars="200"/>
        <w:rPr>
          <w:rFonts w:eastAsia="等线"/>
        </w:rPr>
      </w:pPr>
      <w:r>
        <w:t xml:space="preserve">4.1.3 </w:t>
      </w:r>
      <w:r>
        <w:rPr>
          <w:rFonts w:hint="eastAsia" w:ascii="宋体" w:hAnsi="宋体" w:cs="宋体"/>
        </w:rPr>
        <w:t>完成各项承包工作</w:t>
      </w:r>
    </w:p>
    <w:p w14:paraId="0077BBD5">
      <w:pPr>
        <w:spacing w:line="400" w:lineRule="exact"/>
      </w:pPr>
      <w:r>
        <w:rPr>
          <w:rFonts w:hint="eastAsia" w:eastAsia="等线"/>
        </w:rPr>
        <w:t>承包人应</w:t>
      </w:r>
      <w:r>
        <w:rPr>
          <w:rFonts w:eastAsia="等线"/>
        </w:rPr>
        <w:t>办理法律规定应由承包人办理的许可和批准，并将办理结果书面报送发包人留存；按法律规定和合同约定完成工程，并在保修期内承担保修义务</w:t>
      </w:r>
      <w:r>
        <w:rPr>
          <w:rFonts w:hint="eastAsia" w:eastAsia="等线"/>
        </w:rPr>
        <w:t>。除专用合同条款另有约定外，承包人应提供为完成合同工作所需的劳务、材料、施工设备、工程设备和其他物品，并按合同约定负责临时设施的设计、建造、运行、维护、管理和拆除。</w:t>
      </w:r>
    </w:p>
    <w:p w14:paraId="0C6D92A7">
      <w:pPr>
        <w:spacing w:line="400" w:lineRule="exact"/>
        <w:ind w:firstLine="420" w:firstLineChars="200"/>
      </w:pPr>
      <w:r>
        <w:t xml:space="preserve">4.1.4 </w:t>
      </w:r>
      <w:r>
        <w:rPr>
          <w:rFonts w:hint="eastAsia" w:ascii="宋体" w:hAnsi="宋体" w:cs="宋体"/>
        </w:rPr>
        <w:t>对施工作业和施工方法的完备性负责</w:t>
      </w:r>
    </w:p>
    <w:p w14:paraId="629FD3F4">
      <w:pPr>
        <w:spacing w:line="400" w:lineRule="exact"/>
        <w:ind w:firstLine="420" w:firstLineChars="200"/>
      </w:pPr>
      <w:r>
        <w:t>承包人应按合同约定的工作内容和施工进度要求，编制施工组织设计和施工措施计划，并对所有施工作业和施工方法的完备性和安全可靠性负责。</w:t>
      </w:r>
    </w:p>
    <w:p w14:paraId="28932154">
      <w:pPr>
        <w:spacing w:line="400" w:lineRule="exact"/>
        <w:ind w:firstLine="420" w:firstLineChars="200"/>
      </w:pPr>
      <w:r>
        <w:t xml:space="preserve">4.1.5 </w:t>
      </w:r>
      <w:r>
        <w:rPr>
          <w:rFonts w:hint="eastAsia" w:ascii="宋体" w:hAnsi="宋体" w:cs="宋体"/>
        </w:rPr>
        <w:t>保证工程施工和人员的安全</w:t>
      </w:r>
    </w:p>
    <w:p w14:paraId="2F72620B">
      <w:pPr>
        <w:spacing w:line="400" w:lineRule="exact"/>
        <w:ind w:firstLine="420" w:firstLineChars="200"/>
      </w:pPr>
      <w:r>
        <w:t>承包人应</w:t>
      </w:r>
      <w:r>
        <w:rPr>
          <w:rFonts w:eastAsia="等线"/>
        </w:rPr>
        <w:t>按法律规定和合同约定采取施工安全和环境保护措施，办理工伤保险，确保工程及人员、材料、设备和设施的安全；</w:t>
      </w:r>
      <w:r>
        <w:t>防止因工程施工造成的人身伤害和财产损失。</w:t>
      </w:r>
    </w:p>
    <w:p w14:paraId="52280142">
      <w:pPr>
        <w:spacing w:line="400" w:lineRule="exact"/>
        <w:ind w:firstLine="420" w:firstLineChars="200"/>
      </w:pPr>
      <w:r>
        <w:t xml:space="preserve">4.1.6 </w:t>
      </w:r>
      <w:r>
        <w:rPr>
          <w:rFonts w:hint="eastAsia" w:ascii="宋体" w:hAnsi="宋体" w:cs="宋体"/>
        </w:rPr>
        <w:t>负责施工场地及其周边环境与生态的保护工作</w:t>
      </w:r>
    </w:p>
    <w:p w14:paraId="63C522D5">
      <w:pPr>
        <w:spacing w:line="400" w:lineRule="exact"/>
        <w:ind w:firstLine="420" w:firstLineChars="200"/>
      </w:pPr>
      <w:r>
        <w:t>承包人应按照第9.4款约定负责施工场地及其周边环境与生态的保护工作。</w:t>
      </w:r>
    </w:p>
    <w:p w14:paraId="1CD627C3">
      <w:pPr>
        <w:spacing w:line="400" w:lineRule="exact"/>
        <w:ind w:firstLine="420" w:firstLineChars="200"/>
      </w:pPr>
      <w:r>
        <w:t xml:space="preserve">4.1.7 </w:t>
      </w:r>
      <w:r>
        <w:rPr>
          <w:rFonts w:hint="eastAsia" w:ascii="宋体" w:hAnsi="宋体" w:cs="宋体"/>
        </w:rPr>
        <w:t>避免施工对公众与他人的利益造成损害</w:t>
      </w:r>
    </w:p>
    <w:p w14:paraId="5EC02A45">
      <w:pPr>
        <w:spacing w:line="400" w:lineRule="exact"/>
        <w:ind w:firstLine="420" w:firstLineChars="200"/>
      </w:pPr>
      <w: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D228F62">
      <w:pPr>
        <w:spacing w:line="400" w:lineRule="exact"/>
        <w:ind w:firstLine="420" w:firstLineChars="200"/>
      </w:pPr>
      <w:r>
        <w:t xml:space="preserve">4.1.8 </w:t>
      </w:r>
      <w:r>
        <w:rPr>
          <w:rFonts w:hint="eastAsia" w:ascii="宋体" w:hAnsi="宋体" w:cs="宋体"/>
        </w:rPr>
        <w:t>为他人提供方便</w:t>
      </w:r>
    </w:p>
    <w:p w14:paraId="01E34ED0">
      <w:pPr>
        <w:spacing w:line="400" w:lineRule="exact"/>
        <w:ind w:firstLine="420" w:firstLineChars="200"/>
      </w:pPr>
      <w:r>
        <w:t>承包人应按监理人的指示为他人在施工场地或附近实施与工程有关的其他各项工作提供可能的条件。除合同另有约定外，提供有关条件的内容和可能发生的费用，由监理人按第3.5款商定或确定。</w:t>
      </w:r>
    </w:p>
    <w:p w14:paraId="08533B7C">
      <w:pPr>
        <w:spacing w:line="400" w:lineRule="exact"/>
        <w:ind w:firstLine="420" w:firstLineChars="200"/>
      </w:pPr>
      <w:r>
        <w:t xml:space="preserve">4.1.9 </w:t>
      </w:r>
      <w:r>
        <w:rPr>
          <w:rFonts w:hint="eastAsia" w:ascii="宋体" w:hAnsi="宋体" w:cs="宋体"/>
        </w:rPr>
        <w:t>工程的维护和照管</w:t>
      </w:r>
    </w:p>
    <w:p w14:paraId="7C1DC72E">
      <w:pPr>
        <w:spacing w:line="400" w:lineRule="exact"/>
        <w:ind w:firstLine="420" w:firstLineChars="200"/>
      </w:pPr>
      <w:r>
        <w:rPr>
          <w:rFonts w:hint="eastAsia"/>
        </w:rPr>
        <w:t>（</w:t>
      </w:r>
      <w:r>
        <w:t>1）除专用合同条款另有约定外，自发包人向承包人移交施工现场之日起，承</w:t>
      </w:r>
      <w:r>
        <w:rPr>
          <w:rFonts w:hint="eastAsia"/>
        </w:rPr>
        <w:t>包人应负责照管工程及工程相关的材料、工程设备，直到颁发工程接收证书之日止。</w:t>
      </w:r>
    </w:p>
    <w:p w14:paraId="1D6F3D52">
      <w:pPr>
        <w:spacing w:line="400" w:lineRule="exact"/>
        <w:ind w:firstLine="420" w:firstLineChars="200"/>
      </w:pPr>
      <w:r>
        <w:rPr>
          <w:rFonts w:hint="eastAsia"/>
        </w:rPr>
        <w:t>（</w:t>
      </w:r>
      <w:r>
        <w:t>2）在承包人负责照管期间，因承包人原因造成工程、材料、工程设备损坏的，由承包人负责修复或更换，并承担由此增加的费用和（或）延误的工期。</w:t>
      </w:r>
    </w:p>
    <w:p w14:paraId="4F9022AB">
      <w:pPr>
        <w:spacing w:line="400" w:lineRule="exact"/>
        <w:ind w:firstLine="420" w:firstLineChars="200"/>
      </w:pPr>
      <w:r>
        <w:rPr>
          <w:rFonts w:hint="eastAsia"/>
        </w:rPr>
        <w:t>（</w:t>
      </w:r>
      <w:r>
        <w:t>3）对合同内分期完成的成品和半成品，在工程接收证书颁发前，由承包人承担保护责任。因承包人原因造成成品或半成品损坏的，由承包人负责修复或更换，并承担由此增加的费用和（或）延误的工期。</w:t>
      </w:r>
    </w:p>
    <w:p w14:paraId="678ED695">
      <w:pPr>
        <w:snapToGrid w:val="0"/>
        <w:ind w:firstLine="480" w:firstLineChars="200"/>
        <w:rPr>
          <w:rFonts w:hint="eastAsia" w:ascii="宋体" w:hAnsi="宋体"/>
          <w:sz w:val="24"/>
        </w:rPr>
      </w:pPr>
    </w:p>
    <w:p w14:paraId="6DCAF183">
      <w:pPr>
        <w:spacing w:line="400" w:lineRule="exact"/>
        <w:ind w:firstLine="420" w:firstLineChars="200"/>
      </w:pPr>
      <w:r>
        <w:t>4.1.10 工程</w:t>
      </w:r>
      <w:r>
        <w:rPr>
          <w:rFonts w:hint="eastAsia"/>
        </w:rPr>
        <w:t>款的使用</w:t>
      </w:r>
    </w:p>
    <w:p w14:paraId="1DA01133">
      <w:pPr>
        <w:spacing w:line="400" w:lineRule="exact"/>
        <w:ind w:firstLine="420" w:firstLineChars="200"/>
      </w:pPr>
      <w:r>
        <w:rPr>
          <w:rFonts w:hint="eastAsia"/>
        </w:rPr>
        <w:t>将发包人按合同约定支付的各项价款专用于合同工程，且应及时支付其雇用人员工资，并及时向分包人支付合同价款；</w:t>
      </w:r>
    </w:p>
    <w:p w14:paraId="20C08681">
      <w:pPr>
        <w:spacing w:line="400" w:lineRule="exact"/>
        <w:ind w:firstLine="420" w:firstLineChars="200"/>
      </w:pPr>
      <w:r>
        <w:t>4.1.11 工程</w:t>
      </w:r>
      <w:r>
        <w:rPr>
          <w:rFonts w:hint="eastAsia"/>
        </w:rPr>
        <w:t>资料管理</w:t>
      </w:r>
    </w:p>
    <w:p w14:paraId="14F4C674">
      <w:pPr>
        <w:spacing w:line="400" w:lineRule="exact"/>
        <w:ind w:firstLine="420" w:firstLineChars="200"/>
      </w:pPr>
      <w:r>
        <w:rPr>
          <w:rFonts w:hint="eastAsia"/>
        </w:rPr>
        <w:t>承包人应按照法律规定和合同约定编制竣工资料，及时按照双方合同约定时间，配合发包人完成竣工所需资料立卷及归档，并按专用合同条款约定的竣工资料的套数、内容、时间等要求移交发包人，并保证其真实可靠性。</w:t>
      </w:r>
      <w:r>
        <w:t xml:space="preserve">4.1.12 </w:t>
      </w:r>
      <w:r>
        <w:rPr>
          <w:rFonts w:hint="eastAsia" w:ascii="宋体" w:hAnsi="宋体" w:cs="宋体"/>
        </w:rPr>
        <w:t>其他义务</w:t>
      </w:r>
    </w:p>
    <w:p w14:paraId="0D6DFD7A">
      <w:pPr>
        <w:spacing w:line="400" w:lineRule="exact"/>
        <w:ind w:firstLine="420" w:firstLineChars="200"/>
      </w:pPr>
      <w:r>
        <w:t>承包人应履行合同约定的其他义务。</w:t>
      </w:r>
    </w:p>
    <w:p w14:paraId="4FA1E0AD">
      <w:pPr>
        <w:pStyle w:val="512"/>
        <w:spacing w:before="120" w:after="120"/>
      </w:pPr>
      <w:bookmarkStart w:id="444" w:name="_Toc342296292"/>
      <w:bookmarkStart w:id="445" w:name="_Toc109914336"/>
      <w:bookmarkStart w:id="446" w:name="_Toc144974609"/>
      <w:bookmarkStart w:id="447" w:name="_Toc129798271"/>
      <w:bookmarkStart w:id="448" w:name="_Toc142385558"/>
      <w:bookmarkStart w:id="449" w:name="_Toc338944734"/>
      <w:bookmarkStart w:id="450" w:name="_Toc132619020"/>
      <w:bookmarkStart w:id="451" w:name="_Toc152042419"/>
      <w:bookmarkStart w:id="452" w:name="_Toc132618629"/>
      <w:bookmarkStart w:id="453" w:name="_Toc179632659"/>
      <w:bookmarkStart w:id="454" w:name="_Toc152045641"/>
      <w:r>
        <w:t>4.2 履约担保</w:t>
      </w:r>
      <w:bookmarkEnd w:id="444"/>
      <w:bookmarkEnd w:id="445"/>
      <w:bookmarkEnd w:id="446"/>
      <w:bookmarkEnd w:id="447"/>
      <w:bookmarkEnd w:id="448"/>
      <w:bookmarkEnd w:id="449"/>
      <w:bookmarkEnd w:id="450"/>
      <w:bookmarkEnd w:id="451"/>
      <w:bookmarkEnd w:id="452"/>
      <w:bookmarkEnd w:id="453"/>
      <w:bookmarkEnd w:id="454"/>
    </w:p>
    <w:p w14:paraId="10351EE6">
      <w:pPr>
        <w:spacing w:line="400" w:lineRule="exact"/>
        <w:ind w:firstLine="420" w:firstLineChars="200"/>
      </w:pPr>
      <w:r>
        <w:t>承包人应保证其履约担保在发包人颁发工程接收证书前一直有效。发包人应在工程接收证书颁发后28天内把履约担保退还给承包人。</w:t>
      </w:r>
    </w:p>
    <w:p w14:paraId="60EF0D0F">
      <w:pPr>
        <w:pStyle w:val="512"/>
        <w:spacing w:before="120" w:after="120"/>
      </w:pPr>
      <w:bookmarkStart w:id="455" w:name="_Toc109914337"/>
      <w:bookmarkStart w:id="456" w:name="_Toc132619021"/>
      <w:bookmarkStart w:id="457" w:name="_Toc342296293"/>
      <w:bookmarkStart w:id="458" w:name="_Toc129798272"/>
      <w:bookmarkStart w:id="459" w:name="_Toc338944735"/>
      <w:bookmarkStart w:id="460" w:name="_Toc142385559"/>
      <w:bookmarkStart w:id="461" w:name="_Toc132618630"/>
      <w:r>
        <w:t>4.3 分包</w:t>
      </w:r>
      <w:bookmarkEnd w:id="455"/>
      <w:bookmarkEnd w:id="456"/>
      <w:bookmarkEnd w:id="457"/>
      <w:bookmarkEnd w:id="458"/>
      <w:bookmarkEnd w:id="459"/>
      <w:bookmarkEnd w:id="460"/>
      <w:bookmarkEnd w:id="461"/>
    </w:p>
    <w:p w14:paraId="4DD4D86F">
      <w:pPr>
        <w:spacing w:line="400" w:lineRule="exact"/>
        <w:ind w:firstLine="420" w:firstLineChars="200"/>
      </w:pPr>
      <w:r>
        <w:t>4.3.1 承包人不得将其承包的全部工程转包给第三人，或将其承包的全部工程肢解后以分包的名义转包给第三人。</w:t>
      </w:r>
    </w:p>
    <w:p w14:paraId="797FE7F2">
      <w:pPr>
        <w:spacing w:line="400" w:lineRule="exact"/>
        <w:ind w:firstLine="420" w:firstLineChars="200"/>
      </w:pPr>
      <w:r>
        <w:t>4.3.2 承包人不得将工程主体、关键性工作分包给第三人。除专用合同条款另有约定外，未经发包人同意，承包人不得将工程的其他部分或工作分包给第三人。</w:t>
      </w:r>
    </w:p>
    <w:p w14:paraId="3AF23603">
      <w:pPr>
        <w:spacing w:line="400" w:lineRule="exact"/>
        <w:ind w:firstLine="420" w:firstLineChars="200"/>
      </w:pPr>
      <w:r>
        <w:t>4.3.3 分包人的资格能力应与其分包工程的标准和规模相适应。</w:t>
      </w:r>
    </w:p>
    <w:p w14:paraId="790ED7BE">
      <w:pPr>
        <w:spacing w:line="400" w:lineRule="exact"/>
        <w:ind w:firstLine="420" w:firstLineChars="200"/>
      </w:pPr>
      <w:r>
        <w:t>4.3.4 按投标函附录约定分包工程的，承包人应向发包人和监理人提交分包合同副本。</w:t>
      </w:r>
    </w:p>
    <w:p w14:paraId="49779F3D">
      <w:pPr>
        <w:spacing w:line="400" w:lineRule="exact"/>
        <w:ind w:firstLine="420" w:firstLineChars="200"/>
      </w:pPr>
      <w:r>
        <w:t>4.3.5 承包人应与分包人就分包工程向发包人承担连带责任。</w:t>
      </w:r>
    </w:p>
    <w:p w14:paraId="0D24D3E2">
      <w:pPr>
        <w:pStyle w:val="512"/>
        <w:spacing w:before="120" w:after="120"/>
      </w:pPr>
      <w:bookmarkStart w:id="462" w:name="_Toc132618631"/>
      <w:bookmarkStart w:id="463" w:name="_Toc142385560"/>
      <w:bookmarkStart w:id="464" w:name="_Toc129798273"/>
      <w:bookmarkStart w:id="465" w:name="_Toc132619022"/>
      <w:bookmarkStart w:id="466" w:name="_Toc109914338"/>
      <w:r>
        <w:t>4.3.6</w:t>
      </w:r>
      <w:r>
        <w:rPr>
          <w:rFonts w:hint="eastAsia"/>
        </w:rPr>
        <w:t>承包人应向监理人提交分包人的主要施工管理人员表，并对分包人的施工人员进行实名制管理。</w:t>
      </w:r>
      <w:bookmarkEnd w:id="462"/>
      <w:bookmarkEnd w:id="463"/>
      <w:bookmarkEnd w:id="464"/>
      <w:bookmarkEnd w:id="465"/>
      <w:bookmarkEnd w:id="466"/>
      <w:bookmarkStart w:id="467" w:name="_Toc179632661"/>
      <w:bookmarkStart w:id="468" w:name="_Toc152042421"/>
      <w:bookmarkStart w:id="469" w:name="_Toc152045643"/>
      <w:bookmarkStart w:id="470" w:name="_Toc338944736"/>
      <w:bookmarkStart w:id="471" w:name="_Toc342296294"/>
      <w:bookmarkStart w:id="472" w:name="_Toc144974611"/>
    </w:p>
    <w:p w14:paraId="58E14E15">
      <w:pPr>
        <w:pStyle w:val="512"/>
        <w:spacing w:before="120" w:after="120"/>
      </w:pPr>
      <w:bookmarkStart w:id="473" w:name="_Toc132619023"/>
      <w:bookmarkStart w:id="474" w:name="_Toc109914339"/>
      <w:bookmarkStart w:id="475" w:name="_Toc132618632"/>
      <w:bookmarkStart w:id="476" w:name="_Toc142385561"/>
      <w:bookmarkStart w:id="477" w:name="_Toc129798274"/>
      <w:r>
        <w:t>4.4 联合体</w:t>
      </w:r>
      <w:bookmarkEnd w:id="467"/>
      <w:bookmarkEnd w:id="468"/>
      <w:bookmarkEnd w:id="469"/>
      <w:bookmarkEnd w:id="470"/>
      <w:bookmarkEnd w:id="471"/>
      <w:bookmarkEnd w:id="472"/>
      <w:bookmarkEnd w:id="473"/>
      <w:bookmarkEnd w:id="474"/>
      <w:bookmarkEnd w:id="475"/>
      <w:bookmarkEnd w:id="476"/>
      <w:bookmarkEnd w:id="477"/>
    </w:p>
    <w:p w14:paraId="567D5252">
      <w:pPr>
        <w:spacing w:line="400" w:lineRule="exact"/>
        <w:ind w:firstLine="420" w:firstLineChars="200"/>
      </w:pPr>
      <w:r>
        <w:t>4.4.1 联合体各方应共同与发包人签订合同协议书。联合体各方应为履行合同承担连带责任。</w:t>
      </w:r>
    </w:p>
    <w:p w14:paraId="20CBF3B3">
      <w:pPr>
        <w:spacing w:line="400" w:lineRule="exact"/>
        <w:ind w:firstLine="420" w:firstLineChars="200"/>
      </w:pPr>
      <w:r>
        <w:t>4.4.2 联合体协议经发包人确认后作为合同附件。在履行合同过程中，未经发包人同意，不得修改联合体协议。</w:t>
      </w:r>
    </w:p>
    <w:p w14:paraId="4B50E0AF">
      <w:pPr>
        <w:spacing w:line="400" w:lineRule="exact"/>
        <w:ind w:firstLine="420" w:firstLineChars="200"/>
      </w:pPr>
      <w:r>
        <w:t>4.4.3 联合体牵头人负责与发包人和监理人联系，并接受指示，负责组织联合体各成员全面履行合同。</w:t>
      </w:r>
    </w:p>
    <w:p w14:paraId="78C87E6D">
      <w:pPr>
        <w:pStyle w:val="512"/>
        <w:spacing w:before="120" w:after="120"/>
      </w:pPr>
      <w:bookmarkStart w:id="478" w:name="_Toc132618633"/>
      <w:bookmarkStart w:id="479" w:name="_Toc142385562"/>
      <w:bookmarkStart w:id="480" w:name="_Toc338944737"/>
      <w:bookmarkStart w:id="481" w:name="_Toc132619024"/>
      <w:bookmarkStart w:id="482" w:name="_Toc129798275"/>
      <w:bookmarkStart w:id="483" w:name="_Toc342296295"/>
      <w:bookmarkStart w:id="484" w:name="_Toc109914340"/>
      <w:r>
        <w:t>4.5 承包人项目经理</w:t>
      </w:r>
      <w:bookmarkEnd w:id="478"/>
      <w:bookmarkEnd w:id="479"/>
      <w:bookmarkEnd w:id="480"/>
      <w:bookmarkEnd w:id="481"/>
      <w:bookmarkEnd w:id="482"/>
      <w:bookmarkEnd w:id="483"/>
      <w:bookmarkEnd w:id="484"/>
    </w:p>
    <w:p w14:paraId="3EA7082B">
      <w:pPr>
        <w:spacing w:line="400" w:lineRule="exact"/>
        <w:ind w:firstLine="420" w:firstLineChars="200"/>
      </w:pPr>
      <w:r>
        <w:t>4.5.1</w:t>
      </w:r>
      <w:r>
        <w:rPr>
          <w:rFonts w:hint="eastAsia"/>
        </w:rPr>
        <w:t>项目经理应为合同当事人所确认的人选，</w:t>
      </w:r>
      <w:r>
        <w:t>并在约定的期限内到职</w:t>
      </w:r>
      <w:r>
        <w:rPr>
          <w:rFonts w:hint="eastAsia"/>
        </w:rPr>
        <w:t>。项目经理的姓名、职称、注册执业证书编号、联系方式及授权范围等应在专用合同条款中明确。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8F13B1B">
      <w:pPr>
        <w:spacing w:line="400" w:lineRule="exact"/>
        <w:ind w:firstLine="420" w:firstLineChars="200"/>
      </w:pPr>
      <w:r>
        <w:rPr>
          <w:rFonts w:hint="eastAsia"/>
        </w:rPr>
        <w:t>项目经理应常驻施工现场，且每月在施工现场时间不得少于专用合同条款约定的天数。项目经理不得同时担任其他项目的项目经理。项目经理确需离开施工现场时，应事先14天通知监理人，并取得发包人的书面同意。项目经理的通知中应当载明临时代行其职责的人员的注册执业资格、管理经验等资料，该人员应具备履行相应职责的能力。</w:t>
      </w:r>
    </w:p>
    <w:p w14:paraId="49753A59">
      <w:pPr>
        <w:spacing w:line="400" w:lineRule="exact"/>
        <w:ind w:firstLine="420" w:firstLineChars="200"/>
      </w:pPr>
      <w: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314C435F">
      <w:pPr>
        <w:spacing w:line="400" w:lineRule="exact"/>
        <w:ind w:firstLine="420" w:firstLineChars="200"/>
      </w:pPr>
      <w:r>
        <w:t>4.5.3承包人为履行合同发出的一切函件均应盖有承包人授权的施工场地管理机构章，并由承包人项目经理或其授权代表签字。</w:t>
      </w:r>
    </w:p>
    <w:p w14:paraId="55C16196">
      <w:pPr>
        <w:spacing w:line="400" w:lineRule="exact"/>
        <w:ind w:firstLine="420" w:firstLineChars="200"/>
      </w:pPr>
      <w:r>
        <w:t>4.5.4 承包人项目经理可以授权其下属人员履行其某项职责，但事先应将这些人员的姓名和授权范围通知监理人。</w:t>
      </w:r>
    </w:p>
    <w:p w14:paraId="76C99BAB">
      <w:pPr>
        <w:pStyle w:val="512"/>
        <w:spacing w:before="120" w:after="120"/>
      </w:pPr>
      <w:bookmarkStart w:id="485" w:name="_Toc152045645"/>
      <w:bookmarkStart w:id="486" w:name="_Toc179632663"/>
      <w:bookmarkStart w:id="487" w:name="_Toc152042423"/>
      <w:bookmarkStart w:id="488" w:name="_Toc132618634"/>
      <w:bookmarkStart w:id="489" w:name="_Toc342296296"/>
      <w:bookmarkStart w:id="490" w:name="_Toc132619025"/>
      <w:bookmarkStart w:id="491" w:name="_Toc142385563"/>
      <w:bookmarkStart w:id="492" w:name="_Toc338944738"/>
      <w:bookmarkStart w:id="493" w:name="_Toc129798276"/>
      <w:bookmarkStart w:id="494" w:name="_Toc144974613"/>
      <w:bookmarkStart w:id="495" w:name="_Toc109914341"/>
      <w:r>
        <w:t>4.6 承包人人员的管理</w:t>
      </w:r>
      <w:bookmarkEnd w:id="485"/>
      <w:bookmarkEnd w:id="486"/>
      <w:bookmarkEnd w:id="487"/>
      <w:bookmarkEnd w:id="488"/>
      <w:bookmarkEnd w:id="489"/>
      <w:bookmarkEnd w:id="490"/>
      <w:bookmarkEnd w:id="491"/>
      <w:bookmarkEnd w:id="492"/>
      <w:bookmarkEnd w:id="493"/>
      <w:bookmarkEnd w:id="494"/>
      <w:bookmarkEnd w:id="495"/>
    </w:p>
    <w:p w14:paraId="2F65E9B5">
      <w:pPr>
        <w:spacing w:line="400" w:lineRule="exact"/>
        <w:ind w:firstLine="420" w:firstLineChars="200"/>
      </w:pPr>
      <w:r>
        <w:t>4.6.1 承包人应在接到开工通知后28天内，向监理人提交承包人在施工场地的管理机构以及人员安排的报告，其内容应包括管理机构的设置、各主要岗位的技术和管理人员名单及其资格，以及各工种技术工人的安排状况。</w:t>
      </w:r>
      <w:r>
        <w:rPr>
          <w:rFonts w:hint="eastAsia"/>
        </w:rPr>
        <w:t>并同时提交主要施工管理人员与承包人之间的劳动关系证明和缴纳社会保险的有效证明。</w:t>
      </w:r>
      <w:r>
        <w:t>承包人应向监理人提交施工场地人员变动情况的报告。</w:t>
      </w:r>
    </w:p>
    <w:p w14:paraId="73C37E85">
      <w:pPr>
        <w:spacing w:line="400" w:lineRule="exact"/>
        <w:ind w:firstLine="420" w:firstLineChars="200"/>
      </w:pPr>
      <w:r>
        <w:t>4.6.2 为完成合同约定的各项工作，承包人应向施工场地派遣或雇佣足够数量的下列人员：</w:t>
      </w:r>
    </w:p>
    <w:p w14:paraId="2DD9B63E">
      <w:pPr>
        <w:spacing w:line="400" w:lineRule="exact"/>
        <w:ind w:firstLine="718" w:firstLineChars="342"/>
      </w:pPr>
      <w:r>
        <w:t>（1）具有相应资格的专业技工和合格的普工；</w:t>
      </w:r>
    </w:p>
    <w:p w14:paraId="1431412B">
      <w:pPr>
        <w:spacing w:line="400" w:lineRule="exact"/>
        <w:ind w:firstLine="718" w:firstLineChars="342"/>
      </w:pPr>
      <w:r>
        <w:t>（2）具有相应施工经验的技术人员；</w:t>
      </w:r>
    </w:p>
    <w:p w14:paraId="409DBD87">
      <w:pPr>
        <w:spacing w:line="400" w:lineRule="exact"/>
        <w:ind w:firstLine="420" w:firstLineChars="200"/>
      </w:pPr>
      <w:r>
        <w:t>（3）具有相应岗位资格的各级管理人员。4.6.3 承包人安排在施工场地的主要管理人员和技术骨干应相对稳定。承包人更换主要管理人员和技术骨干时，应取得监理人的同意。</w:t>
      </w:r>
    </w:p>
    <w:p w14:paraId="7E7CB2A4">
      <w:pPr>
        <w:spacing w:line="400" w:lineRule="exact"/>
        <w:ind w:firstLine="420" w:firstLineChars="200"/>
      </w:pPr>
      <w:r>
        <w:t>4.6.4 特殊岗位的工作人员均应持有相应的资格证明，监理人有权随时检查。监理人认为有必要时，可进行现场考核。</w:t>
      </w:r>
    </w:p>
    <w:p w14:paraId="10DE2C2D">
      <w:pPr>
        <w:pStyle w:val="512"/>
        <w:spacing w:before="120" w:after="120"/>
      </w:pPr>
      <w:bookmarkStart w:id="496" w:name="_Toc129798277"/>
      <w:bookmarkStart w:id="497" w:name="_Toc132619026"/>
      <w:bookmarkStart w:id="498" w:name="_Toc132618635"/>
      <w:bookmarkStart w:id="499" w:name="_Toc142385564"/>
      <w:bookmarkStart w:id="500" w:name="_Toc152042424"/>
      <w:bookmarkStart w:id="501" w:name="_Toc144974614"/>
      <w:bookmarkStart w:id="502" w:name="_Toc342296297"/>
      <w:bookmarkStart w:id="503" w:name="_Toc338944739"/>
      <w:bookmarkStart w:id="504" w:name="_Toc179632664"/>
      <w:bookmarkStart w:id="505" w:name="_Toc152045646"/>
      <w:bookmarkStart w:id="506" w:name="_Toc109914342"/>
      <w:r>
        <w:t>4.7 撤换承包人项目经理和其他人员</w:t>
      </w:r>
      <w:bookmarkEnd w:id="496"/>
      <w:bookmarkEnd w:id="497"/>
      <w:bookmarkEnd w:id="498"/>
      <w:bookmarkEnd w:id="499"/>
      <w:bookmarkEnd w:id="500"/>
      <w:bookmarkEnd w:id="501"/>
      <w:bookmarkEnd w:id="502"/>
      <w:bookmarkEnd w:id="503"/>
      <w:bookmarkEnd w:id="504"/>
      <w:bookmarkEnd w:id="505"/>
      <w:bookmarkEnd w:id="506"/>
    </w:p>
    <w:p w14:paraId="365171B8">
      <w:pPr>
        <w:spacing w:line="400" w:lineRule="exact"/>
      </w:pPr>
      <w:r>
        <w:t>承包人应对其项目经理和其他人员进行有效管理。</w:t>
      </w:r>
      <w:r>
        <w:rPr>
          <w:rFonts w:hint="eastAsia"/>
        </w:rPr>
        <w:t>发包人对于承包人主要施工管理人员的资格或能力有异议的，要求撤换不能按照合同约定履行职责及义务的主要施工管理人员的，承包人应当撤换。承包人无正当理由拒绝撤换的，应按照专用合同条款的约定承担违约责任。</w:t>
      </w:r>
    </w:p>
    <w:p w14:paraId="6D848299">
      <w:pPr>
        <w:spacing w:line="400" w:lineRule="exact"/>
        <w:ind w:firstLine="420" w:firstLineChars="200"/>
      </w:pPr>
      <w:r>
        <w:t>监理人要求撤换不能胜任本职工作、行为不端或玩忽职守的承包人项目经理和其他人员的，承包人应予以撤换。</w:t>
      </w:r>
    </w:p>
    <w:p w14:paraId="0F9310DC">
      <w:pPr>
        <w:pStyle w:val="512"/>
        <w:spacing w:before="120" w:after="120"/>
      </w:pPr>
      <w:bookmarkStart w:id="507" w:name="_Toc152042425"/>
      <w:bookmarkStart w:id="508" w:name="_Toc338944740"/>
      <w:bookmarkStart w:id="509" w:name="_Toc129798278"/>
      <w:bookmarkStart w:id="510" w:name="_Toc144974615"/>
      <w:bookmarkStart w:id="511" w:name="_Toc179632665"/>
      <w:bookmarkStart w:id="512" w:name="_Toc342296298"/>
      <w:bookmarkStart w:id="513" w:name="_Toc152045647"/>
      <w:bookmarkStart w:id="514" w:name="_Toc132618636"/>
      <w:bookmarkStart w:id="515" w:name="_Toc132619027"/>
      <w:bookmarkStart w:id="516" w:name="_Toc142385565"/>
      <w:bookmarkStart w:id="517" w:name="_Toc109914343"/>
      <w:r>
        <w:t>4.8 保障承包人人员的合法权益</w:t>
      </w:r>
      <w:bookmarkEnd w:id="507"/>
      <w:bookmarkEnd w:id="508"/>
      <w:bookmarkEnd w:id="509"/>
      <w:bookmarkEnd w:id="510"/>
      <w:bookmarkEnd w:id="511"/>
      <w:bookmarkEnd w:id="512"/>
      <w:bookmarkEnd w:id="513"/>
      <w:bookmarkEnd w:id="514"/>
      <w:bookmarkEnd w:id="515"/>
      <w:bookmarkEnd w:id="516"/>
      <w:bookmarkEnd w:id="517"/>
    </w:p>
    <w:p w14:paraId="17FA8358">
      <w:pPr>
        <w:spacing w:line="400" w:lineRule="exact"/>
        <w:ind w:firstLine="420" w:firstLineChars="200"/>
      </w:pPr>
      <w:r>
        <w:t>4.8.1 承包人应与其雇佣的人员签订劳动合同，并按时发放工资。</w:t>
      </w:r>
    </w:p>
    <w:p w14:paraId="008D7C06">
      <w:pPr>
        <w:spacing w:line="400" w:lineRule="exact"/>
        <w:ind w:firstLine="420" w:firstLineChars="200"/>
      </w:pPr>
      <w:r>
        <w:t>4.8.2 承包人应按劳动法的规定安排工作时间，保证其雇佣人员享有休息和休假的权利。因工程施工的特殊需要占用休假日或延长工作时间的，应不超过法律规定的限度，并按法律规定给予补休或付酬。</w:t>
      </w:r>
    </w:p>
    <w:p w14:paraId="4EDB965F">
      <w:pPr>
        <w:spacing w:line="400" w:lineRule="exact"/>
        <w:ind w:firstLine="420" w:firstLineChars="200"/>
      </w:pPr>
      <w:r>
        <w:t>4.8.3 承包人应为其雇佣人员提供必要的食宿条件，以及符合环境保护和卫生要求的生活环境，在远离城镇的施工场地，还应配备必要的伤病防治和急救的医务人员与医疗设施。</w:t>
      </w:r>
    </w:p>
    <w:p w14:paraId="59248A16">
      <w:pPr>
        <w:spacing w:line="400" w:lineRule="exact"/>
        <w:ind w:firstLine="420" w:firstLineChars="200"/>
      </w:pPr>
      <w: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69D24F8C">
      <w:pPr>
        <w:spacing w:line="400" w:lineRule="exact"/>
        <w:ind w:firstLine="420" w:firstLineChars="200"/>
      </w:pPr>
      <w:r>
        <w:t>4.8.5 承包人应按有关法律规定和合同约定，为其雇佣人员办理保险。</w:t>
      </w:r>
    </w:p>
    <w:p w14:paraId="44429ABB">
      <w:pPr>
        <w:spacing w:line="400" w:lineRule="exact"/>
        <w:ind w:firstLine="420" w:firstLineChars="200"/>
      </w:pPr>
      <w:r>
        <w:t>4.8.6 承包人应负责处理其雇佣人员因工伤亡事故的善后事宜。</w:t>
      </w:r>
    </w:p>
    <w:p w14:paraId="4A36CEDA">
      <w:pPr>
        <w:pStyle w:val="512"/>
        <w:spacing w:before="120" w:after="120"/>
      </w:pPr>
      <w:bookmarkStart w:id="518" w:name="_Toc129798279"/>
      <w:bookmarkStart w:id="519" w:name="_Toc142385566"/>
      <w:bookmarkStart w:id="520" w:name="_Toc132619028"/>
      <w:bookmarkStart w:id="521" w:name="_Toc152042426"/>
      <w:bookmarkStart w:id="522" w:name="_Toc338944741"/>
      <w:bookmarkStart w:id="523" w:name="_Toc132618637"/>
      <w:bookmarkStart w:id="524" w:name="_Toc179632666"/>
      <w:bookmarkStart w:id="525" w:name="_Toc152045648"/>
      <w:bookmarkStart w:id="526" w:name="_Toc144974616"/>
      <w:bookmarkStart w:id="527" w:name="_Toc342296299"/>
      <w:bookmarkStart w:id="528" w:name="_Toc109914344"/>
      <w:r>
        <w:t>4.9 工程价款应专款专用</w:t>
      </w:r>
      <w:bookmarkEnd w:id="518"/>
      <w:bookmarkEnd w:id="519"/>
      <w:bookmarkEnd w:id="520"/>
      <w:bookmarkEnd w:id="521"/>
      <w:bookmarkEnd w:id="522"/>
      <w:bookmarkEnd w:id="523"/>
      <w:bookmarkEnd w:id="524"/>
      <w:bookmarkEnd w:id="525"/>
      <w:bookmarkEnd w:id="526"/>
      <w:bookmarkEnd w:id="527"/>
      <w:bookmarkEnd w:id="528"/>
    </w:p>
    <w:p w14:paraId="33AA4FA5">
      <w:pPr>
        <w:spacing w:line="400" w:lineRule="exact"/>
        <w:ind w:firstLine="420" w:firstLineChars="200"/>
      </w:pPr>
      <w:r>
        <w:t>发包人按合同约定支付给承包人的各项价款应专用于合同工程。</w:t>
      </w:r>
    </w:p>
    <w:p w14:paraId="27BE4D9A">
      <w:pPr>
        <w:pStyle w:val="512"/>
        <w:spacing w:before="120" w:after="120"/>
      </w:pPr>
      <w:bookmarkStart w:id="529" w:name="_Toc109914345"/>
      <w:bookmarkStart w:id="530" w:name="_Toc129798280"/>
      <w:bookmarkStart w:id="531" w:name="_Toc342296300"/>
      <w:bookmarkStart w:id="532" w:name="_Toc132619029"/>
      <w:bookmarkStart w:id="533" w:name="_Toc179632667"/>
      <w:bookmarkStart w:id="534" w:name="_Toc152045649"/>
      <w:bookmarkStart w:id="535" w:name="_Toc152042427"/>
      <w:bookmarkStart w:id="536" w:name="_Toc144974617"/>
      <w:bookmarkStart w:id="537" w:name="_Toc338944742"/>
      <w:bookmarkStart w:id="538" w:name="_Toc132618638"/>
      <w:bookmarkStart w:id="539" w:name="_Toc142385567"/>
      <w:r>
        <w:t>4.10 承包人现场查勘</w:t>
      </w:r>
      <w:bookmarkEnd w:id="529"/>
      <w:bookmarkEnd w:id="530"/>
      <w:bookmarkEnd w:id="531"/>
      <w:bookmarkEnd w:id="532"/>
      <w:bookmarkEnd w:id="533"/>
      <w:bookmarkEnd w:id="534"/>
      <w:bookmarkEnd w:id="535"/>
      <w:bookmarkEnd w:id="536"/>
      <w:bookmarkEnd w:id="537"/>
      <w:bookmarkEnd w:id="538"/>
      <w:bookmarkEnd w:id="539"/>
      <w:r>
        <w:t xml:space="preserve">                                                                                                           </w:t>
      </w:r>
    </w:p>
    <w:p w14:paraId="4AB3CC8F">
      <w:pPr>
        <w:spacing w:line="400" w:lineRule="exact"/>
        <w:ind w:firstLine="420" w:firstLineChars="200"/>
      </w:pPr>
      <w:r>
        <w:t>4.10.1 发包人应将其持有的现场地质勘探资料、水文气象资料提供给承包人，并对其准确性负责。但承包人应对其阅读上述有关资料后所作出的解释和推断负责。</w:t>
      </w:r>
    </w:p>
    <w:p w14:paraId="6EBB6BF4">
      <w:pPr>
        <w:spacing w:line="400" w:lineRule="exact"/>
        <w:ind w:firstLine="420" w:firstLineChars="200"/>
      </w:pPr>
      <w:r>
        <w:t>4.10.2 承包人应对施工场地和周围环境进行查勘，并收集有关地质、水文、气象条件、交通条件、风俗习惯以及其他为完成合同工作有关的当地资料。在全部合同工作中，应视为承包人已充分估计了应承担的责任和风险。</w:t>
      </w:r>
      <w:r>
        <w:rPr>
          <w:rFonts w:hint="eastAsia"/>
        </w:rPr>
        <w:t>因承包人未能充分查勘、了解前述情况或未能充分估计前述情况所可能产生后果的，承包人承担由此增加的费用和（或）延误的工期。</w:t>
      </w:r>
    </w:p>
    <w:p w14:paraId="27295FF6">
      <w:pPr>
        <w:spacing w:line="400" w:lineRule="exact"/>
        <w:ind w:firstLine="420" w:firstLineChars="200"/>
      </w:pPr>
      <w:r>
        <w:t>4.10.3</w:t>
      </w:r>
      <w:r>
        <w:rPr>
          <w:rFonts w:hint="eastAsia"/>
        </w:rPr>
        <w:t>承包人应对施工场地区域内的天气进行实时监控，发包人有义务对恶劣天气对承包人进行提醒管理。若遭遇风雨雷电等天气，发包人应提前做好防护准备与措施，保证恶劣天气对施工现场的损害达到最小。若因承包人无视天气因素或没有做好充足准备导致施工现场破坏严重、工期拖延情况严重，应有承包人承担相应责任。</w:t>
      </w:r>
    </w:p>
    <w:p w14:paraId="79531EA1">
      <w:pPr>
        <w:spacing w:line="400" w:lineRule="exact"/>
        <w:ind w:firstLine="420" w:firstLineChars="200"/>
      </w:pPr>
      <w:bookmarkStart w:id="540" w:name="_Toc342296301"/>
      <w:bookmarkStart w:id="541" w:name="_Toc338944743"/>
      <w:r>
        <w:t>4.11 不利物质条件</w:t>
      </w:r>
      <w:bookmarkEnd w:id="540"/>
      <w:bookmarkEnd w:id="541"/>
    </w:p>
    <w:p w14:paraId="04CB0486">
      <w:pPr>
        <w:spacing w:line="400" w:lineRule="exact"/>
        <w:ind w:firstLine="420" w:firstLineChars="200"/>
      </w:pPr>
      <w:r>
        <w:t>4.11.1 不利物质条件，除专用合同条款另有约定外，是指承包人在施工场地遇到的不可预见的自然物质条件、非自然的物质障碍和污染物，包括地下和水文条件，但不包括气候条件。</w:t>
      </w:r>
    </w:p>
    <w:p w14:paraId="7B7929DF">
      <w:pPr>
        <w:spacing w:line="400" w:lineRule="exact"/>
        <w:ind w:firstLine="420" w:firstLineChars="200"/>
      </w:pPr>
      <w:r>
        <w:t>4.11.2 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72483BC2">
      <w:pPr>
        <w:pStyle w:val="548"/>
        <w:spacing w:before="120" w:after="120"/>
        <w:rPr>
          <w:rFonts w:cs="仿宋_GB2312"/>
        </w:rPr>
      </w:pPr>
      <w:bookmarkStart w:id="542" w:name="_Toc109914346"/>
      <w:bookmarkStart w:id="543" w:name="_Toc448758526"/>
      <w:bookmarkStart w:id="544" w:name="_Toc442365618"/>
      <w:bookmarkStart w:id="545" w:name="_Toc469660021"/>
      <w:bookmarkStart w:id="546" w:name="_Toc342296302"/>
      <w:bookmarkStart w:id="547" w:name="_Toc448758426"/>
      <w:bookmarkStart w:id="548" w:name="_Toc338944744"/>
      <w:bookmarkStart w:id="549" w:name="_Toc142385568"/>
      <w:bookmarkStart w:id="550" w:name="_Toc132619030"/>
      <w:bookmarkStart w:id="551" w:name="_Toc132618639"/>
      <w:bookmarkStart w:id="552" w:name="_Toc129798281"/>
      <w:r>
        <w:rPr>
          <w:rFonts w:cs="仿宋_GB2312"/>
        </w:rPr>
        <w:t>5. 材料和工程设备</w:t>
      </w:r>
      <w:bookmarkEnd w:id="542"/>
      <w:bookmarkEnd w:id="543"/>
      <w:bookmarkEnd w:id="544"/>
      <w:bookmarkEnd w:id="545"/>
      <w:bookmarkEnd w:id="546"/>
      <w:bookmarkEnd w:id="547"/>
      <w:bookmarkEnd w:id="548"/>
      <w:bookmarkEnd w:id="549"/>
      <w:bookmarkEnd w:id="550"/>
      <w:bookmarkEnd w:id="551"/>
      <w:bookmarkEnd w:id="552"/>
    </w:p>
    <w:p w14:paraId="5829631B">
      <w:pPr>
        <w:pStyle w:val="512"/>
        <w:spacing w:before="120" w:after="120"/>
      </w:pPr>
      <w:bookmarkStart w:id="553" w:name="_Toc342296303"/>
      <w:bookmarkStart w:id="554" w:name="_Toc109914347"/>
      <w:bookmarkStart w:id="555" w:name="_Toc129798282"/>
      <w:bookmarkStart w:id="556" w:name="_Toc338944745"/>
      <w:bookmarkStart w:id="557" w:name="_Toc142385569"/>
      <w:bookmarkStart w:id="558" w:name="_Toc132618640"/>
      <w:bookmarkStart w:id="559" w:name="_Toc132619031"/>
      <w:r>
        <w:t>5.1 承包人提供的材料和工程设备</w:t>
      </w:r>
      <w:bookmarkEnd w:id="553"/>
      <w:bookmarkEnd w:id="554"/>
      <w:bookmarkEnd w:id="555"/>
      <w:bookmarkEnd w:id="556"/>
      <w:bookmarkEnd w:id="557"/>
      <w:bookmarkEnd w:id="558"/>
      <w:bookmarkEnd w:id="559"/>
    </w:p>
    <w:p w14:paraId="46CBF6B9">
      <w:pPr>
        <w:spacing w:line="400" w:lineRule="exact"/>
        <w:ind w:firstLine="420" w:firstLineChars="200"/>
      </w:pPr>
      <w:r>
        <w:t>5.1.1 除专用合同条款另有约定外，承包人提供的材料和工程设备均由承包人负责采购、运输和保管。承包人应对其采购的材料和工程设备负责。</w:t>
      </w:r>
    </w:p>
    <w:p w14:paraId="19C4F0F9">
      <w:pPr>
        <w:spacing w:line="400" w:lineRule="exact"/>
        <w:ind w:firstLine="420" w:firstLineChars="200"/>
      </w:pPr>
      <w: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335D4B29">
      <w:pPr>
        <w:spacing w:line="400" w:lineRule="exact"/>
        <w:ind w:firstLine="420" w:firstLineChars="200"/>
      </w:pPr>
      <w: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D194168">
      <w:pPr>
        <w:pStyle w:val="512"/>
        <w:spacing w:before="120" w:after="120"/>
      </w:pPr>
      <w:bookmarkStart w:id="560" w:name="_Toc109914348"/>
      <w:bookmarkStart w:id="561" w:name="_Toc132618641"/>
      <w:bookmarkStart w:id="562" w:name="_Toc338944746"/>
      <w:bookmarkStart w:id="563" w:name="_Toc342296304"/>
      <w:bookmarkStart w:id="564" w:name="_Toc132619032"/>
      <w:bookmarkStart w:id="565" w:name="_Toc129798283"/>
      <w:bookmarkStart w:id="566" w:name="_Toc142385570"/>
      <w:r>
        <w:t>5.2 发包人提供的材料和工程设备</w:t>
      </w:r>
      <w:bookmarkEnd w:id="560"/>
      <w:bookmarkEnd w:id="561"/>
      <w:bookmarkEnd w:id="562"/>
      <w:bookmarkEnd w:id="563"/>
      <w:bookmarkEnd w:id="564"/>
      <w:bookmarkEnd w:id="565"/>
      <w:bookmarkEnd w:id="566"/>
    </w:p>
    <w:p w14:paraId="6CEF00A1">
      <w:pPr>
        <w:spacing w:line="400" w:lineRule="exact"/>
        <w:ind w:firstLine="420" w:firstLineChars="200"/>
      </w:pPr>
      <w:r>
        <w:t>5.2.1 发包人提供的材料和工程设备，应在专用合同条款中写明材料和工程设备的名称、规格、数量、价格、交货方式、交货地点和计划交货日期等。</w:t>
      </w:r>
    </w:p>
    <w:p w14:paraId="27F81621">
      <w:pPr>
        <w:spacing w:line="400" w:lineRule="exact"/>
        <w:ind w:firstLine="420" w:firstLineChars="200"/>
      </w:pPr>
      <w:r>
        <w:t>5.2.2 承包人应根据合同进度计划的安排，向监理人报送要求发包人交货的日期计划。发包人应按照监理人与合同双方当事人商定的交货日期，向承包人提交材料和工程设备。</w:t>
      </w:r>
    </w:p>
    <w:p w14:paraId="7375AA5B">
      <w:pPr>
        <w:spacing w:line="400" w:lineRule="exact"/>
        <w:ind w:firstLine="420" w:firstLineChars="200"/>
      </w:pPr>
      <w:r>
        <w:t>5.2.3 发包人应在材料和工程设备到货7天前通知承包人，承包人应会同监理人在约定的时间内，赴交货地点共同进行验收。除专用合同条款另有约定外，发包人提供的材料和工程设备验收后，由承包人负责接收、运输和保管。</w:t>
      </w:r>
    </w:p>
    <w:p w14:paraId="04155202">
      <w:pPr>
        <w:spacing w:line="400" w:lineRule="exact"/>
        <w:ind w:firstLine="420" w:firstLineChars="200"/>
      </w:pPr>
      <w:r>
        <w:t xml:space="preserve">5.2.4 发包人要求向承包人提前交货的，承包人不得拒绝，但发包人应承担承包人由此增加的费用。 </w:t>
      </w:r>
    </w:p>
    <w:p w14:paraId="40F7CE66">
      <w:pPr>
        <w:spacing w:line="400" w:lineRule="exact"/>
        <w:ind w:firstLine="420" w:firstLineChars="200"/>
      </w:pPr>
      <w:r>
        <w:t xml:space="preserve">5.2.5 承包人要求更改交货日期或地点的，应事先报请监理人批准。由于承包人要求更改交货时间或地点所增加的费用和（或）工期延误由承包人承担。 </w:t>
      </w:r>
    </w:p>
    <w:p w14:paraId="7DB5F751">
      <w:pPr>
        <w:spacing w:line="400" w:lineRule="exact"/>
        <w:ind w:firstLine="420" w:firstLineChars="200"/>
      </w:pPr>
      <w: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48DDDD94">
      <w:pPr>
        <w:pStyle w:val="512"/>
        <w:spacing w:before="120" w:after="120"/>
      </w:pPr>
      <w:bookmarkStart w:id="567" w:name="_Toc152045654"/>
      <w:bookmarkStart w:id="568" w:name="_Toc152042432"/>
      <w:bookmarkStart w:id="569" w:name="_Toc342296305"/>
      <w:bookmarkStart w:id="570" w:name="_Toc132619033"/>
      <w:bookmarkStart w:id="571" w:name="_Toc129798284"/>
      <w:bookmarkStart w:id="572" w:name="_Toc142385571"/>
      <w:bookmarkStart w:id="573" w:name="_Toc179632672"/>
      <w:bookmarkStart w:id="574" w:name="_Toc144974622"/>
      <w:bookmarkStart w:id="575" w:name="_Toc109914349"/>
      <w:bookmarkStart w:id="576" w:name="_Toc132618642"/>
      <w:bookmarkStart w:id="577" w:name="_Toc338944747"/>
      <w:r>
        <w:t>5.3 材料和工程设备专用于合同工程</w:t>
      </w:r>
      <w:bookmarkEnd w:id="567"/>
      <w:bookmarkEnd w:id="568"/>
      <w:bookmarkEnd w:id="569"/>
      <w:bookmarkEnd w:id="570"/>
      <w:bookmarkEnd w:id="571"/>
      <w:bookmarkEnd w:id="572"/>
      <w:bookmarkEnd w:id="573"/>
      <w:bookmarkEnd w:id="574"/>
      <w:bookmarkEnd w:id="575"/>
      <w:bookmarkEnd w:id="576"/>
      <w:bookmarkEnd w:id="577"/>
    </w:p>
    <w:p w14:paraId="028A5A0D">
      <w:pPr>
        <w:spacing w:line="400" w:lineRule="exact"/>
        <w:ind w:firstLine="420" w:firstLineChars="200"/>
      </w:pPr>
      <w:r>
        <w:t>5.3.1运入施工场地的材料、工程设备，包括备品备件、安装专用工器具与随机资料，必须专用于合同工程，</w:t>
      </w:r>
      <w:r>
        <w:rPr>
          <w:rFonts w:hint="eastAsia"/>
        </w:rPr>
        <w:t>且入场前均要通知监理人与发包人工程师进行检查。且</w:t>
      </w:r>
      <w:r>
        <w:t>未经监理人同意，承包人不得</w:t>
      </w:r>
      <w:r>
        <w:rPr>
          <w:rFonts w:hint="eastAsia"/>
        </w:rPr>
        <w:t>将5.3.1条涉及的材料设备等</w:t>
      </w:r>
      <w:r>
        <w:t>运出施工场地或挪作他用。</w:t>
      </w:r>
    </w:p>
    <w:p w14:paraId="10AD4BB0">
      <w:pPr>
        <w:spacing w:line="400" w:lineRule="exact"/>
        <w:ind w:firstLine="420" w:firstLineChars="200"/>
      </w:pPr>
      <w: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633D63CC">
      <w:pPr>
        <w:pStyle w:val="512"/>
        <w:spacing w:before="120" w:after="120"/>
      </w:pPr>
      <w:bookmarkStart w:id="578" w:name="_Toc179632673"/>
      <w:bookmarkStart w:id="579" w:name="_Toc152045655"/>
      <w:bookmarkStart w:id="580" w:name="_Toc142385572"/>
      <w:bookmarkStart w:id="581" w:name="_Toc132618643"/>
      <w:bookmarkStart w:id="582" w:name="_Toc342296306"/>
      <w:bookmarkStart w:id="583" w:name="_Toc129798285"/>
      <w:bookmarkStart w:id="584" w:name="_Toc109914350"/>
      <w:bookmarkStart w:id="585" w:name="_Toc144974623"/>
      <w:bookmarkStart w:id="586" w:name="_Toc338944748"/>
      <w:bookmarkStart w:id="587" w:name="_Toc132619034"/>
      <w:bookmarkStart w:id="588" w:name="_Toc152042433"/>
      <w:r>
        <w:t>5.4 禁止使用不合格的材料和工程设备</w:t>
      </w:r>
      <w:bookmarkEnd w:id="578"/>
      <w:bookmarkEnd w:id="579"/>
      <w:bookmarkEnd w:id="580"/>
      <w:bookmarkEnd w:id="581"/>
      <w:bookmarkEnd w:id="582"/>
      <w:bookmarkEnd w:id="583"/>
      <w:bookmarkEnd w:id="584"/>
      <w:bookmarkEnd w:id="585"/>
      <w:bookmarkEnd w:id="586"/>
      <w:bookmarkEnd w:id="587"/>
      <w:bookmarkEnd w:id="588"/>
    </w:p>
    <w:p w14:paraId="452A772E">
      <w:pPr>
        <w:spacing w:line="400" w:lineRule="exact"/>
        <w:ind w:firstLine="420" w:firstLineChars="200"/>
      </w:pPr>
      <w:r>
        <w:t>5.4.1 监理人有权拒绝承包人提供的不合格材料或工程设备，并要求承包人立即进行更换。监理人应在更换后再次进行检查和检验，由此增加的费用和（或）工期延误由承包人承担。</w:t>
      </w:r>
    </w:p>
    <w:p w14:paraId="092AF309">
      <w:pPr>
        <w:spacing w:line="400" w:lineRule="exact"/>
        <w:ind w:firstLine="420" w:firstLineChars="200"/>
      </w:pPr>
      <w:r>
        <w:t>5.4.2 监理人发现承包人使用了不合格的材料和工程设备，应即时发出指示要求承包人立即改正，并禁止在工程中继续使用不合格的材料和工程设备。</w:t>
      </w:r>
    </w:p>
    <w:p w14:paraId="4FBA5325">
      <w:pPr>
        <w:spacing w:line="400" w:lineRule="exact"/>
        <w:ind w:firstLine="420" w:firstLineChars="200"/>
      </w:pPr>
      <w:r>
        <w:t>5.4.3 发包人提供的材料或工程设备不符合合同要求的，承包人有权拒绝，并可要求发包人更换，由此增加的费用和（或）工期延误由发包人承担。</w:t>
      </w:r>
    </w:p>
    <w:p w14:paraId="3A149918">
      <w:pPr>
        <w:pStyle w:val="548"/>
        <w:spacing w:before="120" w:after="120"/>
        <w:rPr>
          <w:rFonts w:cs="仿宋_GB2312"/>
        </w:rPr>
      </w:pPr>
      <w:bookmarkStart w:id="589" w:name="_Toc442365619"/>
      <w:bookmarkStart w:id="590" w:name="_Toc448758427"/>
      <w:bookmarkStart w:id="591" w:name="_Toc129798286"/>
      <w:bookmarkStart w:id="592" w:name="_Toc109914351"/>
      <w:bookmarkStart w:id="593" w:name="_Toc342296307"/>
      <w:bookmarkStart w:id="594" w:name="_Toc469660022"/>
      <w:bookmarkStart w:id="595" w:name="_Toc338944749"/>
      <w:bookmarkStart w:id="596" w:name="_Toc132619035"/>
      <w:bookmarkStart w:id="597" w:name="_Toc142385573"/>
      <w:bookmarkStart w:id="598" w:name="_Toc448758527"/>
      <w:bookmarkStart w:id="599" w:name="_Toc132618644"/>
      <w:r>
        <w:rPr>
          <w:rFonts w:cs="仿宋_GB2312"/>
        </w:rPr>
        <w:t>6. 施工设备和临时设施</w:t>
      </w:r>
      <w:bookmarkEnd w:id="589"/>
      <w:bookmarkEnd w:id="590"/>
      <w:bookmarkEnd w:id="591"/>
      <w:bookmarkEnd w:id="592"/>
      <w:bookmarkEnd w:id="593"/>
      <w:bookmarkEnd w:id="594"/>
      <w:bookmarkEnd w:id="595"/>
      <w:bookmarkEnd w:id="596"/>
      <w:bookmarkEnd w:id="597"/>
      <w:bookmarkEnd w:id="598"/>
      <w:bookmarkEnd w:id="599"/>
    </w:p>
    <w:p w14:paraId="434201B7">
      <w:pPr>
        <w:pStyle w:val="512"/>
        <w:spacing w:before="120" w:after="120"/>
      </w:pPr>
      <w:bookmarkStart w:id="600" w:name="_Toc132619036"/>
      <w:bookmarkStart w:id="601" w:name="_Toc109914352"/>
      <w:bookmarkStart w:id="602" w:name="_Toc142385574"/>
      <w:bookmarkStart w:id="603" w:name="_Toc338944750"/>
      <w:bookmarkStart w:id="604" w:name="_Toc342296308"/>
      <w:bookmarkStart w:id="605" w:name="_Toc129798287"/>
      <w:bookmarkStart w:id="606" w:name="_Toc132618645"/>
      <w:r>
        <w:t>6.1 承包人提供的施工设备和临时设施</w:t>
      </w:r>
      <w:bookmarkEnd w:id="600"/>
      <w:bookmarkEnd w:id="601"/>
      <w:bookmarkEnd w:id="602"/>
      <w:bookmarkEnd w:id="603"/>
      <w:bookmarkEnd w:id="604"/>
      <w:bookmarkEnd w:id="605"/>
      <w:bookmarkEnd w:id="606"/>
    </w:p>
    <w:p w14:paraId="564894B5">
      <w:pPr>
        <w:spacing w:line="400" w:lineRule="exact"/>
        <w:ind w:firstLine="420" w:firstLineChars="200"/>
      </w:pPr>
      <w:r>
        <w:t>6.1.1 承包人应按合同进度计划的要求，及时配置施工设备和修建临时设施。进入施工场地的承包人设备需经监理人核查后才能投入使用。承包人更换合同约定的承包人设备的，应报监理人批准。</w:t>
      </w:r>
    </w:p>
    <w:p w14:paraId="397DCBAE">
      <w:pPr>
        <w:spacing w:line="400" w:lineRule="exact"/>
        <w:ind w:firstLine="420" w:firstLineChars="200"/>
      </w:pPr>
      <w:r>
        <w:t>6.1.2除专用合同条款另有约定外，承包人应自行承担修建临时设施的费用，需要临时占地的，应由发包人办理申请手续并承担相应费用。</w:t>
      </w:r>
    </w:p>
    <w:p w14:paraId="29FBA994">
      <w:pPr>
        <w:pStyle w:val="512"/>
        <w:spacing w:before="120" w:after="120"/>
      </w:pPr>
      <w:bookmarkStart w:id="607" w:name="_Toc342296309"/>
      <w:bookmarkStart w:id="608" w:name="_Toc109914353"/>
      <w:bookmarkStart w:id="609" w:name="_Toc142385575"/>
      <w:bookmarkStart w:id="610" w:name="_Toc132619037"/>
      <w:bookmarkStart w:id="611" w:name="_Toc129798288"/>
      <w:bookmarkStart w:id="612" w:name="_Toc132618646"/>
      <w:bookmarkStart w:id="613" w:name="_Toc338944751"/>
      <w:r>
        <w:t>6.2 发包人提供的施工设备和临时设施</w:t>
      </w:r>
      <w:bookmarkEnd w:id="607"/>
      <w:bookmarkEnd w:id="608"/>
      <w:bookmarkEnd w:id="609"/>
      <w:bookmarkEnd w:id="610"/>
      <w:bookmarkEnd w:id="611"/>
      <w:bookmarkEnd w:id="612"/>
      <w:bookmarkEnd w:id="613"/>
    </w:p>
    <w:p w14:paraId="36A564AA">
      <w:pPr>
        <w:spacing w:line="400" w:lineRule="exact"/>
        <w:ind w:firstLine="420" w:firstLineChars="200"/>
      </w:pPr>
      <w:r>
        <w:t>发包人提供的施工设备或临时设施在专用合同条款中约定。</w:t>
      </w:r>
    </w:p>
    <w:p w14:paraId="021395B1">
      <w:pPr>
        <w:pStyle w:val="512"/>
        <w:spacing w:before="120" w:after="120"/>
      </w:pPr>
      <w:bookmarkStart w:id="614" w:name="_Toc342296310"/>
      <w:bookmarkStart w:id="615" w:name="_Toc338944752"/>
      <w:bookmarkStart w:id="616" w:name="_Toc132619038"/>
      <w:bookmarkStart w:id="617" w:name="_Toc142385576"/>
      <w:bookmarkStart w:id="618" w:name="_Toc144974627"/>
      <w:bookmarkStart w:id="619" w:name="_Toc179632677"/>
      <w:bookmarkStart w:id="620" w:name="_Toc152045659"/>
      <w:bookmarkStart w:id="621" w:name="_Toc109914354"/>
      <w:bookmarkStart w:id="622" w:name="_Toc152042437"/>
      <w:bookmarkStart w:id="623" w:name="_Toc129798289"/>
      <w:bookmarkStart w:id="624" w:name="_Toc132618647"/>
      <w:r>
        <w:t>6.3 要求承包人增加或更换施工设备</w:t>
      </w:r>
      <w:bookmarkEnd w:id="614"/>
      <w:bookmarkEnd w:id="615"/>
      <w:bookmarkEnd w:id="616"/>
      <w:bookmarkEnd w:id="617"/>
      <w:bookmarkEnd w:id="618"/>
      <w:bookmarkEnd w:id="619"/>
      <w:bookmarkEnd w:id="620"/>
      <w:bookmarkEnd w:id="621"/>
      <w:bookmarkEnd w:id="622"/>
      <w:bookmarkEnd w:id="623"/>
      <w:bookmarkEnd w:id="624"/>
    </w:p>
    <w:p w14:paraId="4462692A">
      <w:pPr>
        <w:spacing w:line="400" w:lineRule="exact"/>
        <w:ind w:firstLine="420" w:firstLineChars="200"/>
      </w:pPr>
      <w:r>
        <w:t>承包人使用的施工设备不能满足合同进度计划和（或）质量要求时，监理人有权要求承包人增加或更换施工设备，承包人应及时增加或更换，由此增加的费用和（或）工期延误由承包人承担。</w:t>
      </w:r>
    </w:p>
    <w:p w14:paraId="0E693D24">
      <w:pPr>
        <w:pStyle w:val="512"/>
        <w:spacing w:before="120" w:after="120"/>
      </w:pPr>
      <w:bookmarkStart w:id="625" w:name="_Toc338944753"/>
      <w:bookmarkStart w:id="626" w:name="_Toc342296311"/>
      <w:bookmarkStart w:id="627" w:name="_Toc129798290"/>
      <w:bookmarkStart w:id="628" w:name="_Toc132619039"/>
      <w:bookmarkStart w:id="629" w:name="_Toc109914355"/>
      <w:bookmarkStart w:id="630" w:name="_Toc132618648"/>
      <w:bookmarkStart w:id="631" w:name="_Toc142385577"/>
      <w:r>
        <w:t>6.4 施工设备和临时设施专用于合同工程</w:t>
      </w:r>
      <w:bookmarkEnd w:id="625"/>
      <w:bookmarkEnd w:id="626"/>
      <w:bookmarkEnd w:id="627"/>
      <w:bookmarkEnd w:id="628"/>
      <w:bookmarkEnd w:id="629"/>
      <w:bookmarkEnd w:id="630"/>
      <w:bookmarkEnd w:id="631"/>
    </w:p>
    <w:p w14:paraId="765B4021">
      <w:pPr>
        <w:spacing w:line="400" w:lineRule="exact"/>
        <w:ind w:firstLine="420" w:firstLineChars="200"/>
      </w:pPr>
      <w:r>
        <w:t>6.4.1除合同另有约定外，运入施工场地的所有施工设备以及在施工场地建设的临时设施应专用于合同工程。未经监理人同意，不得将上述施工设备和临时设施中的任何部分运出施工场地或挪作他用。</w:t>
      </w:r>
    </w:p>
    <w:p w14:paraId="25B818B8">
      <w:pPr>
        <w:spacing w:line="400" w:lineRule="exact"/>
        <w:ind w:firstLine="420" w:firstLineChars="200"/>
      </w:pPr>
      <w:r>
        <w:t>6.4.2 经监理人同意，承包人可根据合同进度计划撤走闲置的施工设备。</w:t>
      </w:r>
    </w:p>
    <w:p w14:paraId="2298FF85">
      <w:pPr>
        <w:pStyle w:val="548"/>
        <w:spacing w:before="120" w:after="120"/>
        <w:rPr>
          <w:rFonts w:cs="仿宋_GB2312"/>
        </w:rPr>
      </w:pPr>
      <w:bookmarkStart w:id="632" w:name="_Toc132619040"/>
      <w:bookmarkStart w:id="633" w:name="_Toc109914356"/>
      <w:bookmarkStart w:id="634" w:name="_Toc448758428"/>
      <w:bookmarkStart w:id="635" w:name="_Toc342296312"/>
      <w:bookmarkStart w:id="636" w:name="_Toc442365620"/>
      <w:bookmarkStart w:id="637" w:name="_Toc469660023"/>
      <w:bookmarkStart w:id="638" w:name="_Toc142385578"/>
      <w:bookmarkStart w:id="639" w:name="_Toc448758528"/>
      <w:bookmarkStart w:id="640" w:name="_Toc338944754"/>
      <w:bookmarkStart w:id="641" w:name="_Toc132618649"/>
      <w:bookmarkStart w:id="642" w:name="_Toc129798291"/>
      <w:r>
        <w:rPr>
          <w:rFonts w:cs="仿宋_GB2312"/>
        </w:rPr>
        <w:t>7. 交通运输</w:t>
      </w:r>
      <w:bookmarkEnd w:id="632"/>
      <w:bookmarkEnd w:id="633"/>
      <w:bookmarkEnd w:id="634"/>
      <w:bookmarkEnd w:id="635"/>
      <w:bookmarkEnd w:id="636"/>
      <w:bookmarkEnd w:id="637"/>
      <w:bookmarkEnd w:id="638"/>
      <w:bookmarkEnd w:id="639"/>
      <w:bookmarkEnd w:id="640"/>
      <w:bookmarkEnd w:id="641"/>
      <w:bookmarkEnd w:id="642"/>
    </w:p>
    <w:p w14:paraId="628F5F64">
      <w:pPr>
        <w:pStyle w:val="512"/>
        <w:spacing w:before="120" w:after="120"/>
      </w:pPr>
      <w:bookmarkStart w:id="643" w:name="_Toc342296313"/>
      <w:bookmarkStart w:id="644" w:name="_Toc129798292"/>
      <w:bookmarkStart w:id="645" w:name="_Toc132619041"/>
      <w:bookmarkStart w:id="646" w:name="_Toc132618650"/>
      <w:bookmarkStart w:id="647" w:name="_Toc338944755"/>
      <w:bookmarkStart w:id="648" w:name="_Toc142385579"/>
      <w:bookmarkStart w:id="649" w:name="_Toc109914357"/>
      <w:r>
        <w:t>7.1 道路通行权和场外设施</w:t>
      </w:r>
      <w:bookmarkEnd w:id="643"/>
      <w:bookmarkEnd w:id="644"/>
      <w:bookmarkEnd w:id="645"/>
      <w:bookmarkEnd w:id="646"/>
      <w:bookmarkEnd w:id="647"/>
      <w:bookmarkEnd w:id="648"/>
      <w:bookmarkEnd w:id="649"/>
    </w:p>
    <w:p w14:paraId="314B6382">
      <w:pPr>
        <w:spacing w:line="400" w:lineRule="exact"/>
        <w:ind w:firstLine="420" w:firstLineChars="200"/>
      </w:pPr>
      <w: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34354672">
      <w:pPr>
        <w:pStyle w:val="512"/>
        <w:spacing w:before="120" w:after="120"/>
      </w:pPr>
      <w:bookmarkStart w:id="650" w:name="_Toc142385580"/>
      <w:bookmarkStart w:id="651" w:name="_Toc342296314"/>
      <w:bookmarkStart w:id="652" w:name="_Toc132618651"/>
      <w:bookmarkStart w:id="653" w:name="_Toc338944756"/>
      <w:bookmarkStart w:id="654" w:name="_Toc109914358"/>
      <w:bookmarkStart w:id="655" w:name="_Toc129798293"/>
      <w:bookmarkStart w:id="656" w:name="_Toc132619042"/>
      <w:r>
        <w:t>7.2 场内施工道路</w:t>
      </w:r>
      <w:bookmarkEnd w:id="650"/>
      <w:bookmarkEnd w:id="651"/>
      <w:bookmarkEnd w:id="652"/>
      <w:bookmarkEnd w:id="653"/>
      <w:bookmarkEnd w:id="654"/>
      <w:bookmarkEnd w:id="655"/>
      <w:bookmarkEnd w:id="656"/>
    </w:p>
    <w:p w14:paraId="7ADC638B">
      <w:pPr>
        <w:spacing w:line="400" w:lineRule="exact"/>
        <w:ind w:firstLine="420" w:firstLineChars="200"/>
      </w:pPr>
      <w:r>
        <w:t>7.2.1 除专用合同条款另有约定外，承包人应负责修建、维修、养护和管理施工所需的临时道路和交通设施，包括维修、养护和管理发包人提供的道路和交通设施，并承担相应费用。</w:t>
      </w:r>
    </w:p>
    <w:p w14:paraId="73E3CD6B">
      <w:pPr>
        <w:spacing w:line="400" w:lineRule="exact"/>
        <w:ind w:firstLine="420" w:firstLineChars="200"/>
      </w:pPr>
      <w:r>
        <w:t>7.2.2 除专用合同条款另有约定外，承包人修建的临时道路和交通设施应免费提供发包人和监理人使用。</w:t>
      </w:r>
    </w:p>
    <w:p w14:paraId="054C80E1">
      <w:pPr>
        <w:pStyle w:val="512"/>
        <w:spacing w:before="120" w:after="120"/>
      </w:pPr>
      <w:bookmarkStart w:id="657" w:name="_Toc144974632"/>
      <w:bookmarkStart w:id="658" w:name="_Toc338944757"/>
      <w:bookmarkStart w:id="659" w:name="_Toc109914359"/>
      <w:bookmarkStart w:id="660" w:name="_Toc129798294"/>
      <w:bookmarkStart w:id="661" w:name="_Toc132619043"/>
      <w:bookmarkStart w:id="662" w:name="_Toc152042442"/>
      <w:bookmarkStart w:id="663" w:name="_Toc179632682"/>
      <w:bookmarkStart w:id="664" w:name="_Toc152045664"/>
      <w:bookmarkStart w:id="665" w:name="_Toc132618652"/>
      <w:bookmarkStart w:id="666" w:name="_Toc142385581"/>
      <w:bookmarkStart w:id="667" w:name="_Toc342296315"/>
      <w:r>
        <w:t>7.3 场外交通</w:t>
      </w:r>
      <w:bookmarkEnd w:id="657"/>
      <w:bookmarkEnd w:id="658"/>
      <w:bookmarkEnd w:id="659"/>
      <w:bookmarkEnd w:id="660"/>
      <w:bookmarkEnd w:id="661"/>
      <w:bookmarkEnd w:id="662"/>
      <w:bookmarkEnd w:id="663"/>
      <w:bookmarkEnd w:id="664"/>
      <w:bookmarkEnd w:id="665"/>
      <w:bookmarkEnd w:id="666"/>
      <w:bookmarkEnd w:id="667"/>
    </w:p>
    <w:p w14:paraId="62F8E6B7">
      <w:pPr>
        <w:spacing w:line="400" w:lineRule="exact"/>
        <w:ind w:firstLine="420" w:firstLineChars="200"/>
      </w:pPr>
      <w:r>
        <w:t>7.3.1 承包人车辆外出行驶所需的场外公共道路的通行费、养路费和税款等由承包人承担。</w:t>
      </w:r>
    </w:p>
    <w:p w14:paraId="01B7F66A">
      <w:pPr>
        <w:spacing w:line="400" w:lineRule="exact"/>
        <w:ind w:firstLine="420" w:firstLineChars="200"/>
      </w:pPr>
      <w:r>
        <w:t>7.3.2 承包人应遵守有关交通法规，严格按照道路和桥梁的限制荷重安全行驶，并服从交通管理部门的检查和监督。</w:t>
      </w:r>
    </w:p>
    <w:p w14:paraId="0975049F">
      <w:pPr>
        <w:pStyle w:val="512"/>
        <w:spacing w:before="120" w:after="120"/>
      </w:pPr>
      <w:bookmarkStart w:id="668" w:name="_Toc338944758"/>
      <w:bookmarkStart w:id="669" w:name="_Toc129798295"/>
      <w:bookmarkStart w:id="670" w:name="_Toc132619044"/>
      <w:bookmarkStart w:id="671" w:name="_Toc342296316"/>
      <w:bookmarkStart w:id="672" w:name="_Toc142385582"/>
      <w:bookmarkStart w:id="673" w:name="_Toc109914360"/>
      <w:bookmarkStart w:id="674" w:name="_Toc132618653"/>
      <w:r>
        <w:t>7.4 超大件和超重件的运输</w:t>
      </w:r>
      <w:bookmarkEnd w:id="668"/>
      <w:bookmarkEnd w:id="669"/>
      <w:bookmarkEnd w:id="670"/>
      <w:bookmarkEnd w:id="671"/>
      <w:bookmarkEnd w:id="672"/>
      <w:bookmarkEnd w:id="673"/>
      <w:bookmarkEnd w:id="674"/>
    </w:p>
    <w:p w14:paraId="693EFF82">
      <w:pPr>
        <w:spacing w:line="400" w:lineRule="exact"/>
        <w:ind w:firstLine="420" w:firstLineChars="200"/>
      </w:pPr>
      <w: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0DD1475">
      <w:pPr>
        <w:pStyle w:val="512"/>
        <w:spacing w:before="120" w:after="120"/>
      </w:pPr>
      <w:bookmarkStart w:id="675" w:name="_Toc338944759"/>
      <w:bookmarkStart w:id="676" w:name="_Toc132618654"/>
      <w:bookmarkStart w:id="677" w:name="_Toc129798296"/>
      <w:bookmarkStart w:id="678" w:name="_Toc342296317"/>
      <w:bookmarkStart w:id="679" w:name="_Toc109914361"/>
      <w:bookmarkStart w:id="680" w:name="_Toc132619045"/>
      <w:bookmarkStart w:id="681" w:name="_Toc142385583"/>
      <w:r>
        <w:t>7.5 道路和桥梁的损坏责任</w:t>
      </w:r>
      <w:bookmarkEnd w:id="675"/>
      <w:bookmarkEnd w:id="676"/>
      <w:bookmarkEnd w:id="677"/>
      <w:bookmarkEnd w:id="678"/>
      <w:bookmarkEnd w:id="679"/>
      <w:bookmarkEnd w:id="680"/>
      <w:bookmarkEnd w:id="681"/>
    </w:p>
    <w:p w14:paraId="2C6688D3">
      <w:pPr>
        <w:spacing w:line="400" w:lineRule="exact"/>
        <w:ind w:firstLine="420" w:firstLineChars="200"/>
      </w:pPr>
      <w:r>
        <w:t>因承包人运输造成施工场地内外公共道路和桥梁损坏的，由承包人承担修复损坏的全部费用和可能引起的赔偿。</w:t>
      </w:r>
    </w:p>
    <w:p w14:paraId="749BC298">
      <w:pPr>
        <w:pStyle w:val="512"/>
        <w:spacing w:before="120" w:after="120"/>
      </w:pPr>
      <w:bookmarkStart w:id="682" w:name="_Toc132619046"/>
      <w:bookmarkStart w:id="683" w:name="_Toc152042445"/>
      <w:bookmarkStart w:id="684" w:name="_Toc342296318"/>
      <w:bookmarkStart w:id="685" w:name="_Toc142385584"/>
      <w:bookmarkStart w:id="686" w:name="_Toc144974635"/>
      <w:bookmarkStart w:id="687" w:name="_Toc338944760"/>
      <w:bookmarkStart w:id="688" w:name="_Toc152045667"/>
      <w:bookmarkStart w:id="689" w:name="_Toc132618655"/>
      <w:bookmarkStart w:id="690" w:name="_Toc109914362"/>
      <w:bookmarkStart w:id="691" w:name="_Toc179632685"/>
      <w:bookmarkStart w:id="692" w:name="_Toc129798297"/>
      <w:r>
        <w:t>7.6 水路和航空运输</w:t>
      </w:r>
      <w:bookmarkEnd w:id="682"/>
      <w:bookmarkEnd w:id="683"/>
      <w:bookmarkEnd w:id="684"/>
      <w:bookmarkEnd w:id="685"/>
      <w:bookmarkEnd w:id="686"/>
      <w:bookmarkEnd w:id="687"/>
      <w:bookmarkEnd w:id="688"/>
      <w:bookmarkEnd w:id="689"/>
      <w:bookmarkEnd w:id="690"/>
      <w:bookmarkEnd w:id="691"/>
      <w:bookmarkEnd w:id="692"/>
    </w:p>
    <w:p w14:paraId="1685270D">
      <w:pPr>
        <w:spacing w:line="400" w:lineRule="exact"/>
        <w:ind w:firstLine="420" w:firstLineChars="200"/>
      </w:pPr>
      <w:r>
        <w:t xml:space="preserve">本条上述各款的内容适用于水路运输和航空运输，其中“道路”一词的涵义包括河道、航线、船闸、机场、码头、堤防以及水路或航空运输中其他相似结构物；“车辆”一词的涵义包括船舶和飞机等。 </w:t>
      </w:r>
    </w:p>
    <w:p w14:paraId="0D37CB82">
      <w:pPr>
        <w:pStyle w:val="548"/>
        <w:spacing w:before="120" w:after="120"/>
        <w:rPr>
          <w:rFonts w:cs="仿宋_GB2312"/>
        </w:rPr>
      </w:pPr>
      <w:bookmarkStart w:id="693" w:name="_Toc442365621"/>
      <w:bookmarkStart w:id="694" w:name="_Toc469660024"/>
      <w:bookmarkStart w:id="695" w:name="_Toc342296319"/>
      <w:bookmarkStart w:id="696" w:name="_Toc129798298"/>
      <w:bookmarkStart w:id="697" w:name="_Toc132619047"/>
      <w:bookmarkStart w:id="698" w:name="_Toc338944761"/>
      <w:bookmarkStart w:id="699" w:name="_Toc448758429"/>
      <w:bookmarkStart w:id="700" w:name="_Toc132618656"/>
      <w:bookmarkStart w:id="701" w:name="_Toc142385585"/>
      <w:bookmarkStart w:id="702" w:name="_Toc109914363"/>
      <w:bookmarkStart w:id="703" w:name="_Toc448758529"/>
      <w:r>
        <w:rPr>
          <w:rFonts w:cs="仿宋_GB2312"/>
        </w:rPr>
        <w:t>8. 测量放线</w:t>
      </w:r>
      <w:bookmarkEnd w:id="693"/>
      <w:bookmarkEnd w:id="694"/>
      <w:bookmarkEnd w:id="695"/>
      <w:bookmarkEnd w:id="696"/>
      <w:bookmarkEnd w:id="697"/>
      <w:bookmarkEnd w:id="698"/>
      <w:bookmarkEnd w:id="699"/>
      <w:bookmarkEnd w:id="700"/>
      <w:bookmarkEnd w:id="701"/>
      <w:bookmarkEnd w:id="702"/>
      <w:bookmarkEnd w:id="703"/>
    </w:p>
    <w:p w14:paraId="3086ED07">
      <w:pPr>
        <w:pStyle w:val="512"/>
        <w:spacing w:before="120" w:after="120"/>
      </w:pPr>
      <w:bookmarkStart w:id="704" w:name="_Toc142385586"/>
      <w:bookmarkStart w:id="705" w:name="_Toc132619048"/>
      <w:bookmarkStart w:id="706" w:name="_Toc109914364"/>
      <w:bookmarkStart w:id="707" w:name="_Toc132618657"/>
      <w:bookmarkStart w:id="708" w:name="_Toc129798299"/>
      <w:bookmarkStart w:id="709" w:name="_Toc342296320"/>
      <w:bookmarkStart w:id="710" w:name="_Toc338944762"/>
      <w:r>
        <w:t>8.1 施工控制网</w:t>
      </w:r>
      <w:bookmarkEnd w:id="704"/>
      <w:bookmarkEnd w:id="705"/>
      <w:bookmarkEnd w:id="706"/>
      <w:bookmarkEnd w:id="707"/>
      <w:bookmarkEnd w:id="708"/>
      <w:bookmarkEnd w:id="709"/>
      <w:bookmarkEnd w:id="710"/>
    </w:p>
    <w:p w14:paraId="4340053A">
      <w:pPr>
        <w:spacing w:line="400" w:lineRule="exact"/>
        <w:ind w:firstLine="420" w:firstLineChars="200"/>
      </w:pPr>
      <w:r>
        <w: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0A155A31">
      <w:pPr>
        <w:spacing w:line="400" w:lineRule="exact"/>
        <w:ind w:firstLine="420" w:firstLineChars="200"/>
      </w:pPr>
      <w:r>
        <w:t>8.1.2承包人应负责管理施工控制网点。施工控制网点丢失或损坏的，承包人应及时修复。承包人应承担施工控制网点的管理与修复费用，并在工程竣工后将施工控制网点移交发包人。</w:t>
      </w:r>
    </w:p>
    <w:p w14:paraId="7031AE4A">
      <w:pPr>
        <w:pStyle w:val="512"/>
        <w:spacing w:before="120" w:after="120"/>
      </w:pPr>
      <w:bookmarkStart w:id="711" w:name="_Toc152042448"/>
      <w:bookmarkStart w:id="712" w:name="_Toc144974638"/>
      <w:bookmarkStart w:id="713" w:name="_Toc152045670"/>
      <w:bookmarkStart w:id="714" w:name="_Toc129798300"/>
      <w:bookmarkStart w:id="715" w:name="_Toc338944763"/>
      <w:bookmarkStart w:id="716" w:name="_Toc132619049"/>
      <w:bookmarkStart w:id="717" w:name="_Toc109914365"/>
      <w:bookmarkStart w:id="718" w:name="_Toc342296321"/>
      <w:bookmarkStart w:id="719" w:name="_Toc132618658"/>
      <w:bookmarkStart w:id="720" w:name="_Toc179632688"/>
      <w:bookmarkStart w:id="721" w:name="_Toc142385587"/>
      <w:r>
        <w:t>8.2 施工测量</w:t>
      </w:r>
      <w:bookmarkEnd w:id="711"/>
      <w:bookmarkEnd w:id="712"/>
      <w:bookmarkEnd w:id="713"/>
      <w:bookmarkEnd w:id="714"/>
      <w:bookmarkEnd w:id="715"/>
      <w:bookmarkEnd w:id="716"/>
      <w:bookmarkEnd w:id="717"/>
      <w:bookmarkEnd w:id="718"/>
      <w:bookmarkEnd w:id="719"/>
      <w:bookmarkEnd w:id="720"/>
      <w:bookmarkEnd w:id="721"/>
    </w:p>
    <w:p w14:paraId="3CF83855">
      <w:pPr>
        <w:spacing w:line="400" w:lineRule="exact"/>
        <w:ind w:firstLine="420" w:firstLineChars="200"/>
      </w:pPr>
      <w:r>
        <w:t>8.2.1承包人应负责施工过程中的全部施工测量放线工作，并配置合格的人员、仪器、设备和其他物品。</w:t>
      </w:r>
    </w:p>
    <w:p w14:paraId="1995DAA4">
      <w:pPr>
        <w:spacing w:line="400" w:lineRule="exact"/>
        <w:ind w:firstLine="420" w:firstLineChars="200"/>
      </w:pPr>
      <w:r>
        <w:t>8.2.2监理人可以指示承包人进行抽样复测，当复测中发现错误或出现超过合同约定的误差时，承包人应按监理人指示进行修正或补测，并承担相应的复测费用。</w:t>
      </w:r>
    </w:p>
    <w:p w14:paraId="24F17D2D">
      <w:pPr>
        <w:pStyle w:val="512"/>
        <w:spacing w:before="120" w:after="120"/>
      </w:pPr>
      <w:bookmarkStart w:id="722" w:name="_Toc152045671"/>
      <w:bookmarkStart w:id="723" w:name="_Toc144974639"/>
      <w:bookmarkStart w:id="724" w:name="_Toc109914366"/>
      <w:bookmarkStart w:id="725" w:name="_Toc132619050"/>
      <w:bookmarkStart w:id="726" w:name="_Toc342296322"/>
      <w:bookmarkStart w:id="727" w:name="_Toc338944764"/>
      <w:bookmarkStart w:id="728" w:name="_Toc179632689"/>
      <w:bookmarkStart w:id="729" w:name="_Toc129798301"/>
      <w:bookmarkStart w:id="730" w:name="_Toc142385588"/>
      <w:bookmarkStart w:id="731" w:name="_Toc152042449"/>
      <w:bookmarkStart w:id="732" w:name="_Toc132618659"/>
      <w:r>
        <w:t>8.3 基准资料错误的责任</w:t>
      </w:r>
      <w:bookmarkEnd w:id="722"/>
      <w:bookmarkEnd w:id="723"/>
      <w:bookmarkEnd w:id="724"/>
      <w:bookmarkEnd w:id="725"/>
      <w:bookmarkEnd w:id="726"/>
      <w:bookmarkEnd w:id="727"/>
      <w:bookmarkEnd w:id="728"/>
      <w:bookmarkEnd w:id="729"/>
      <w:bookmarkEnd w:id="730"/>
      <w:bookmarkEnd w:id="731"/>
      <w:bookmarkEnd w:id="732"/>
    </w:p>
    <w:p w14:paraId="5F5BF8A5">
      <w:pPr>
        <w:spacing w:line="400" w:lineRule="exact"/>
        <w:ind w:firstLine="420" w:firstLineChars="200"/>
      </w:pPr>
      <w: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65EAEDA">
      <w:pPr>
        <w:pStyle w:val="512"/>
        <w:spacing w:before="120" w:after="120"/>
      </w:pPr>
      <w:bookmarkStart w:id="733" w:name="_Toc152045672"/>
      <w:bookmarkStart w:id="734" w:name="_Toc152042450"/>
      <w:bookmarkStart w:id="735" w:name="_Toc342296323"/>
      <w:bookmarkStart w:id="736" w:name="_Toc132619051"/>
      <w:bookmarkStart w:id="737" w:name="_Toc338944765"/>
      <w:bookmarkStart w:id="738" w:name="_Toc179632690"/>
      <w:bookmarkStart w:id="739" w:name="_Toc109914367"/>
      <w:bookmarkStart w:id="740" w:name="_Toc144974640"/>
      <w:bookmarkStart w:id="741" w:name="_Toc129798302"/>
      <w:bookmarkStart w:id="742" w:name="_Toc132618660"/>
      <w:bookmarkStart w:id="743" w:name="_Toc142385589"/>
      <w:r>
        <w:t>8.4 监理人使用施工控制网</w:t>
      </w:r>
      <w:bookmarkEnd w:id="733"/>
      <w:bookmarkEnd w:id="734"/>
      <w:bookmarkEnd w:id="735"/>
      <w:bookmarkEnd w:id="736"/>
      <w:bookmarkEnd w:id="737"/>
      <w:bookmarkEnd w:id="738"/>
      <w:bookmarkEnd w:id="739"/>
      <w:bookmarkEnd w:id="740"/>
      <w:bookmarkEnd w:id="741"/>
      <w:bookmarkEnd w:id="742"/>
      <w:bookmarkEnd w:id="743"/>
    </w:p>
    <w:p w14:paraId="5966C406">
      <w:pPr>
        <w:spacing w:line="400" w:lineRule="exact"/>
        <w:ind w:firstLine="420" w:firstLineChars="200"/>
        <w:rPr>
          <w:dstrike/>
          <w:szCs w:val="21"/>
        </w:rPr>
      </w:pPr>
      <w:r>
        <w:t>监理人需要使用施工控制网的，承包人应提供必要的协助，发包人不再为此支付费用。</w:t>
      </w:r>
    </w:p>
    <w:p w14:paraId="567B0A6C">
      <w:pPr>
        <w:pStyle w:val="548"/>
        <w:spacing w:before="120" w:after="120"/>
        <w:rPr>
          <w:rFonts w:cs="仿宋_GB2312"/>
        </w:rPr>
      </w:pPr>
      <w:bookmarkStart w:id="744" w:name="_Toc338944766"/>
      <w:bookmarkStart w:id="745" w:name="_Toc342296324"/>
      <w:bookmarkStart w:id="746" w:name="_Toc442365622"/>
      <w:bookmarkStart w:id="747" w:name="_Toc448758530"/>
      <w:bookmarkStart w:id="748" w:name="_Toc469660025"/>
      <w:bookmarkStart w:id="749" w:name="_Toc448758430"/>
      <w:bookmarkStart w:id="750" w:name="_Toc129798303"/>
      <w:bookmarkStart w:id="751" w:name="_Toc109914368"/>
      <w:bookmarkStart w:id="752" w:name="_Toc132618661"/>
      <w:bookmarkStart w:id="753" w:name="_Toc132619052"/>
      <w:bookmarkStart w:id="754" w:name="_Toc142385590"/>
      <w:r>
        <w:rPr>
          <w:rFonts w:cs="仿宋_GB2312"/>
        </w:rPr>
        <w:t>9. 施工安全、治安保卫</w:t>
      </w:r>
      <w:r>
        <w:rPr>
          <w:rFonts w:hint="eastAsia" w:eastAsia="等线" w:cs="仿宋_GB2312"/>
        </w:rPr>
        <w:t>，</w:t>
      </w:r>
      <w:r>
        <w:rPr>
          <w:rFonts w:cs="仿宋_GB2312"/>
        </w:rPr>
        <w:t>环境保护</w:t>
      </w:r>
      <w:bookmarkEnd w:id="744"/>
      <w:bookmarkEnd w:id="745"/>
      <w:bookmarkEnd w:id="746"/>
      <w:bookmarkEnd w:id="747"/>
      <w:bookmarkEnd w:id="748"/>
      <w:bookmarkEnd w:id="749"/>
      <w:r>
        <w:rPr>
          <w:rFonts w:hint="eastAsia" w:ascii="等线" w:hAnsi="等线" w:eastAsia="等线" w:cs="仿宋_GB2312"/>
        </w:rPr>
        <w:t>以及安全文明施工</w:t>
      </w:r>
      <w:bookmarkEnd w:id="750"/>
      <w:bookmarkEnd w:id="751"/>
      <w:bookmarkEnd w:id="752"/>
      <w:bookmarkEnd w:id="753"/>
      <w:bookmarkEnd w:id="754"/>
    </w:p>
    <w:p w14:paraId="494BAED2">
      <w:pPr>
        <w:pStyle w:val="512"/>
        <w:spacing w:before="120" w:after="120"/>
      </w:pPr>
      <w:bookmarkStart w:id="755" w:name="_Toc342296325"/>
      <w:bookmarkStart w:id="756" w:name="_Toc152045674"/>
      <w:bookmarkStart w:id="757" w:name="_Toc132618662"/>
      <w:bookmarkStart w:id="758" w:name="_Toc179632692"/>
      <w:bookmarkStart w:id="759" w:name="_Toc129798304"/>
      <w:bookmarkStart w:id="760" w:name="_Toc338944767"/>
      <w:bookmarkStart w:id="761" w:name="_Toc132619053"/>
      <w:bookmarkStart w:id="762" w:name="_Toc142385591"/>
      <w:bookmarkStart w:id="763" w:name="_Toc152042452"/>
      <w:bookmarkStart w:id="764" w:name="_Toc144974642"/>
      <w:bookmarkStart w:id="765" w:name="_Toc109914369"/>
      <w:r>
        <w:t>9.1 发包人的施工安全责任</w:t>
      </w:r>
      <w:bookmarkEnd w:id="755"/>
      <w:bookmarkEnd w:id="756"/>
      <w:bookmarkEnd w:id="757"/>
      <w:bookmarkEnd w:id="758"/>
      <w:bookmarkEnd w:id="759"/>
      <w:bookmarkEnd w:id="760"/>
      <w:bookmarkEnd w:id="761"/>
      <w:bookmarkEnd w:id="762"/>
      <w:bookmarkEnd w:id="763"/>
      <w:bookmarkEnd w:id="764"/>
      <w:bookmarkEnd w:id="765"/>
    </w:p>
    <w:p w14:paraId="777E831B">
      <w:pPr>
        <w:spacing w:line="400" w:lineRule="exact"/>
        <w:ind w:firstLine="420" w:firstLineChars="200"/>
      </w:pPr>
      <w:r>
        <w:t>9.1.1 发包人应按合同约定履行安全职责，授权监理人按合同约定的安全工作内容监督、检查承包人安全工作的实施，组织承包人和有关单位进行安全检查。</w:t>
      </w:r>
    </w:p>
    <w:p w14:paraId="4B789453">
      <w:pPr>
        <w:spacing w:line="400" w:lineRule="exact"/>
        <w:ind w:firstLine="420" w:firstLineChars="200"/>
      </w:pPr>
      <w:r>
        <w:t>9.1.2 发包人应对其现场机构雇佣的全部人员的工伤事故承担责任，但由于承包人原因造成发包人人员工伤的，应由承包人承担责任。</w:t>
      </w:r>
    </w:p>
    <w:p w14:paraId="6BDF152F">
      <w:pPr>
        <w:spacing w:line="400" w:lineRule="exact"/>
        <w:ind w:firstLine="420" w:firstLineChars="200"/>
      </w:pPr>
      <w:r>
        <w:t>9.1.3 发包人应负责赔偿以下各种情况造成的第三者人身伤亡和财产损失：</w:t>
      </w:r>
    </w:p>
    <w:p w14:paraId="683C8E87">
      <w:pPr>
        <w:spacing w:line="400" w:lineRule="exact"/>
        <w:ind w:firstLine="420" w:firstLineChars="200"/>
      </w:pPr>
      <w:r>
        <w:t>（1） 工程或工程的任何部分对土地的占用所造成的第三者财产损失；</w:t>
      </w:r>
    </w:p>
    <w:p w14:paraId="7634C4F4">
      <w:pPr>
        <w:spacing w:line="400" w:lineRule="exact"/>
        <w:ind w:firstLine="420" w:firstLineChars="200"/>
      </w:pPr>
      <w:r>
        <w:t>（2） 由于发包人原因在施工场地及其毗邻地带造成的第三者人身伤亡和财产损失。</w:t>
      </w:r>
    </w:p>
    <w:p w14:paraId="6174C4C4">
      <w:pPr>
        <w:pStyle w:val="512"/>
        <w:spacing w:before="120" w:after="120"/>
      </w:pPr>
      <w:bookmarkStart w:id="766" w:name="_Toc342296326"/>
      <w:bookmarkStart w:id="767" w:name="_Toc132618663"/>
      <w:bookmarkStart w:id="768" w:name="_Toc338944768"/>
      <w:bookmarkStart w:id="769" w:name="_Toc109914370"/>
      <w:bookmarkStart w:id="770" w:name="_Toc132619054"/>
      <w:bookmarkStart w:id="771" w:name="_Toc142385592"/>
      <w:bookmarkStart w:id="772" w:name="_Toc129798305"/>
      <w:r>
        <w:t>9.2 承包人的施工安全责任</w:t>
      </w:r>
      <w:bookmarkEnd w:id="766"/>
      <w:bookmarkEnd w:id="767"/>
      <w:bookmarkEnd w:id="768"/>
      <w:bookmarkEnd w:id="769"/>
      <w:bookmarkEnd w:id="770"/>
      <w:bookmarkEnd w:id="771"/>
      <w:bookmarkEnd w:id="772"/>
    </w:p>
    <w:p w14:paraId="57AD846B">
      <w:pPr>
        <w:spacing w:line="400" w:lineRule="exact"/>
        <w:ind w:firstLine="420" w:firstLineChars="200"/>
      </w:pPr>
      <w:r>
        <w:t>9.2.1 承包人应按合同约定履行安全职责,执行监理人有关安全工作的指示,并在专用合同条款约定的期限内，按合同约定的安全工作内容，编制施工安全措施计划报送监理人审批。</w:t>
      </w:r>
    </w:p>
    <w:p w14:paraId="36BDE852">
      <w:pPr>
        <w:spacing w:line="400" w:lineRule="exact"/>
        <w:ind w:firstLine="420" w:firstLineChars="200"/>
      </w:pPr>
      <w:r>
        <w:t>9.2.2 承包人应加强施工作业安全管理，特别应加强易燃、易爆材料、火工器材、有毒与腐蚀性材料和其他危险品的管理，以及对爆破作业和地下工程施工等危险作业的管理。</w:t>
      </w:r>
    </w:p>
    <w:p w14:paraId="2E865766">
      <w:pPr>
        <w:spacing w:line="400" w:lineRule="exact"/>
        <w:ind w:firstLine="420" w:firstLineChars="200"/>
      </w:pPr>
      <w:r>
        <w:t>9.2.3 承包人应严格按照国家安全标准制定施工安全操作规程，配备必要的安全生产和劳动保护设施，加强对承包人人员的安全教育，并发放安全工作手册和劳动保护用具。</w:t>
      </w:r>
    </w:p>
    <w:p w14:paraId="72D3B413">
      <w:pPr>
        <w:spacing w:line="400" w:lineRule="exact"/>
        <w:ind w:firstLine="420" w:firstLineChars="200"/>
      </w:pPr>
      <w:r>
        <w:t>9.2.4 承包人应按监理人的指示制定应对灾害的紧急预案，报送监理人审批。承包人还应按预案做好安全检查，配置必要的救助物资和器材，切实保护好有关人员的人身和财产安全。</w:t>
      </w:r>
    </w:p>
    <w:p w14:paraId="3EB03CCE">
      <w:pPr>
        <w:spacing w:line="400" w:lineRule="exact"/>
        <w:ind w:firstLine="420" w:firstLineChars="200"/>
      </w:pPr>
      <w:r>
        <w:t>9.2.5 合同约定的安全作业环境及安全施工措施所需费用应遵守有关规定，并包括在相关工作的合同价格中。因采取合同未约定的安全作业环境及安全施工措施增加的费用，由监理人按第3.5款商定或确定。</w:t>
      </w:r>
    </w:p>
    <w:p w14:paraId="0A198714">
      <w:pPr>
        <w:spacing w:line="400" w:lineRule="exact"/>
        <w:ind w:firstLine="420" w:firstLineChars="200"/>
      </w:pPr>
      <w:r>
        <w:t>9.2.6 承包人应对其履行合同所雇佣的全部人员，包括分包人人员的工伤事故承担责任，但由于发包人原因造成承包人人员工伤事故的，应由发包人承担责任。</w:t>
      </w:r>
    </w:p>
    <w:p w14:paraId="105FAE62">
      <w:pPr>
        <w:spacing w:line="400" w:lineRule="exact"/>
        <w:ind w:firstLine="420" w:firstLineChars="200"/>
      </w:pPr>
      <w:r>
        <w:t>9.2.7 由于承包人原因在施工场地内及其毗邻地带造成的第三者人员伤亡和财产损失，由承包人负责赔偿。</w:t>
      </w:r>
    </w:p>
    <w:p w14:paraId="41B1AE35">
      <w:pPr>
        <w:spacing w:line="400" w:lineRule="exact"/>
        <w:ind w:firstLine="420" w:firstLineChars="200"/>
      </w:pPr>
      <w:r>
        <w:rPr>
          <w:rFonts w:hint="eastAsia"/>
        </w:rPr>
        <w:t>9.2.8 承包人应签署《施工安全协议书》（第七节），并严格按照第七节《施工安全协议书》中内容执行。</w:t>
      </w:r>
    </w:p>
    <w:p w14:paraId="58750177">
      <w:pPr>
        <w:pStyle w:val="512"/>
        <w:spacing w:before="120" w:after="120"/>
      </w:pPr>
      <w:bookmarkStart w:id="773" w:name="_Toc132619055"/>
      <w:bookmarkStart w:id="774" w:name="_Toc132618664"/>
      <w:bookmarkStart w:id="775" w:name="_Toc342296327"/>
      <w:bookmarkStart w:id="776" w:name="_Toc338944769"/>
      <w:bookmarkStart w:id="777" w:name="_Toc129798306"/>
      <w:bookmarkStart w:id="778" w:name="_Toc142385593"/>
      <w:bookmarkStart w:id="779" w:name="_Toc109914371"/>
      <w:r>
        <w:t>9.3 治安保卫</w:t>
      </w:r>
      <w:bookmarkEnd w:id="773"/>
      <w:bookmarkEnd w:id="774"/>
      <w:bookmarkEnd w:id="775"/>
      <w:bookmarkEnd w:id="776"/>
      <w:bookmarkEnd w:id="777"/>
      <w:bookmarkEnd w:id="778"/>
      <w:bookmarkEnd w:id="779"/>
    </w:p>
    <w:p w14:paraId="1BC626BF">
      <w:pPr>
        <w:spacing w:line="400" w:lineRule="exact"/>
        <w:ind w:firstLine="420" w:firstLineChars="200"/>
      </w:pPr>
      <w:r>
        <w:t>9.3.1 除合同另有约定外，发包人应与当地公安部门协商，在现场建立治安管理机构或联防组织，统一管理施工场地的治安保卫事项，履行合同工程的治安保卫职责。</w:t>
      </w:r>
    </w:p>
    <w:p w14:paraId="1BC9322C">
      <w:pPr>
        <w:spacing w:line="400" w:lineRule="exact"/>
        <w:ind w:firstLine="420" w:firstLineChars="200"/>
      </w:pPr>
      <w:r>
        <w:t>9.3.2 发包人和承包人除应协助现场治安管理机构或联防组织维护施工场地的社会治安外，还应做好包括生活区在内的各自管辖区的治安保卫工作。</w:t>
      </w:r>
    </w:p>
    <w:p w14:paraId="10969216">
      <w:pPr>
        <w:spacing w:line="400" w:lineRule="exact"/>
        <w:ind w:firstLine="420" w:firstLineChars="200"/>
      </w:pPr>
      <w: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7B6F1022">
      <w:pPr>
        <w:pStyle w:val="512"/>
        <w:spacing w:before="120" w:after="120"/>
      </w:pPr>
      <w:bookmarkStart w:id="780" w:name="_Toc129798307"/>
      <w:bookmarkStart w:id="781" w:name="_Toc338944770"/>
      <w:bookmarkStart w:id="782" w:name="_Toc342296328"/>
      <w:bookmarkStart w:id="783" w:name="_Toc109914372"/>
      <w:bookmarkStart w:id="784" w:name="_Toc132618665"/>
      <w:bookmarkStart w:id="785" w:name="_Toc132619056"/>
      <w:bookmarkStart w:id="786" w:name="_Toc142385594"/>
      <w:r>
        <w:t>9.4 环境保护</w:t>
      </w:r>
      <w:bookmarkEnd w:id="780"/>
      <w:bookmarkEnd w:id="781"/>
      <w:bookmarkEnd w:id="782"/>
      <w:bookmarkEnd w:id="783"/>
      <w:bookmarkEnd w:id="784"/>
      <w:bookmarkEnd w:id="785"/>
      <w:bookmarkEnd w:id="786"/>
    </w:p>
    <w:p w14:paraId="6ECAE6C1">
      <w:pPr>
        <w:spacing w:line="400" w:lineRule="exact"/>
        <w:ind w:firstLine="420" w:firstLineChars="200"/>
      </w:pPr>
      <w:r>
        <w:t>9.4.1 承包人在施工过程中，应遵守有关环境保护的法律，履行合同约定的环境保护义务，并对违反法律和合同约定义务所造成的环境破坏、人身伤害和财产损失负责。</w:t>
      </w:r>
    </w:p>
    <w:p w14:paraId="7903646F">
      <w:pPr>
        <w:spacing w:line="400" w:lineRule="exact"/>
        <w:ind w:firstLine="420" w:firstLineChars="200"/>
      </w:pPr>
      <w:r>
        <w:t>9.4.2 承包人应按合同约定的环保工作内容，编制施工环保措施计划，报送监理人审批。</w:t>
      </w:r>
    </w:p>
    <w:p w14:paraId="1230ECF0">
      <w:pPr>
        <w:spacing w:line="400" w:lineRule="exact"/>
        <w:ind w:firstLine="420" w:firstLineChars="200"/>
      </w:pPr>
      <w: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9FE7B57">
      <w:pPr>
        <w:spacing w:line="400" w:lineRule="exact"/>
        <w:ind w:firstLine="420" w:firstLineChars="200"/>
      </w:pPr>
      <w:r>
        <w:t>9.4.4 承包人应按合同约定采取有效措施，对施工开挖的边坡及时进行支护,维护排水设施，并进行水土保护，避免因施工造成的地质灾害。</w:t>
      </w:r>
    </w:p>
    <w:p w14:paraId="32CEB5BD">
      <w:pPr>
        <w:spacing w:line="400" w:lineRule="exact"/>
        <w:ind w:firstLine="420" w:firstLineChars="200"/>
      </w:pPr>
      <w:r>
        <w:t>9.4.5 承包人应按国家饮用水管理标准定期对饮用水源进行监测，防止施工活动污染饮用水源。</w:t>
      </w:r>
    </w:p>
    <w:p w14:paraId="3F1ED453">
      <w:pPr>
        <w:spacing w:line="400" w:lineRule="exact"/>
        <w:ind w:firstLine="420" w:firstLineChars="200"/>
      </w:pPr>
      <w:r>
        <w:t>9.4.6 承包人应按合同约定，加强对噪声、粉尘、废气、废水和废油的控制，努力降低噪声，控制粉尘和废气浓度，做好废水和废油的治理和排放。</w:t>
      </w:r>
    </w:p>
    <w:p w14:paraId="1CC444A1">
      <w:pPr>
        <w:pStyle w:val="512"/>
        <w:spacing w:before="120" w:after="120"/>
      </w:pPr>
      <w:bookmarkStart w:id="787" w:name="_Toc132618666"/>
      <w:bookmarkStart w:id="788" w:name="_Toc132619057"/>
      <w:bookmarkStart w:id="789" w:name="_Toc179632696"/>
      <w:bookmarkStart w:id="790" w:name="_Toc152045678"/>
      <w:bookmarkStart w:id="791" w:name="_Toc144974646"/>
      <w:bookmarkStart w:id="792" w:name="_Toc342296329"/>
      <w:bookmarkStart w:id="793" w:name="_Toc142385595"/>
      <w:bookmarkStart w:id="794" w:name="_Toc109914373"/>
      <w:bookmarkStart w:id="795" w:name="_Toc152042456"/>
      <w:bookmarkStart w:id="796" w:name="_Toc129798308"/>
      <w:bookmarkStart w:id="797" w:name="_Toc338944771"/>
      <w:r>
        <w:t>9.5 事故处理</w:t>
      </w:r>
      <w:bookmarkEnd w:id="787"/>
      <w:bookmarkEnd w:id="788"/>
      <w:bookmarkEnd w:id="789"/>
      <w:bookmarkEnd w:id="790"/>
      <w:bookmarkEnd w:id="791"/>
      <w:bookmarkEnd w:id="792"/>
      <w:bookmarkEnd w:id="793"/>
      <w:bookmarkEnd w:id="794"/>
      <w:bookmarkEnd w:id="795"/>
      <w:bookmarkEnd w:id="796"/>
      <w:bookmarkEnd w:id="797"/>
    </w:p>
    <w:p w14:paraId="30898B1D">
      <w:pPr>
        <w:spacing w:line="400" w:lineRule="exact"/>
        <w:ind w:firstLine="420" w:firstLineChars="200"/>
      </w:pPr>
      <w: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7AA9AF9">
      <w:pPr>
        <w:pStyle w:val="512"/>
        <w:spacing w:before="120" w:after="120"/>
      </w:pPr>
      <w:bookmarkStart w:id="798" w:name="_Toc109914374"/>
      <w:bookmarkStart w:id="799" w:name="_Toc132619058"/>
      <w:bookmarkStart w:id="800" w:name="_Toc142385596"/>
      <w:bookmarkStart w:id="801" w:name="_Toc129798309"/>
      <w:bookmarkStart w:id="802" w:name="_Toc132618667"/>
      <w:r>
        <w:t xml:space="preserve">9.5 </w:t>
      </w:r>
      <w:r>
        <w:rPr>
          <w:rFonts w:hint="eastAsia" w:ascii="等线" w:hAnsi="等线" w:eastAsia="等线"/>
        </w:rPr>
        <w:t>安全文明施工</w:t>
      </w:r>
      <w:bookmarkEnd w:id="798"/>
      <w:bookmarkEnd w:id="799"/>
      <w:bookmarkEnd w:id="800"/>
      <w:bookmarkEnd w:id="801"/>
      <w:bookmarkEnd w:id="802"/>
    </w:p>
    <w:p w14:paraId="57080837">
      <w:pPr>
        <w:spacing w:line="400" w:lineRule="exact"/>
        <w:ind w:firstLine="420" w:firstLineChars="200"/>
      </w:pPr>
      <w:r>
        <w:t xml:space="preserve">9.5.1 </w:t>
      </w:r>
      <w:r>
        <w:rPr>
          <w:rFonts w:hint="eastAsia"/>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A3003F0">
      <w:pPr>
        <w:spacing w:line="400" w:lineRule="exact"/>
        <w:ind w:firstLine="420" w:firstLineChars="200"/>
      </w:pPr>
      <w:r>
        <w:rPr>
          <w:rFonts w:hint="eastAsia"/>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F1405D9">
      <w:pPr>
        <w:spacing w:line="400" w:lineRule="exact"/>
        <w:ind w:firstLine="420" w:firstLineChars="200"/>
      </w:pPr>
      <w:r>
        <w:t xml:space="preserve">9.5.2 </w:t>
      </w:r>
      <w:r>
        <w:rPr>
          <w:rFonts w:hint="eastAsia"/>
        </w:rPr>
        <w:t>安全文明施工费由发包人承担，发包人不得以任何形式扣减该部分费用。因基准日期后合同所适用的法律或政府有关规定发生变化，增加的安全文明施工费由发包人承担。</w:t>
      </w:r>
    </w:p>
    <w:p w14:paraId="4E3132BE">
      <w:pPr>
        <w:spacing w:line="400" w:lineRule="exact"/>
        <w:ind w:firstLine="420" w:firstLineChars="200"/>
      </w:pPr>
      <w:r>
        <w:rPr>
          <w:rFonts w:hint="eastAsia"/>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07485DA">
      <w:pPr>
        <w:spacing w:line="400" w:lineRule="exact"/>
        <w:ind w:firstLine="420" w:firstLineChars="200"/>
      </w:pPr>
      <w:r>
        <w:rPr>
          <w:rFonts w:hint="eastAsia"/>
        </w:rPr>
        <w:t>除专用合同条款另有约定外，发包人应在开工后</w:t>
      </w:r>
      <w:r>
        <w:t>28天内预付安全文明施工费总额的50%，其余部分与进度款同期支付。发包人逾期支付安全文明施工费超过7天的，承包人有权向发包人发出要求预付的催告通知，发包人收到通知后7天内仍未支付的，承包人有权暂停施工。</w:t>
      </w:r>
    </w:p>
    <w:p w14:paraId="213FEC71">
      <w:pPr>
        <w:spacing w:line="400" w:lineRule="exact"/>
        <w:ind w:firstLine="420" w:firstLineChars="200"/>
      </w:pPr>
      <w:r>
        <w:rPr>
          <w:rFonts w:hint="eastAsia"/>
        </w:rPr>
        <w:t>安全文明施工费应专款专用，应在财务账目中单独列项备查，不得挪作他用，否则发包人有权责令其限期改正；逾期未改正的，可以责令其暂停施工，由此增加的费用和（或）延误的工期由承包人承担。且安全文明施工费应根据相关施工措施和市场价格测算确定，但不得低于北京市建设工程安全文明施工费管理办法（试行）中规定的费用标准（费率）计算的金额，且不得作为让利因素。施工现场安全生产标准化管理目标应符合合同约定中等级要求，且不得低于京建发〔</w:t>
      </w:r>
      <w:r>
        <w:t>2019〕13号《图集》中达标（合格）标准。</w:t>
      </w:r>
    </w:p>
    <w:p w14:paraId="2C5E6246">
      <w:pPr>
        <w:pStyle w:val="548"/>
        <w:spacing w:before="120" w:after="120"/>
        <w:rPr>
          <w:rFonts w:cs="仿宋_GB2312"/>
        </w:rPr>
      </w:pPr>
      <w:bookmarkStart w:id="803" w:name="_Toc338944772"/>
      <w:bookmarkStart w:id="804" w:name="_Toc342296330"/>
      <w:bookmarkStart w:id="805" w:name="_Toc448758431"/>
      <w:bookmarkStart w:id="806" w:name="_Toc448758531"/>
      <w:bookmarkStart w:id="807" w:name="_Toc442365623"/>
      <w:bookmarkStart w:id="808" w:name="_Toc142385597"/>
      <w:bookmarkStart w:id="809" w:name="_Toc109914375"/>
      <w:bookmarkStart w:id="810" w:name="_Toc132619059"/>
      <w:bookmarkStart w:id="811" w:name="_Toc129798310"/>
      <w:bookmarkStart w:id="812" w:name="_Toc469660026"/>
      <w:bookmarkStart w:id="813" w:name="_Toc132618668"/>
      <w:r>
        <w:rPr>
          <w:rFonts w:cs="仿宋_GB2312"/>
        </w:rPr>
        <w:t>10. 进度计划</w:t>
      </w:r>
      <w:bookmarkEnd w:id="803"/>
      <w:bookmarkEnd w:id="804"/>
      <w:bookmarkEnd w:id="805"/>
      <w:bookmarkEnd w:id="806"/>
      <w:bookmarkEnd w:id="807"/>
      <w:bookmarkEnd w:id="808"/>
      <w:bookmarkEnd w:id="809"/>
      <w:bookmarkEnd w:id="810"/>
      <w:bookmarkEnd w:id="811"/>
      <w:bookmarkEnd w:id="812"/>
      <w:bookmarkEnd w:id="813"/>
    </w:p>
    <w:p w14:paraId="3BECEC40">
      <w:pPr>
        <w:pStyle w:val="512"/>
        <w:spacing w:before="120" w:after="120"/>
      </w:pPr>
      <w:bookmarkStart w:id="814" w:name="_Toc132618669"/>
      <w:bookmarkStart w:id="815" w:name="_Toc338944773"/>
      <w:bookmarkStart w:id="816" w:name="_Toc109914376"/>
      <w:bookmarkStart w:id="817" w:name="_Toc129798311"/>
      <w:bookmarkStart w:id="818" w:name="_Toc142385598"/>
      <w:bookmarkStart w:id="819" w:name="_Toc132619060"/>
      <w:bookmarkStart w:id="820" w:name="_Toc342296331"/>
      <w:r>
        <w:t>10.1 合同进度计划</w:t>
      </w:r>
      <w:bookmarkEnd w:id="814"/>
      <w:bookmarkEnd w:id="815"/>
      <w:bookmarkEnd w:id="816"/>
      <w:bookmarkEnd w:id="817"/>
      <w:bookmarkEnd w:id="818"/>
      <w:bookmarkEnd w:id="819"/>
      <w:bookmarkEnd w:id="820"/>
    </w:p>
    <w:p w14:paraId="0B301E68">
      <w:pPr>
        <w:spacing w:line="400" w:lineRule="exact"/>
        <w:ind w:firstLine="420" w:firstLineChars="200"/>
      </w:pPr>
      <w: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500B3660">
      <w:pPr>
        <w:pStyle w:val="512"/>
        <w:spacing w:before="120" w:after="120"/>
      </w:pPr>
      <w:bookmarkStart w:id="821" w:name="_Toc342296332"/>
      <w:bookmarkStart w:id="822" w:name="_Toc142385599"/>
      <w:bookmarkStart w:id="823" w:name="_Toc109914377"/>
      <w:bookmarkStart w:id="824" w:name="_Toc129798312"/>
      <w:bookmarkStart w:id="825" w:name="_Toc338944774"/>
      <w:bookmarkStart w:id="826" w:name="_Toc132619061"/>
      <w:bookmarkStart w:id="827" w:name="_Toc132618670"/>
      <w:r>
        <w:t>10.2 合同进度计划的修订</w:t>
      </w:r>
      <w:bookmarkEnd w:id="821"/>
      <w:bookmarkEnd w:id="822"/>
      <w:bookmarkEnd w:id="823"/>
      <w:bookmarkEnd w:id="824"/>
      <w:bookmarkEnd w:id="825"/>
      <w:bookmarkEnd w:id="826"/>
      <w:bookmarkEnd w:id="827"/>
    </w:p>
    <w:p w14:paraId="5931DC5C">
      <w:pPr>
        <w:spacing w:line="400" w:lineRule="exact"/>
        <w:ind w:firstLine="420" w:firstLineChars="200"/>
      </w:pPr>
      <w: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p>
    <w:p w14:paraId="68DFAD4E">
      <w:pPr>
        <w:pStyle w:val="548"/>
        <w:spacing w:before="120" w:after="120"/>
        <w:rPr>
          <w:rFonts w:cs="仿宋_GB2312"/>
        </w:rPr>
      </w:pPr>
      <w:bookmarkStart w:id="828" w:name="_Toc469660027"/>
      <w:bookmarkStart w:id="829" w:name="_Toc448758432"/>
      <w:bookmarkStart w:id="830" w:name="_Toc448758532"/>
      <w:bookmarkStart w:id="831" w:name="_Toc132619062"/>
      <w:bookmarkStart w:id="832" w:name="_Toc442365624"/>
      <w:bookmarkStart w:id="833" w:name="_Toc129798313"/>
      <w:bookmarkStart w:id="834" w:name="_Toc338944775"/>
      <w:bookmarkStart w:id="835" w:name="_Toc342296333"/>
      <w:bookmarkStart w:id="836" w:name="_Toc142385600"/>
      <w:bookmarkStart w:id="837" w:name="_Toc109914378"/>
      <w:bookmarkStart w:id="838" w:name="_Toc132618671"/>
      <w:r>
        <w:rPr>
          <w:rFonts w:cs="仿宋_GB2312"/>
        </w:rPr>
        <w:t>11. 开工和竣工</w:t>
      </w:r>
      <w:bookmarkEnd w:id="828"/>
      <w:bookmarkEnd w:id="829"/>
      <w:bookmarkEnd w:id="830"/>
      <w:bookmarkEnd w:id="831"/>
      <w:bookmarkEnd w:id="832"/>
      <w:bookmarkEnd w:id="833"/>
      <w:bookmarkEnd w:id="834"/>
      <w:bookmarkEnd w:id="835"/>
      <w:bookmarkEnd w:id="836"/>
      <w:bookmarkEnd w:id="837"/>
      <w:bookmarkEnd w:id="838"/>
    </w:p>
    <w:p w14:paraId="68087B26">
      <w:pPr>
        <w:pStyle w:val="512"/>
        <w:spacing w:before="120" w:after="120"/>
      </w:pPr>
      <w:bookmarkStart w:id="839" w:name="_Toc152045683"/>
      <w:bookmarkStart w:id="840" w:name="_Toc338944776"/>
      <w:bookmarkStart w:id="841" w:name="_Toc109914379"/>
      <w:bookmarkStart w:id="842" w:name="_Toc152042461"/>
      <w:bookmarkStart w:id="843" w:name="_Toc132618672"/>
      <w:bookmarkStart w:id="844" w:name="_Toc179632701"/>
      <w:bookmarkStart w:id="845" w:name="_Toc132619063"/>
      <w:bookmarkStart w:id="846" w:name="_Toc142385601"/>
      <w:bookmarkStart w:id="847" w:name="_Toc342296334"/>
      <w:bookmarkStart w:id="848" w:name="_Toc144974651"/>
      <w:bookmarkStart w:id="849" w:name="_Toc129798314"/>
      <w:r>
        <w:t>11.1 开工</w:t>
      </w:r>
      <w:bookmarkEnd w:id="839"/>
      <w:bookmarkEnd w:id="840"/>
      <w:bookmarkEnd w:id="841"/>
      <w:bookmarkEnd w:id="842"/>
      <w:bookmarkEnd w:id="843"/>
      <w:bookmarkEnd w:id="844"/>
      <w:bookmarkEnd w:id="845"/>
      <w:bookmarkEnd w:id="846"/>
      <w:bookmarkEnd w:id="847"/>
      <w:bookmarkEnd w:id="848"/>
      <w:bookmarkEnd w:id="849"/>
    </w:p>
    <w:p w14:paraId="28695DA3">
      <w:pPr>
        <w:spacing w:line="400" w:lineRule="exact"/>
        <w:ind w:firstLine="420" w:firstLineChars="200"/>
      </w:pPr>
      <w:r>
        <w:t>11.1.1 监理人应在开工日期7天前向承包人发出开工通知。监理人在发出开工通知前应获得发包人同意。工期自监理人发出的开工通知中载明的开工日期起计算。承包人应在开工日期后尽快施工。</w:t>
      </w:r>
    </w:p>
    <w:p w14:paraId="6D3A0137">
      <w:pPr>
        <w:spacing w:line="400" w:lineRule="exact"/>
        <w:ind w:firstLine="420" w:firstLineChars="200"/>
        <w:rPr>
          <w:shd w:val="pct10" w:color="auto" w:fill="FFFFFF"/>
        </w:rPr>
      </w:pPr>
      <w: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54D945D">
      <w:pPr>
        <w:pStyle w:val="512"/>
        <w:spacing w:before="120" w:after="120"/>
      </w:pPr>
      <w:bookmarkStart w:id="850" w:name="_Toc109914380"/>
      <w:bookmarkStart w:id="851" w:name="_Toc152042462"/>
      <w:bookmarkStart w:id="852" w:name="_Toc179632702"/>
      <w:bookmarkStart w:id="853" w:name="_Toc152045684"/>
      <w:bookmarkStart w:id="854" w:name="_Toc129798315"/>
      <w:bookmarkStart w:id="855" w:name="_Toc338944777"/>
      <w:bookmarkStart w:id="856" w:name="_Toc342296335"/>
      <w:bookmarkStart w:id="857" w:name="_Toc132619064"/>
      <w:bookmarkStart w:id="858" w:name="_Toc144974652"/>
      <w:bookmarkStart w:id="859" w:name="_Toc142385602"/>
      <w:bookmarkStart w:id="860" w:name="_Toc132618673"/>
      <w:r>
        <w:t>11.2 竣工</w:t>
      </w:r>
      <w:bookmarkEnd w:id="850"/>
      <w:bookmarkEnd w:id="851"/>
      <w:bookmarkEnd w:id="852"/>
      <w:bookmarkEnd w:id="853"/>
      <w:bookmarkEnd w:id="854"/>
      <w:bookmarkEnd w:id="855"/>
      <w:bookmarkEnd w:id="856"/>
      <w:bookmarkEnd w:id="857"/>
      <w:bookmarkEnd w:id="858"/>
      <w:bookmarkEnd w:id="859"/>
      <w:bookmarkEnd w:id="860"/>
    </w:p>
    <w:p w14:paraId="6C419783">
      <w:pPr>
        <w:spacing w:line="400" w:lineRule="exact"/>
        <w:ind w:firstLine="420" w:firstLineChars="200"/>
      </w:pPr>
      <w:r>
        <w:t>承包人应在第1.1.4.3目约定的期限内完成合同工程。实际竣工日期在接收证书中写明。</w:t>
      </w:r>
    </w:p>
    <w:p w14:paraId="2B5E73BA">
      <w:pPr>
        <w:pStyle w:val="512"/>
        <w:spacing w:before="120" w:after="120"/>
      </w:pPr>
      <w:bookmarkStart w:id="861" w:name="_Toc142385603"/>
      <w:bookmarkStart w:id="862" w:name="_Toc342296336"/>
      <w:bookmarkStart w:id="863" w:name="_Toc132619065"/>
      <w:bookmarkStart w:id="864" w:name="_Toc132618674"/>
      <w:bookmarkStart w:id="865" w:name="_Toc109914381"/>
      <w:bookmarkStart w:id="866" w:name="_Toc338944778"/>
      <w:bookmarkStart w:id="867" w:name="_Toc129798316"/>
      <w:r>
        <w:t>11.3 发包人的工期延误</w:t>
      </w:r>
      <w:bookmarkEnd w:id="861"/>
      <w:bookmarkEnd w:id="862"/>
      <w:bookmarkEnd w:id="863"/>
      <w:bookmarkEnd w:id="864"/>
      <w:bookmarkEnd w:id="865"/>
      <w:bookmarkEnd w:id="866"/>
      <w:bookmarkEnd w:id="867"/>
    </w:p>
    <w:p w14:paraId="618A7937">
      <w:pPr>
        <w:spacing w:line="400" w:lineRule="exact"/>
        <w:ind w:firstLine="420" w:firstLineChars="200"/>
      </w:pPr>
      <w:r>
        <w:t>在履行合同过程中，由于发包人的下列原因造成工期延误的，承包人有权要求发包人延长工期和（或）增加费用，并支付合理利润。需要修订合同进度计划的，按照第10.2款的约定办理。</w:t>
      </w:r>
    </w:p>
    <w:p w14:paraId="18591A3C">
      <w:pPr>
        <w:spacing w:line="400" w:lineRule="exact"/>
        <w:ind w:firstLine="359" w:firstLineChars="171"/>
      </w:pPr>
      <w:r>
        <w:t>（1）增加合同工作内容；</w:t>
      </w:r>
    </w:p>
    <w:p w14:paraId="2D502ED0">
      <w:pPr>
        <w:spacing w:line="400" w:lineRule="exact"/>
        <w:ind w:firstLine="359" w:firstLineChars="171"/>
      </w:pPr>
      <w:r>
        <w:t>（2）改变合同中任何一项工作的质量要求或其他特性；</w:t>
      </w:r>
    </w:p>
    <w:p w14:paraId="7820B22F">
      <w:pPr>
        <w:spacing w:line="400" w:lineRule="exact"/>
        <w:ind w:firstLine="359" w:firstLineChars="171"/>
      </w:pPr>
      <w:r>
        <w:t>（3）发包人迟延提供材料、工程设备或变更交货地点的；</w:t>
      </w:r>
    </w:p>
    <w:p w14:paraId="1960A000">
      <w:pPr>
        <w:spacing w:line="400" w:lineRule="exact"/>
        <w:ind w:firstLine="359" w:firstLineChars="171"/>
      </w:pPr>
      <w:r>
        <w:t>（4）因发包人原因导致的暂停施工；</w:t>
      </w:r>
    </w:p>
    <w:p w14:paraId="2AE6DB45">
      <w:pPr>
        <w:spacing w:line="400" w:lineRule="exact"/>
        <w:ind w:firstLine="359" w:firstLineChars="171"/>
      </w:pPr>
      <w:r>
        <w:t>（5）提供图纸延误；</w:t>
      </w:r>
    </w:p>
    <w:p w14:paraId="7576B38A">
      <w:pPr>
        <w:spacing w:line="400" w:lineRule="exact"/>
        <w:ind w:firstLine="359" w:firstLineChars="171"/>
      </w:pPr>
      <w:r>
        <w:t>（6）未按合同约定及时支付预付款、进度款；</w:t>
      </w:r>
    </w:p>
    <w:p w14:paraId="65D2AE4A">
      <w:pPr>
        <w:spacing w:line="400" w:lineRule="exact"/>
        <w:ind w:firstLine="359" w:firstLineChars="171"/>
      </w:pPr>
      <w:r>
        <w:t>（7）发包人造成工期延误的其他原因。</w:t>
      </w:r>
    </w:p>
    <w:p w14:paraId="5E754225">
      <w:pPr>
        <w:pStyle w:val="512"/>
        <w:spacing w:before="120" w:after="120"/>
      </w:pPr>
      <w:bookmarkStart w:id="868" w:name="_Toc109914382"/>
      <w:bookmarkStart w:id="869" w:name="_Toc142385604"/>
      <w:bookmarkStart w:id="870" w:name="_Toc129798317"/>
      <w:bookmarkStart w:id="871" w:name="_Toc132618675"/>
      <w:bookmarkStart w:id="872" w:name="_Toc342296337"/>
      <w:bookmarkStart w:id="873" w:name="_Toc132619066"/>
      <w:bookmarkStart w:id="874" w:name="_Toc338944779"/>
      <w:r>
        <w:t>11.4 异常恶劣的气候条件</w:t>
      </w:r>
      <w:bookmarkEnd w:id="868"/>
      <w:bookmarkEnd w:id="869"/>
      <w:bookmarkEnd w:id="870"/>
      <w:bookmarkEnd w:id="871"/>
      <w:bookmarkEnd w:id="872"/>
      <w:bookmarkEnd w:id="873"/>
      <w:bookmarkEnd w:id="874"/>
    </w:p>
    <w:p w14:paraId="5377698B">
      <w:pPr>
        <w:spacing w:line="400" w:lineRule="exact"/>
        <w:ind w:firstLine="359" w:firstLineChars="171"/>
      </w:pPr>
      <w:r>
        <w:t>由于出现专用合同条款规定的异常恶劣气候的条件导致工期延误的，承包人有权要求发包人延长工期。</w:t>
      </w:r>
    </w:p>
    <w:p w14:paraId="2718ED1D">
      <w:pPr>
        <w:pStyle w:val="512"/>
        <w:spacing w:before="120" w:after="120"/>
      </w:pPr>
      <w:bookmarkStart w:id="875" w:name="_Toc132618676"/>
      <w:bookmarkStart w:id="876" w:name="_Toc129798318"/>
      <w:bookmarkStart w:id="877" w:name="_Toc142385605"/>
      <w:bookmarkStart w:id="878" w:name="_Toc109914383"/>
      <w:bookmarkStart w:id="879" w:name="_Toc338944780"/>
      <w:bookmarkStart w:id="880" w:name="_Toc342296338"/>
      <w:bookmarkStart w:id="881" w:name="_Toc132619067"/>
      <w:r>
        <w:t>11.5 承包人的工期延误</w:t>
      </w:r>
      <w:bookmarkEnd w:id="875"/>
      <w:bookmarkEnd w:id="876"/>
      <w:bookmarkEnd w:id="877"/>
      <w:bookmarkEnd w:id="878"/>
      <w:bookmarkEnd w:id="879"/>
      <w:bookmarkEnd w:id="880"/>
      <w:bookmarkEnd w:id="881"/>
    </w:p>
    <w:p w14:paraId="024D2F6E">
      <w:pPr>
        <w:spacing w:line="400" w:lineRule="exact"/>
        <w:ind w:firstLine="420" w:firstLineChars="200"/>
      </w:pPr>
      <w: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662143C9">
      <w:pPr>
        <w:pStyle w:val="512"/>
        <w:spacing w:before="120" w:after="120"/>
      </w:pPr>
      <w:bookmarkStart w:id="882" w:name="_Toc129798319"/>
      <w:bookmarkStart w:id="883" w:name="_Toc132618677"/>
      <w:bookmarkStart w:id="884" w:name="_Toc338944781"/>
      <w:bookmarkStart w:id="885" w:name="_Toc132619068"/>
      <w:bookmarkStart w:id="886" w:name="_Toc342296339"/>
      <w:bookmarkStart w:id="887" w:name="_Toc142385606"/>
      <w:bookmarkStart w:id="888" w:name="_Toc109914384"/>
      <w:r>
        <w:t>11.6 工期提前</w:t>
      </w:r>
      <w:bookmarkEnd w:id="882"/>
      <w:bookmarkEnd w:id="883"/>
      <w:bookmarkEnd w:id="884"/>
      <w:bookmarkEnd w:id="885"/>
      <w:bookmarkEnd w:id="886"/>
      <w:bookmarkEnd w:id="887"/>
      <w:bookmarkEnd w:id="888"/>
    </w:p>
    <w:p w14:paraId="25325209">
      <w:pPr>
        <w:spacing w:line="400" w:lineRule="exact"/>
        <w:ind w:firstLine="420" w:firstLineChars="200"/>
      </w:pPr>
      <w:r>
        <w:t xml:space="preserve">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 </w:t>
      </w:r>
    </w:p>
    <w:p w14:paraId="1681EFD9">
      <w:pPr>
        <w:pStyle w:val="548"/>
        <w:spacing w:before="120" w:after="120"/>
        <w:rPr>
          <w:rFonts w:cs="仿宋_GB2312"/>
        </w:rPr>
      </w:pPr>
      <w:bookmarkStart w:id="889" w:name="_Toc342296340"/>
      <w:bookmarkStart w:id="890" w:name="_Toc448758433"/>
      <w:bookmarkStart w:id="891" w:name="_Toc129798320"/>
      <w:bookmarkStart w:id="892" w:name="_Toc442365625"/>
      <w:bookmarkStart w:id="893" w:name="_Toc338944782"/>
      <w:bookmarkStart w:id="894" w:name="_Toc448758533"/>
      <w:bookmarkStart w:id="895" w:name="_Toc469660028"/>
      <w:bookmarkStart w:id="896" w:name="_Toc142385607"/>
      <w:bookmarkStart w:id="897" w:name="_Toc109914385"/>
      <w:bookmarkStart w:id="898" w:name="_Toc132619069"/>
      <w:bookmarkStart w:id="899" w:name="_Toc132618678"/>
      <w:r>
        <w:rPr>
          <w:rFonts w:cs="仿宋_GB2312"/>
        </w:rPr>
        <w:t>12. 暂停施工</w:t>
      </w:r>
      <w:bookmarkEnd w:id="889"/>
      <w:bookmarkEnd w:id="890"/>
      <w:bookmarkEnd w:id="891"/>
      <w:bookmarkEnd w:id="892"/>
      <w:bookmarkEnd w:id="893"/>
      <w:bookmarkEnd w:id="894"/>
      <w:bookmarkEnd w:id="895"/>
      <w:bookmarkEnd w:id="896"/>
      <w:bookmarkEnd w:id="897"/>
      <w:bookmarkEnd w:id="898"/>
      <w:bookmarkEnd w:id="899"/>
    </w:p>
    <w:p w14:paraId="11DB23BD">
      <w:pPr>
        <w:pStyle w:val="512"/>
        <w:spacing w:before="120" w:after="120"/>
      </w:pPr>
      <w:bookmarkStart w:id="900" w:name="_Toc109914386"/>
      <w:bookmarkStart w:id="901" w:name="_Toc132619070"/>
      <w:bookmarkStart w:id="902" w:name="_Toc129798321"/>
      <w:bookmarkStart w:id="903" w:name="_Toc342296341"/>
      <w:bookmarkStart w:id="904" w:name="_Toc142385608"/>
      <w:bookmarkStart w:id="905" w:name="_Toc338944783"/>
      <w:bookmarkStart w:id="906" w:name="_Toc132618679"/>
      <w:r>
        <w:t>12.1 承包人暂停施工的责任</w:t>
      </w:r>
      <w:bookmarkEnd w:id="900"/>
      <w:bookmarkEnd w:id="901"/>
      <w:bookmarkEnd w:id="902"/>
      <w:bookmarkEnd w:id="903"/>
      <w:bookmarkEnd w:id="904"/>
      <w:bookmarkEnd w:id="905"/>
      <w:bookmarkEnd w:id="906"/>
    </w:p>
    <w:p w14:paraId="1EF6BD37">
      <w:pPr>
        <w:spacing w:line="400" w:lineRule="exact"/>
        <w:ind w:firstLine="420" w:firstLineChars="200"/>
      </w:pPr>
      <w:r>
        <w:t>因下列暂停施工增加的费用和（或）工期延误由承包人承担：</w:t>
      </w:r>
    </w:p>
    <w:p w14:paraId="7AC59941">
      <w:pPr>
        <w:spacing w:line="400" w:lineRule="exact"/>
        <w:ind w:firstLine="359" w:firstLineChars="171"/>
      </w:pPr>
      <w:r>
        <w:t>（1）承包人违约引起的暂停施工；</w:t>
      </w:r>
    </w:p>
    <w:p w14:paraId="09954E40">
      <w:pPr>
        <w:spacing w:line="400" w:lineRule="exact"/>
        <w:ind w:firstLine="359" w:firstLineChars="171"/>
      </w:pPr>
      <w:r>
        <w:t>（2）由于承包人原因为工程合理施工和安全保障所必需的暂停施工；</w:t>
      </w:r>
    </w:p>
    <w:p w14:paraId="3FE795A3">
      <w:pPr>
        <w:spacing w:line="400" w:lineRule="exact"/>
        <w:ind w:firstLine="359" w:firstLineChars="171"/>
      </w:pPr>
      <w:r>
        <w:t>（3）承包人擅自暂停施工；</w:t>
      </w:r>
    </w:p>
    <w:p w14:paraId="32646462">
      <w:pPr>
        <w:spacing w:line="400" w:lineRule="exact"/>
        <w:ind w:firstLine="359" w:firstLineChars="171"/>
      </w:pPr>
      <w:r>
        <w:t>（4）承包人其他原因引起的暂停施工；</w:t>
      </w:r>
    </w:p>
    <w:p w14:paraId="506BD918">
      <w:pPr>
        <w:spacing w:line="400" w:lineRule="exact"/>
        <w:ind w:firstLine="359" w:firstLineChars="171"/>
      </w:pPr>
      <w:r>
        <w:t>（5）专用合同条款约定由承包人承担的其他暂停施工。</w:t>
      </w:r>
    </w:p>
    <w:p w14:paraId="54745139">
      <w:pPr>
        <w:pStyle w:val="512"/>
        <w:spacing w:before="120" w:after="120"/>
      </w:pPr>
      <w:bookmarkStart w:id="907" w:name="_Toc179632709"/>
      <w:bookmarkStart w:id="908" w:name="_Toc144974660"/>
      <w:bookmarkStart w:id="909" w:name="_Toc338944784"/>
      <w:bookmarkStart w:id="910" w:name="_Toc109914387"/>
      <w:bookmarkStart w:id="911" w:name="_Toc152042469"/>
      <w:bookmarkStart w:id="912" w:name="_Toc342296342"/>
      <w:bookmarkStart w:id="913" w:name="_Toc142385609"/>
      <w:bookmarkStart w:id="914" w:name="_Toc152045691"/>
      <w:bookmarkStart w:id="915" w:name="_Toc129798322"/>
      <w:bookmarkStart w:id="916" w:name="_Toc132619071"/>
      <w:bookmarkStart w:id="917" w:name="_Toc132618680"/>
      <w:r>
        <w:t>12.2 发包人暂停施工的责任</w:t>
      </w:r>
      <w:bookmarkEnd w:id="907"/>
      <w:bookmarkEnd w:id="908"/>
      <w:bookmarkEnd w:id="909"/>
      <w:bookmarkEnd w:id="910"/>
      <w:bookmarkEnd w:id="911"/>
      <w:bookmarkEnd w:id="912"/>
      <w:bookmarkEnd w:id="913"/>
      <w:bookmarkEnd w:id="914"/>
      <w:bookmarkEnd w:id="915"/>
      <w:bookmarkEnd w:id="916"/>
      <w:bookmarkEnd w:id="917"/>
    </w:p>
    <w:p w14:paraId="0D5CD9F1">
      <w:pPr>
        <w:spacing w:line="400" w:lineRule="exact"/>
        <w:ind w:firstLine="420" w:firstLineChars="200"/>
      </w:pPr>
      <w:r>
        <w:t>由于发包人原因引起的暂停施工造成工期延误的，承包人有权要求发包人延长工期和（或）增加费用，并支付合理利润。</w:t>
      </w:r>
    </w:p>
    <w:p w14:paraId="3E21AB0C">
      <w:pPr>
        <w:pStyle w:val="512"/>
        <w:spacing w:before="120" w:after="120"/>
      </w:pPr>
      <w:bookmarkStart w:id="918" w:name="_Toc144974661"/>
      <w:bookmarkStart w:id="919" w:name="_Toc152042470"/>
      <w:bookmarkStart w:id="920" w:name="_Toc109914388"/>
      <w:bookmarkStart w:id="921" w:name="_Toc152045692"/>
      <w:bookmarkStart w:id="922" w:name="_Toc342296343"/>
      <w:bookmarkStart w:id="923" w:name="_Toc129798323"/>
      <w:bookmarkStart w:id="924" w:name="_Toc338944785"/>
      <w:bookmarkStart w:id="925" w:name="_Toc179632710"/>
      <w:bookmarkStart w:id="926" w:name="_Toc132618681"/>
      <w:bookmarkStart w:id="927" w:name="_Toc132619072"/>
      <w:bookmarkStart w:id="928" w:name="_Toc142385610"/>
      <w:r>
        <w:t>12.3 监理人暂停施工指示</w:t>
      </w:r>
      <w:bookmarkEnd w:id="918"/>
      <w:bookmarkEnd w:id="919"/>
      <w:bookmarkEnd w:id="920"/>
      <w:bookmarkEnd w:id="921"/>
      <w:bookmarkEnd w:id="922"/>
      <w:bookmarkEnd w:id="923"/>
      <w:bookmarkEnd w:id="924"/>
      <w:bookmarkEnd w:id="925"/>
      <w:bookmarkEnd w:id="926"/>
      <w:bookmarkEnd w:id="927"/>
      <w:bookmarkEnd w:id="928"/>
    </w:p>
    <w:p w14:paraId="2CABC38D">
      <w:pPr>
        <w:spacing w:line="400" w:lineRule="exact"/>
        <w:ind w:firstLine="420" w:firstLineChars="200"/>
      </w:pPr>
      <w:r>
        <w:t>12.3.1 监理人认为有必要时，可向承包人作出暂停施工的指示，承包人应按监理人指示暂停施工。不论由于何种原因引起的暂停施工，暂停施工期间承包人应负责妥善保护工程并提供安全保障。</w:t>
      </w:r>
    </w:p>
    <w:p w14:paraId="5479CA0B">
      <w:pPr>
        <w:spacing w:line="400" w:lineRule="exact"/>
        <w:ind w:firstLine="420" w:firstLineChars="200"/>
      </w:pPr>
      <w: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5F48EF52">
      <w:pPr>
        <w:pStyle w:val="512"/>
        <w:spacing w:before="120" w:after="120"/>
      </w:pPr>
      <w:bookmarkStart w:id="929" w:name="_Toc152045693"/>
      <w:bookmarkStart w:id="930" w:name="_Toc152042471"/>
      <w:bookmarkStart w:id="931" w:name="_Toc109914389"/>
      <w:bookmarkStart w:id="932" w:name="_Toc338944786"/>
      <w:bookmarkStart w:id="933" w:name="_Toc179632711"/>
      <w:bookmarkStart w:id="934" w:name="_Toc144974662"/>
      <w:bookmarkStart w:id="935" w:name="_Toc342296344"/>
      <w:bookmarkStart w:id="936" w:name="_Toc129798324"/>
      <w:bookmarkStart w:id="937" w:name="_Toc132618682"/>
      <w:bookmarkStart w:id="938" w:name="_Toc132619073"/>
      <w:bookmarkStart w:id="939" w:name="_Toc142385611"/>
      <w:r>
        <w:t>12.4 暂停施工后的复工</w:t>
      </w:r>
      <w:bookmarkEnd w:id="929"/>
      <w:bookmarkEnd w:id="930"/>
      <w:bookmarkEnd w:id="931"/>
      <w:bookmarkEnd w:id="932"/>
      <w:bookmarkEnd w:id="933"/>
      <w:bookmarkEnd w:id="934"/>
      <w:bookmarkEnd w:id="935"/>
      <w:bookmarkEnd w:id="936"/>
      <w:bookmarkEnd w:id="937"/>
      <w:bookmarkEnd w:id="938"/>
      <w:bookmarkEnd w:id="939"/>
    </w:p>
    <w:p w14:paraId="0C120924">
      <w:pPr>
        <w:spacing w:line="400" w:lineRule="exact"/>
        <w:ind w:firstLine="420" w:firstLineChars="200"/>
      </w:pPr>
      <w: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2AF55038">
      <w:pPr>
        <w:spacing w:line="400" w:lineRule="exact"/>
        <w:ind w:firstLine="420" w:firstLineChars="200"/>
      </w:pPr>
      <w:r>
        <w:t>12.4.2 承包人无故拖延和拒绝复工的，由此增加的费用和工期延误由承包人承担；因发包人原因无法按时复工的，承包人有权要求发包人延长工期和（或）增加费用，并支付合理利润。</w:t>
      </w:r>
    </w:p>
    <w:p w14:paraId="20133948">
      <w:pPr>
        <w:pStyle w:val="512"/>
        <w:spacing w:before="120" w:after="120"/>
      </w:pPr>
      <w:bookmarkStart w:id="940" w:name="_Toc132619074"/>
      <w:bookmarkStart w:id="941" w:name="_Toc142385612"/>
      <w:bookmarkStart w:id="942" w:name="_Toc338944787"/>
      <w:bookmarkStart w:id="943" w:name="_Toc179632712"/>
      <w:bookmarkStart w:id="944" w:name="_Toc144974663"/>
      <w:bookmarkStart w:id="945" w:name="_Toc152042472"/>
      <w:bookmarkStart w:id="946" w:name="_Toc342296345"/>
      <w:bookmarkStart w:id="947" w:name="_Toc109914390"/>
      <w:bookmarkStart w:id="948" w:name="_Toc152045694"/>
      <w:bookmarkStart w:id="949" w:name="_Toc129798325"/>
      <w:bookmarkStart w:id="950" w:name="_Toc132618683"/>
      <w:r>
        <w:t>12.5 暂停施工持续56天以上</w:t>
      </w:r>
      <w:bookmarkEnd w:id="940"/>
      <w:bookmarkEnd w:id="941"/>
      <w:bookmarkEnd w:id="942"/>
      <w:bookmarkEnd w:id="943"/>
      <w:bookmarkEnd w:id="944"/>
      <w:bookmarkEnd w:id="945"/>
      <w:bookmarkEnd w:id="946"/>
      <w:bookmarkEnd w:id="947"/>
      <w:bookmarkEnd w:id="948"/>
      <w:bookmarkEnd w:id="949"/>
      <w:bookmarkEnd w:id="950"/>
    </w:p>
    <w:p w14:paraId="1C8936D5">
      <w:pPr>
        <w:spacing w:line="400" w:lineRule="exact"/>
        <w:ind w:firstLine="411" w:firstLineChars="196"/>
      </w:pPr>
      <w: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57093B48">
      <w:pPr>
        <w:spacing w:line="400" w:lineRule="exact"/>
        <w:ind w:firstLine="420" w:firstLineChars="200"/>
      </w:pPr>
      <w:r>
        <w:t>12.5.2 由于承包人责任引起的暂停施工，如承包人在收到监理人暂停施工指示后56天内不认真采取有效的复工措施，造成工期延误，可视为承包人违约，应按第22.1款的规定办理。</w:t>
      </w:r>
    </w:p>
    <w:p w14:paraId="183411F3">
      <w:pPr>
        <w:spacing w:line="400" w:lineRule="exact"/>
        <w:rPr>
          <w:sz w:val="24"/>
        </w:rPr>
      </w:pPr>
      <w:r>
        <w:rPr>
          <w:rFonts w:hint="eastAsia"/>
          <w:sz w:val="24"/>
        </w:rPr>
        <w:t>12.6暂停施工期间的工程照管和措施</w:t>
      </w:r>
    </w:p>
    <w:p w14:paraId="20A1541F">
      <w:pPr>
        <w:spacing w:line="400" w:lineRule="exact"/>
        <w:ind w:firstLine="420" w:firstLineChars="200"/>
      </w:pPr>
      <w:r>
        <w:t>12.5.1</w:t>
      </w:r>
      <w:r>
        <w:rPr>
          <w:rFonts w:hint="eastAsia"/>
        </w:rPr>
        <w:t>暂停施工期间，承包人应负责妥善照管工程并提供安全保障，由此增加的费用由责任方承担。</w:t>
      </w:r>
    </w:p>
    <w:p w14:paraId="6824EF9E">
      <w:pPr>
        <w:spacing w:line="400" w:lineRule="exact"/>
        <w:ind w:firstLine="420" w:firstLineChars="200"/>
        <w:rPr>
          <w:sz w:val="24"/>
        </w:rPr>
      </w:pPr>
      <w:r>
        <w:rPr>
          <w:rFonts w:hint="eastAsia"/>
        </w:rPr>
        <w:t>12.5.2暂停施工期间，发包人和承包人均应采取必要的措施确保工程质量及安全，防止因暂停施工扩大损失。</w:t>
      </w:r>
    </w:p>
    <w:p w14:paraId="6C096FBD">
      <w:pPr>
        <w:pStyle w:val="548"/>
        <w:spacing w:before="120" w:after="120"/>
        <w:rPr>
          <w:rFonts w:eastAsia="等线" w:cs="仿宋_GB2312"/>
        </w:rPr>
      </w:pPr>
      <w:bookmarkStart w:id="951" w:name="_Toc338944788"/>
      <w:bookmarkStart w:id="952" w:name="_Toc469660029"/>
      <w:bookmarkStart w:id="953" w:name="_Toc442365626"/>
      <w:bookmarkStart w:id="954" w:name="_Toc342296346"/>
      <w:bookmarkStart w:id="955" w:name="_Toc448758534"/>
      <w:bookmarkStart w:id="956" w:name="_Toc129798326"/>
      <w:bookmarkStart w:id="957" w:name="_Toc142385613"/>
      <w:bookmarkStart w:id="958" w:name="_Toc132618684"/>
      <w:bookmarkStart w:id="959" w:name="_Toc109914391"/>
      <w:bookmarkStart w:id="960" w:name="_Toc132619075"/>
      <w:bookmarkStart w:id="961" w:name="_Toc448758434"/>
      <w:r>
        <w:rPr>
          <w:rFonts w:cs="仿宋_GB2312"/>
        </w:rPr>
        <w:t>13. 工程质量</w:t>
      </w:r>
      <w:bookmarkEnd w:id="951"/>
      <w:bookmarkEnd w:id="952"/>
      <w:bookmarkEnd w:id="953"/>
      <w:bookmarkEnd w:id="954"/>
      <w:bookmarkEnd w:id="955"/>
      <w:bookmarkEnd w:id="956"/>
      <w:bookmarkEnd w:id="957"/>
      <w:bookmarkEnd w:id="958"/>
      <w:bookmarkEnd w:id="959"/>
      <w:bookmarkEnd w:id="960"/>
      <w:bookmarkEnd w:id="961"/>
    </w:p>
    <w:p w14:paraId="4110A2B7">
      <w:pPr>
        <w:pStyle w:val="512"/>
        <w:spacing w:before="120" w:after="120"/>
      </w:pPr>
      <w:bookmarkStart w:id="962" w:name="_Toc144974665"/>
      <w:bookmarkStart w:id="963" w:name="_Toc179632714"/>
      <w:bookmarkStart w:id="964" w:name="_Toc342296347"/>
      <w:bookmarkStart w:id="965" w:name="_Toc152042474"/>
      <w:bookmarkStart w:id="966" w:name="_Toc152045696"/>
      <w:bookmarkStart w:id="967" w:name="_Toc338944789"/>
      <w:bookmarkStart w:id="968" w:name="_Toc109914392"/>
      <w:bookmarkStart w:id="969" w:name="_Toc142385614"/>
      <w:bookmarkStart w:id="970" w:name="_Toc129798327"/>
      <w:bookmarkStart w:id="971" w:name="_Toc132618685"/>
      <w:bookmarkStart w:id="972" w:name="_Toc132619076"/>
      <w:r>
        <w:t>13.1 工程质量要求</w:t>
      </w:r>
      <w:bookmarkEnd w:id="962"/>
      <w:bookmarkEnd w:id="963"/>
      <w:bookmarkEnd w:id="964"/>
      <w:bookmarkEnd w:id="965"/>
      <w:bookmarkEnd w:id="966"/>
      <w:bookmarkEnd w:id="967"/>
      <w:bookmarkEnd w:id="968"/>
      <w:bookmarkEnd w:id="969"/>
      <w:bookmarkEnd w:id="970"/>
      <w:bookmarkEnd w:id="971"/>
      <w:bookmarkEnd w:id="972"/>
    </w:p>
    <w:p w14:paraId="363F2677">
      <w:pPr>
        <w:spacing w:line="400" w:lineRule="exact"/>
        <w:ind w:firstLine="420" w:firstLineChars="200"/>
      </w:pPr>
      <w:r>
        <w:t>13.1.1 工程质量验收按合同约定验收标准执行。</w:t>
      </w:r>
    </w:p>
    <w:p w14:paraId="2FB370DC">
      <w:pPr>
        <w:spacing w:line="400" w:lineRule="exact"/>
        <w:ind w:firstLine="420" w:firstLineChars="200"/>
      </w:pPr>
      <w:r>
        <w:t>13.1.2 因承包人原因造成工程质量达不到合同约定验收标准的，监理人有权要求承包人返工直至符合合同要求为止，由此造成的费用增加和（或）工期延误由承包人承担。</w:t>
      </w:r>
    </w:p>
    <w:p w14:paraId="11FD624B">
      <w:pPr>
        <w:spacing w:line="400" w:lineRule="exact"/>
        <w:ind w:firstLine="420" w:firstLineChars="200"/>
      </w:pPr>
      <w:r>
        <w:t>13.1.3 因发包人原因造成工程质量达不到合同约定验收标准的，发包人应承担由于承包人返工造成的费用增加和（或）工期延误，并支付承包人合理利润。</w:t>
      </w:r>
    </w:p>
    <w:p w14:paraId="40B09DD4">
      <w:pPr>
        <w:pStyle w:val="512"/>
        <w:spacing w:before="120" w:after="120"/>
      </w:pPr>
      <w:bookmarkStart w:id="973" w:name="_Toc109914393"/>
      <w:bookmarkStart w:id="974" w:name="_Toc338944790"/>
      <w:bookmarkStart w:id="975" w:name="_Toc132618686"/>
      <w:bookmarkStart w:id="976" w:name="_Toc132619077"/>
      <w:bookmarkStart w:id="977" w:name="_Toc142385615"/>
      <w:bookmarkStart w:id="978" w:name="_Toc342296348"/>
      <w:bookmarkStart w:id="979" w:name="_Toc129798328"/>
      <w:r>
        <w:t>13.2 承包人的质量管理</w:t>
      </w:r>
      <w:bookmarkEnd w:id="973"/>
      <w:bookmarkEnd w:id="974"/>
      <w:bookmarkEnd w:id="975"/>
      <w:bookmarkEnd w:id="976"/>
      <w:bookmarkEnd w:id="977"/>
      <w:bookmarkEnd w:id="978"/>
      <w:bookmarkEnd w:id="979"/>
    </w:p>
    <w:p w14:paraId="52A3ABE6">
      <w:pPr>
        <w:spacing w:line="400" w:lineRule="exact"/>
        <w:ind w:firstLine="420" w:firstLineChars="200"/>
      </w:pPr>
      <w: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6C06873F">
      <w:pPr>
        <w:spacing w:line="400" w:lineRule="exact"/>
        <w:ind w:firstLine="420" w:firstLineChars="200"/>
      </w:pPr>
      <w:r>
        <w:t>13.2.2 承包人应加强对施工人员的质量教育和技术培训，定期考核施工人员的劳动技能，严格执行规范和操作规程。</w:t>
      </w:r>
    </w:p>
    <w:p w14:paraId="517F5CEB">
      <w:pPr>
        <w:pStyle w:val="512"/>
        <w:spacing w:before="120" w:after="120"/>
      </w:pPr>
      <w:bookmarkStart w:id="980" w:name="_Toc129798329"/>
      <w:bookmarkStart w:id="981" w:name="_Toc132619078"/>
      <w:bookmarkStart w:id="982" w:name="_Toc342296349"/>
      <w:bookmarkStart w:id="983" w:name="_Toc142385616"/>
      <w:bookmarkStart w:id="984" w:name="_Toc132618687"/>
      <w:bookmarkStart w:id="985" w:name="_Toc109914394"/>
      <w:bookmarkStart w:id="986" w:name="_Toc338944791"/>
      <w:r>
        <w:t>13.3 承包人的质量检查</w:t>
      </w:r>
      <w:bookmarkEnd w:id="980"/>
      <w:bookmarkEnd w:id="981"/>
      <w:bookmarkEnd w:id="982"/>
      <w:bookmarkEnd w:id="983"/>
      <w:bookmarkEnd w:id="984"/>
      <w:bookmarkEnd w:id="985"/>
      <w:bookmarkEnd w:id="986"/>
    </w:p>
    <w:p w14:paraId="1E1C85E7">
      <w:pPr>
        <w:spacing w:line="400" w:lineRule="exact"/>
        <w:ind w:firstLine="420" w:firstLineChars="200"/>
      </w:pPr>
      <w:r>
        <w:t>承包人应按合同约定对材料、工程设备以及工程的所有部位及其施工工艺进行全过程的质量检查和检验，并作详细记录，编制工程质量报表，报送监理人审查。</w:t>
      </w:r>
    </w:p>
    <w:p w14:paraId="4749C349">
      <w:pPr>
        <w:pStyle w:val="512"/>
        <w:spacing w:before="120" w:after="120"/>
      </w:pPr>
      <w:bookmarkStart w:id="987" w:name="_Toc338944792"/>
      <w:bookmarkStart w:id="988" w:name="_Toc129798330"/>
      <w:bookmarkStart w:id="989" w:name="_Toc109914395"/>
      <w:bookmarkStart w:id="990" w:name="_Toc142385617"/>
      <w:bookmarkStart w:id="991" w:name="_Toc132619079"/>
      <w:bookmarkStart w:id="992" w:name="_Toc342296350"/>
      <w:bookmarkStart w:id="993" w:name="_Toc132618688"/>
      <w:r>
        <w:t>13.4 监理人的质量检查</w:t>
      </w:r>
      <w:bookmarkEnd w:id="987"/>
      <w:bookmarkEnd w:id="988"/>
      <w:bookmarkEnd w:id="989"/>
      <w:bookmarkEnd w:id="990"/>
      <w:bookmarkEnd w:id="991"/>
      <w:bookmarkEnd w:id="992"/>
      <w:bookmarkEnd w:id="993"/>
    </w:p>
    <w:p w14:paraId="73D5B596">
      <w:pPr>
        <w:spacing w:line="400" w:lineRule="exact"/>
        <w:ind w:firstLine="420" w:firstLineChars="200"/>
      </w:pPr>
      <w: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8A4352C">
      <w:pPr>
        <w:pStyle w:val="512"/>
        <w:spacing w:before="120" w:after="120"/>
      </w:pPr>
      <w:bookmarkStart w:id="994" w:name="_Toc342296351"/>
      <w:bookmarkStart w:id="995" w:name="_Toc132619080"/>
      <w:bookmarkStart w:id="996" w:name="_Toc129798331"/>
      <w:bookmarkStart w:id="997" w:name="_Toc142385618"/>
      <w:bookmarkStart w:id="998" w:name="_Toc109914396"/>
      <w:bookmarkStart w:id="999" w:name="_Toc338944793"/>
      <w:bookmarkStart w:id="1000" w:name="_Toc132618689"/>
      <w:r>
        <w:t>13.5 工程隐蔽部位覆盖前的检查</w:t>
      </w:r>
      <w:bookmarkEnd w:id="994"/>
      <w:bookmarkEnd w:id="995"/>
      <w:bookmarkEnd w:id="996"/>
      <w:bookmarkEnd w:id="997"/>
      <w:bookmarkEnd w:id="998"/>
      <w:bookmarkEnd w:id="999"/>
      <w:bookmarkEnd w:id="1000"/>
    </w:p>
    <w:p w14:paraId="7E98D895">
      <w:pPr>
        <w:spacing w:line="400" w:lineRule="exact"/>
        <w:ind w:firstLine="420" w:firstLineChars="200"/>
      </w:pPr>
      <w:r>
        <w:t xml:space="preserve">13.5.1 </w:t>
      </w:r>
      <w:r>
        <w:rPr>
          <w:rFonts w:hint="eastAsia" w:ascii="宋体" w:hAnsi="宋体" w:cs="宋体"/>
        </w:rPr>
        <w:t>通知监理人检查</w:t>
      </w:r>
    </w:p>
    <w:p w14:paraId="48B9D925">
      <w:pPr>
        <w:spacing w:line="400" w:lineRule="exact"/>
        <w:ind w:firstLine="420" w:firstLineChars="200"/>
      </w:pPr>
      <w: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1CCC3497">
      <w:pPr>
        <w:spacing w:line="400" w:lineRule="exact"/>
        <w:ind w:firstLine="420" w:firstLineChars="200"/>
      </w:pPr>
      <w:r>
        <w:t xml:space="preserve">13.5.2 </w:t>
      </w:r>
      <w:r>
        <w:rPr>
          <w:rFonts w:hint="eastAsia" w:ascii="宋体" w:hAnsi="宋体" w:cs="宋体"/>
        </w:rPr>
        <w:t>监理人未到场检查</w:t>
      </w:r>
    </w:p>
    <w:p w14:paraId="610A37A8">
      <w:pPr>
        <w:spacing w:line="400" w:lineRule="exact"/>
        <w:ind w:firstLine="420" w:firstLineChars="200"/>
      </w:pPr>
      <w:r>
        <w:t>监理人未按第13.5.1项约定的时间进行检查的，除监理人另有指示外，承包人可自行完成覆盖工作，并作相应记录报送监理人，监理人应签字确认。监理人事后对检查记录有疑问的，可按第13.5.3项的约定重新检查。</w:t>
      </w:r>
    </w:p>
    <w:p w14:paraId="600607B7">
      <w:pPr>
        <w:spacing w:line="400" w:lineRule="exact"/>
        <w:ind w:firstLine="420" w:firstLineChars="200"/>
      </w:pPr>
      <w:r>
        <w:t xml:space="preserve">13.5.3 </w:t>
      </w:r>
      <w:r>
        <w:rPr>
          <w:rFonts w:hint="eastAsia" w:ascii="宋体" w:hAnsi="宋体" w:cs="宋体"/>
        </w:rPr>
        <w:t>监理人重新检查</w:t>
      </w:r>
    </w:p>
    <w:p w14:paraId="6262CF98">
      <w:pPr>
        <w:spacing w:line="400" w:lineRule="exact"/>
        <w:ind w:firstLine="420" w:firstLineChars="200"/>
      </w:pPr>
      <w: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03C2EB70">
      <w:pPr>
        <w:spacing w:line="400" w:lineRule="exact"/>
        <w:ind w:firstLine="420" w:firstLineChars="200"/>
      </w:pPr>
      <w:r>
        <w:t xml:space="preserve">13.5.4 </w:t>
      </w:r>
      <w:r>
        <w:rPr>
          <w:rFonts w:hint="eastAsia" w:ascii="宋体" w:hAnsi="宋体" w:cs="宋体"/>
        </w:rPr>
        <w:t>承包人私自覆盖</w:t>
      </w:r>
    </w:p>
    <w:p w14:paraId="67CEECC5">
      <w:pPr>
        <w:spacing w:line="400" w:lineRule="exact"/>
        <w:ind w:firstLine="420" w:firstLineChars="200"/>
      </w:pPr>
      <w:r>
        <w:t>承包人未通知监理人到场检查，私自将工程隐蔽部位覆盖的，监理人有权指示承包人钻孔探测或揭开检查，由此增加的费用和（或）工期延误由承包人承担。</w:t>
      </w:r>
    </w:p>
    <w:p w14:paraId="085E2D8B">
      <w:pPr>
        <w:pStyle w:val="512"/>
        <w:spacing w:before="120" w:after="120"/>
      </w:pPr>
      <w:bookmarkStart w:id="1001" w:name="_Toc342296352"/>
      <w:bookmarkStart w:id="1002" w:name="_Toc142385619"/>
      <w:bookmarkStart w:id="1003" w:name="_Toc152045701"/>
      <w:bookmarkStart w:id="1004" w:name="_Toc144974670"/>
      <w:bookmarkStart w:id="1005" w:name="_Toc129798332"/>
      <w:bookmarkStart w:id="1006" w:name="_Toc132618690"/>
      <w:bookmarkStart w:id="1007" w:name="_Toc179632719"/>
      <w:bookmarkStart w:id="1008" w:name="_Toc152042479"/>
      <w:bookmarkStart w:id="1009" w:name="_Toc338944794"/>
      <w:bookmarkStart w:id="1010" w:name="_Toc109914397"/>
      <w:bookmarkStart w:id="1011" w:name="_Toc132619081"/>
      <w:r>
        <w:t>13.6 清除不合格工程</w:t>
      </w:r>
      <w:bookmarkEnd w:id="1001"/>
      <w:bookmarkEnd w:id="1002"/>
      <w:bookmarkEnd w:id="1003"/>
      <w:bookmarkEnd w:id="1004"/>
      <w:bookmarkEnd w:id="1005"/>
      <w:bookmarkEnd w:id="1006"/>
      <w:bookmarkEnd w:id="1007"/>
      <w:bookmarkEnd w:id="1008"/>
      <w:bookmarkEnd w:id="1009"/>
      <w:bookmarkEnd w:id="1010"/>
      <w:bookmarkEnd w:id="1011"/>
    </w:p>
    <w:p w14:paraId="2005D729">
      <w:pPr>
        <w:spacing w:line="400" w:lineRule="exact"/>
        <w:ind w:firstLine="420" w:firstLineChars="200"/>
      </w:pPr>
      <w: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1B1BF313">
      <w:pPr>
        <w:spacing w:line="400" w:lineRule="exact"/>
        <w:ind w:firstLine="420" w:firstLineChars="200"/>
      </w:pPr>
      <w:r>
        <w:t>13.6.2 由于发包人提供的材料或工程设备不合格造成的工程不合格，需要承包人采取措施补救的，发包人应承担由此增加的费用和（或）工期延误，并支付承包人合理利润。</w:t>
      </w:r>
    </w:p>
    <w:p w14:paraId="1A48D5B4">
      <w:pPr>
        <w:pStyle w:val="548"/>
        <w:spacing w:before="120" w:after="120"/>
        <w:rPr>
          <w:rFonts w:cs="仿宋_GB2312"/>
        </w:rPr>
      </w:pPr>
      <w:bookmarkStart w:id="1012" w:name="_Toc152042480"/>
      <w:bookmarkStart w:id="1013" w:name="_Toc152045702"/>
      <w:bookmarkStart w:id="1014" w:name="_Toc179632720"/>
      <w:bookmarkStart w:id="1015" w:name="_Toc448758435"/>
      <w:bookmarkStart w:id="1016" w:name="_Toc132619082"/>
      <w:bookmarkStart w:id="1017" w:name="_Toc132618691"/>
      <w:bookmarkStart w:id="1018" w:name="_Toc144974671"/>
      <w:bookmarkStart w:id="1019" w:name="_Toc442365627"/>
      <w:bookmarkStart w:id="1020" w:name="_Toc142385620"/>
      <w:bookmarkStart w:id="1021" w:name="_Toc109914398"/>
      <w:bookmarkStart w:id="1022" w:name="_Toc448758535"/>
      <w:bookmarkStart w:id="1023" w:name="_Toc342296353"/>
      <w:bookmarkStart w:id="1024" w:name="_Toc338944795"/>
      <w:bookmarkStart w:id="1025" w:name="_Toc129798333"/>
      <w:bookmarkStart w:id="1026" w:name="_Toc469660030"/>
      <w:r>
        <w:rPr>
          <w:rFonts w:cs="仿宋_GB2312"/>
        </w:rPr>
        <w:t>14. 试验和检验</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14:paraId="773B1DE6">
      <w:pPr>
        <w:pStyle w:val="512"/>
        <w:spacing w:before="120" w:after="120"/>
      </w:pPr>
      <w:bookmarkStart w:id="1027" w:name="_Toc342296354"/>
      <w:bookmarkStart w:id="1028" w:name="_Toc109914399"/>
      <w:bookmarkStart w:id="1029" w:name="_Toc132618692"/>
      <w:bookmarkStart w:id="1030" w:name="_Toc179632721"/>
      <w:bookmarkStart w:id="1031" w:name="_Toc144974672"/>
      <w:bookmarkStart w:id="1032" w:name="_Toc132619083"/>
      <w:bookmarkStart w:id="1033" w:name="_Toc142385621"/>
      <w:bookmarkStart w:id="1034" w:name="_Toc152045703"/>
      <w:bookmarkStart w:id="1035" w:name="_Toc338944796"/>
      <w:bookmarkStart w:id="1036" w:name="_Toc152042481"/>
      <w:bookmarkStart w:id="1037" w:name="_Toc129798334"/>
      <w:r>
        <w:t>14.1 材料、工程设备和工程的试验和检验</w:t>
      </w:r>
      <w:bookmarkEnd w:id="1027"/>
      <w:bookmarkEnd w:id="1028"/>
      <w:bookmarkEnd w:id="1029"/>
      <w:bookmarkEnd w:id="1030"/>
      <w:bookmarkEnd w:id="1031"/>
      <w:bookmarkEnd w:id="1032"/>
      <w:bookmarkEnd w:id="1033"/>
      <w:bookmarkEnd w:id="1034"/>
      <w:bookmarkEnd w:id="1035"/>
      <w:bookmarkEnd w:id="1036"/>
      <w:bookmarkEnd w:id="1037"/>
    </w:p>
    <w:p w14:paraId="31F6F3A5">
      <w:pPr>
        <w:spacing w:line="400" w:lineRule="exact"/>
        <w:ind w:firstLine="420" w:firstLineChars="200"/>
      </w:pPr>
      <w: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9EDDAC7">
      <w:pPr>
        <w:spacing w:line="400" w:lineRule="exact"/>
        <w:ind w:firstLine="420" w:firstLineChars="200"/>
      </w:pPr>
      <w:r>
        <w:t>14.1.2 监理人未按合同约定派员参加试验和检验的，除监理人另有指示外，承包人可自行试验和检验，并应立即将试验和检验结果报送监理人，监理人应签字确认。</w:t>
      </w:r>
    </w:p>
    <w:p w14:paraId="64EEFC53">
      <w:pPr>
        <w:spacing w:line="400" w:lineRule="exact"/>
        <w:ind w:firstLine="420" w:firstLineChars="200"/>
      </w:pPr>
      <w: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3F52FBE8">
      <w:pPr>
        <w:pStyle w:val="512"/>
        <w:spacing w:before="120" w:after="120"/>
      </w:pPr>
      <w:bookmarkStart w:id="1038" w:name="_Toc144974673"/>
      <w:bookmarkStart w:id="1039" w:name="_Toc152042482"/>
      <w:bookmarkStart w:id="1040" w:name="_Toc179632722"/>
      <w:bookmarkStart w:id="1041" w:name="_Toc132618693"/>
      <w:bookmarkStart w:id="1042" w:name="_Toc142385622"/>
      <w:bookmarkStart w:id="1043" w:name="_Toc152045704"/>
      <w:bookmarkStart w:id="1044" w:name="_Toc109914400"/>
      <w:bookmarkStart w:id="1045" w:name="_Toc129798335"/>
      <w:bookmarkStart w:id="1046" w:name="_Toc132619084"/>
      <w:bookmarkStart w:id="1047" w:name="_Toc338944797"/>
      <w:bookmarkStart w:id="1048" w:name="_Toc342296355"/>
      <w:r>
        <w:t>14.2 现场材料试验</w:t>
      </w:r>
      <w:bookmarkEnd w:id="1038"/>
      <w:bookmarkEnd w:id="1039"/>
      <w:bookmarkEnd w:id="1040"/>
      <w:bookmarkEnd w:id="1041"/>
      <w:bookmarkEnd w:id="1042"/>
      <w:bookmarkEnd w:id="1043"/>
      <w:bookmarkEnd w:id="1044"/>
      <w:bookmarkEnd w:id="1045"/>
      <w:bookmarkEnd w:id="1046"/>
      <w:bookmarkEnd w:id="1047"/>
      <w:bookmarkEnd w:id="1048"/>
    </w:p>
    <w:p w14:paraId="6D96C181">
      <w:pPr>
        <w:spacing w:line="400" w:lineRule="exact"/>
        <w:ind w:firstLine="420" w:firstLineChars="200"/>
      </w:pPr>
      <w:r>
        <w:t>14.2.1 承包人根据合同约定或监理人指示进行的现场材料试验，应由承包人提供试验场所、试验人员、试验设备器材以及其他必要的试验条件。</w:t>
      </w:r>
    </w:p>
    <w:p w14:paraId="4B8A63FB">
      <w:pPr>
        <w:spacing w:line="400" w:lineRule="exact"/>
        <w:ind w:firstLine="420" w:firstLineChars="200"/>
      </w:pPr>
      <w:r>
        <w:t>14.2.2 监理人在必要时可以使用承包人的试验场所、试验设备器材以及其他试验条件，进行以工程质量检查为目的的复核性材料试验，承包人应予以协助。</w:t>
      </w:r>
    </w:p>
    <w:p w14:paraId="172A603D">
      <w:pPr>
        <w:pStyle w:val="512"/>
        <w:spacing w:before="120" w:after="120"/>
      </w:pPr>
      <w:bookmarkStart w:id="1049" w:name="_Toc152045705"/>
      <w:bookmarkStart w:id="1050" w:name="_Toc338944798"/>
      <w:bookmarkStart w:id="1051" w:name="_Toc152042483"/>
      <w:bookmarkStart w:id="1052" w:name="_Toc144974674"/>
      <w:bookmarkStart w:id="1053" w:name="_Toc132619085"/>
      <w:bookmarkStart w:id="1054" w:name="_Toc142385623"/>
      <w:bookmarkStart w:id="1055" w:name="_Toc132618694"/>
      <w:bookmarkStart w:id="1056" w:name="_Toc179632723"/>
      <w:bookmarkStart w:id="1057" w:name="_Toc109914401"/>
      <w:bookmarkStart w:id="1058" w:name="_Toc342296356"/>
      <w:bookmarkStart w:id="1059" w:name="_Toc129798336"/>
      <w:r>
        <w:t>14.3 现场工艺试验</w:t>
      </w:r>
      <w:bookmarkEnd w:id="1049"/>
      <w:bookmarkEnd w:id="1050"/>
      <w:bookmarkEnd w:id="1051"/>
      <w:bookmarkEnd w:id="1052"/>
      <w:bookmarkEnd w:id="1053"/>
      <w:bookmarkEnd w:id="1054"/>
      <w:bookmarkEnd w:id="1055"/>
      <w:bookmarkEnd w:id="1056"/>
      <w:bookmarkEnd w:id="1057"/>
      <w:bookmarkEnd w:id="1058"/>
      <w:bookmarkEnd w:id="1059"/>
    </w:p>
    <w:p w14:paraId="4FBAC5A6">
      <w:pPr>
        <w:spacing w:line="400" w:lineRule="exact"/>
        <w:ind w:firstLine="420" w:firstLineChars="200"/>
      </w:pPr>
      <w:r>
        <w:t>承包人应按合同约定或监理人指示进行现场工艺试验。对大型的现场工艺试验，监理人认为必要时，应由承包人根据监理人提出的工艺试验要求，编制工艺试验措施计划，报送监理人审批。</w:t>
      </w:r>
    </w:p>
    <w:p w14:paraId="4B3D41B4">
      <w:pPr>
        <w:pStyle w:val="548"/>
        <w:spacing w:before="120" w:after="120"/>
        <w:rPr>
          <w:rFonts w:cs="仿宋_GB2312"/>
        </w:rPr>
      </w:pPr>
      <w:bookmarkStart w:id="1060" w:name="_Toc129798337"/>
      <w:bookmarkStart w:id="1061" w:name="_Toc142385624"/>
      <w:bookmarkStart w:id="1062" w:name="_Toc442365628"/>
      <w:bookmarkStart w:id="1063" w:name="_Toc338944799"/>
      <w:bookmarkStart w:id="1064" w:name="_Toc448758436"/>
      <w:bookmarkStart w:id="1065" w:name="_Toc342296357"/>
      <w:bookmarkStart w:id="1066" w:name="_Toc448758536"/>
      <w:bookmarkStart w:id="1067" w:name="_Toc109914402"/>
      <w:bookmarkStart w:id="1068" w:name="_Toc132618695"/>
      <w:bookmarkStart w:id="1069" w:name="_Toc469660031"/>
      <w:bookmarkStart w:id="1070" w:name="_Toc132619086"/>
      <w:r>
        <w:rPr>
          <w:rFonts w:cs="仿宋_GB2312"/>
        </w:rPr>
        <w:t>15. 变更</w:t>
      </w:r>
      <w:bookmarkEnd w:id="1060"/>
      <w:bookmarkEnd w:id="1061"/>
      <w:bookmarkEnd w:id="1062"/>
      <w:bookmarkEnd w:id="1063"/>
      <w:bookmarkEnd w:id="1064"/>
      <w:bookmarkEnd w:id="1065"/>
      <w:bookmarkEnd w:id="1066"/>
      <w:bookmarkEnd w:id="1067"/>
      <w:bookmarkEnd w:id="1068"/>
      <w:bookmarkEnd w:id="1069"/>
      <w:bookmarkEnd w:id="1070"/>
    </w:p>
    <w:p w14:paraId="080E6C69">
      <w:pPr>
        <w:pStyle w:val="512"/>
        <w:spacing w:before="120" w:after="120"/>
      </w:pPr>
      <w:bookmarkStart w:id="1071" w:name="_Toc109914403"/>
      <w:bookmarkStart w:id="1072" w:name="_Toc132618696"/>
      <w:bookmarkStart w:id="1073" w:name="_Toc142385625"/>
      <w:bookmarkStart w:id="1074" w:name="_Toc129798338"/>
      <w:bookmarkStart w:id="1075" w:name="_Toc342296358"/>
      <w:bookmarkStart w:id="1076" w:name="_Toc338944800"/>
      <w:bookmarkStart w:id="1077" w:name="_Toc132619087"/>
      <w:r>
        <w:t>15.1 变更的范围和内容</w:t>
      </w:r>
      <w:bookmarkEnd w:id="1071"/>
      <w:bookmarkEnd w:id="1072"/>
      <w:bookmarkEnd w:id="1073"/>
      <w:bookmarkEnd w:id="1074"/>
      <w:bookmarkEnd w:id="1075"/>
      <w:bookmarkEnd w:id="1076"/>
      <w:bookmarkEnd w:id="1077"/>
    </w:p>
    <w:p w14:paraId="2C61BFB4">
      <w:pPr>
        <w:spacing w:line="400" w:lineRule="exact"/>
        <w:ind w:firstLine="420" w:firstLineChars="200"/>
      </w:pPr>
      <w:r>
        <w:t>除专用合同条款另有约定外，在履行合同中发生以下情形之一，应按照本条规定进行变更。</w:t>
      </w:r>
    </w:p>
    <w:p w14:paraId="3D0421C6">
      <w:pPr>
        <w:spacing w:line="400" w:lineRule="exact"/>
        <w:ind w:firstLine="359" w:firstLineChars="171"/>
      </w:pPr>
      <w:r>
        <w:t>（1）取消合同中任何一项工作，但被取消的工作不能转由发包人或其他人实施；</w:t>
      </w:r>
    </w:p>
    <w:p w14:paraId="62908A69">
      <w:pPr>
        <w:spacing w:line="400" w:lineRule="exact"/>
        <w:ind w:firstLine="359" w:firstLineChars="171"/>
      </w:pPr>
      <w:r>
        <w:t>（2）改变合同中任何一项工作的质量或其他特性；</w:t>
      </w:r>
    </w:p>
    <w:p w14:paraId="5E1AC40C">
      <w:pPr>
        <w:spacing w:line="400" w:lineRule="exact"/>
        <w:ind w:firstLine="359" w:firstLineChars="171"/>
      </w:pPr>
      <w:r>
        <w:t>（3）改变合同工程的基线、标高、位置或尺寸；</w:t>
      </w:r>
    </w:p>
    <w:p w14:paraId="43DFDB66">
      <w:pPr>
        <w:spacing w:line="400" w:lineRule="exact"/>
        <w:ind w:firstLine="359" w:firstLineChars="171"/>
      </w:pPr>
      <w:r>
        <w:t>（4）改变合同中任何一项工作的施工时间或改变已批准的施工工艺或顺序；</w:t>
      </w:r>
    </w:p>
    <w:p w14:paraId="7DF0A620">
      <w:pPr>
        <w:spacing w:line="400" w:lineRule="exact"/>
        <w:ind w:firstLine="359" w:firstLineChars="171"/>
      </w:pPr>
      <w:r>
        <w:t>（5）为完成工程需要追加的额外工作。</w:t>
      </w:r>
    </w:p>
    <w:p w14:paraId="1422242C">
      <w:pPr>
        <w:pStyle w:val="512"/>
        <w:spacing w:before="120" w:after="120"/>
      </w:pPr>
      <w:bookmarkStart w:id="1078" w:name="_Toc179632726"/>
      <w:bookmarkStart w:id="1079" w:name="_Toc129798339"/>
      <w:bookmarkStart w:id="1080" w:name="_Toc109914404"/>
      <w:bookmarkStart w:id="1081" w:name="_Toc152042486"/>
      <w:bookmarkStart w:id="1082" w:name="_Toc132619088"/>
      <w:bookmarkStart w:id="1083" w:name="_Toc132618697"/>
      <w:bookmarkStart w:id="1084" w:name="_Toc142385626"/>
      <w:bookmarkStart w:id="1085" w:name="_Toc144974677"/>
      <w:bookmarkStart w:id="1086" w:name="_Toc152045708"/>
      <w:bookmarkStart w:id="1087" w:name="_Toc342296359"/>
      <w:bookmarkStart w:id="1088" w:name="_Toc338944801"/>
      <w:r>
        <w:t>15.2 变更权</w:t>
      </w:r>
      <w:bookmarkEnd w:id="1078"/>
      <w:bookmarkEnd w:id="1079"/>
      <w:bookmarkEnd w:id="1080"/>
      <w:bookmarkEnd w:id="1081"/>
      <w:bookmarkEnd w:id="1082"/>
      <w:bookmarkEnd w:id="1083"/>
      <w:bookmarkEnd w:id="1084"/>
      <w:bookmarkEnd w:id="1085"/>
      <w:bookmarkEnd w:id="1086"/>
      <w:bookmarkEnd w:id="1087"/>
      <w:bookmarkEnd w:id="1088"/>
    </w:p>
    <w:p w14:paraId="7CD259E9">
      <w:pPr>
        <w:spacing w:line="400" w:lineRule="exact"/>
        <w:ind w:firstLine="420" w:firstLineChars="200"/>
      </w:pPr>
      <w:r>
        <w:t>在履行合同过程中，经发包人同意，监理人可按第15.3款约定的变更程序向承包人作出变更指示，承包人应遵照执行。没有监理人的变更指示，承包人不得擅自变更。</w:t>
      </w:r>
    </w:p>
    <w:p w14:paraId="2CD04D1C">
      <w:pPr>
        <w:pStyle w:val="512"/>
        <w:spacing w:before="120" w:after="120"/>
      </w:pPr>
      <w:bookmarkStart w:id="1089" w:name="_Toc338944802"/>
      <w:bookmarkStart w:id="1090" w:name="_Toc132618698"/>
      <w:bookmarkStart w:id="1091" w:name="_Toc142385627"/>
      <w:bookmarkStart w:id="1092" w:name="_Toc342296360"/>
      <w:bookmarkStart w:id="1093" w:name="_Toc132619089"/>
      <w:bookmarkStart w:id="1094" w:name="_Toc109914405"/>
      <w:bookmarkStart w:id="1095" w:name="_Toc129798340"/>
      <w:r>
        <w:t>15.3 变更程序</w:t>
      </w:r>
      <w:bookmarkEnd w:id="1089"/>
      <w:bookmarkEnd w:id="1090"/>
      <w:bookmarkEnd w:id="1091"/>
      <w:bookmarkEnd w:id="1092"/>
      <w:bookmarkEnd w:id="1093"/>
      <w:bookmarkEnd w:id="1094"/>
      <w:bookmarkEnd w:id="1095"/>
    </w:p>
    <w:p w14:paraId="4E2B029D">
      <w:pPr>
        <w:spacing w:line="400" w:lineRule="exact"/>
        <w:ind w:firstLine="420" w:firstLineChars="200"/>
      </w:pPr>
      <w:r>
        <w:t xml:space="preserve">15.3.1 </w:t>
      </w:r>
      <w:r>
        <w:rPr>
          <w:rFonts w:hint="eastAsia" w:ascii="宋体" w:hAnsi="宋体" w:cs="宋体"/>
        </w:rPr>
        <w:t>变更的提出</w:t>
      </w:r>
    </w:p>
    <w:p w14:paraId="631019E6">
      <w:pPr>
        <w:spacing w:line="400" w:lineRule="exact"/>
        <w:ind w:firstLine="420" w:firstLineChars="200"/>
      </w:pPr>
      <w:r>
        <w:t xml:space="preserve">（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 </w:t>
      </w:r>
    </w:p>
    <w:p w14:paraId="7BBE76BA">
      <w:pPr>
        <w:spacing w:line="400" w:lineRule="exact"/>
        <w:ind w:firstLine="420" w:firstLineChars="200"/>
      </w:pPr>
      <w:r>
        <w:t>（2）在合同履行过程中，发生第15.1款约定情形的，监理人应按照第15.3.3项约定向承包人发出变更指示。</w:t>
      </w:r>
    </w:p>
    <w:p w14:paraId="54DDA62B">
      <w:pPr>
        <w:spacing w:line="400" w:lineRule="exact"/>
        <w:ind w:firstLine="420" w:firstLineChars="200"/>
      </w:pPr>
      <w: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563CAF57">
      <w:pPr>
        <w:spacing w:line="400" w:lineRule="exact"/>
        <w:ind w:firstLine="420" w:firstLineChars="200"/>
      </w:pPr>
      <w:r>
        <w:t>（4）若承包人收到监理人的变更意向书后认为难以实施此项变更，应立即通知监理人，说明原因并附详细依据。监理人与承包人和发包人协商后确定撤销、改变或不改变原变更意向书。</w:t>
      </w:r>
    </w:p>
    <w:p w14:paraId="711F6FC6">
      <w:pPr>
        <w:spacing w:line="400" w:lineRule="exact"/>
        <w:ind w:firstLine="420" w:firstLineChars="200"/>
      </w:pPr>
      <w:r>
        <w:t xml:space="preserve">15.3.2 </w:t>
      </w:r>
      <w:r>
        <w:rPr>
          <w:rFonts w:hint="eastAsia" w:ascii="宋体" w:hAnsi="宋体" w:cs="宋体"/>
        </w:rPr>
        <w:t>变更估价</w:t>
      </w:r>
    </w:p>
    <w:p w14:paraId="5E0FF098">
      <w:pPr>
        <w:spacing w:line="400" w:lineRule="exact"/>
        <w:ind w:firstLine="420" w:firstLineChars="200"/>
      </w:pPr>
      <w: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248DE631">
      <w:pPr>
        <w:spacing w:line="400" w:lineRule="exact"/>
        <w:ind w:firstLine="420" w:firstLineChars="200"/>
      </w:pPr>
      <w:r>
        <w:t>（2）变更工作影响工期的，承包人应提出调整工期的具体细节。监理人认为有必要时，可要求承包人提交要求提前或延长工期的施工进度计划及相应施工措施等详细资料。</w:t>
      </w:r>
    </w:p>
    <w:p w14:paraId="72C499A6">
      <w:pPr>
        <w:spacing w:line="400" w:lineRule="exact"/>
        <w:ind w:firstLine="420" w:firstLineChars="200"/>
      </w:pPr>
      <w:r>
        <w:t>（3）除专用合同条款对期限另有约定外，监理人收到承包人变更报价书后的14天内，根据第15.4款约定的估价原则，按照第3.5款商定或确定变更价格。</w:t>
      </w:r>
    </w:p>
    <w:p w14:paraId="7B4769D1">
      <w:pPr>
        <w:spacing w:line="400" w:lineRule="exact"/>
        <w:ind w:firstLine="420" w:firstLineChars="200"/>
      </w:pPr>
      <w:r>
        <w:t xml:space="preserve">15.3.3 </w:t>
      </w:r>
      <w:r>
        <w:rPr>
          <w:rFonts w:hint="eastAsia" w:ascii="宋体" w:hAnsi="宋体" w:cs="宋体"/>
        </w:rPr>
        <w:t>变更指示</w:t>
      </w:r>
    </w:p>
    <w:p w14:paraId="7DB36225">
      <w:pPr>
        <w:spacing w:line="400" w:lineRule="exact"/>
        <w:ind w:firstLine="420" w:firstLineChars="200"/>
      </w:pPr>
      <w:r>
        <w:t>（1）变更指示只能由监理人发出。</w:t>
      </w:r>
    </w:p>
    <w:p w14:paraId="65C922F2">
      <w:pPr>
        <w:spacing w:line="400" w:lineRule="exact"/>
        <w:ind w:firstLine="420" w:firstLineChars="200"/>
      </w:pPr>
      <w:r>
        <w:t>（2）变更指示应说明变更的目的、范围、变更内容以及变更的工程量及其进度和技术要求，并附有关图纸和文件。承包人收到变更指示后，应按变更指示进行变更工作。</w:t>
      </w:r>
    </w:p>
    <w:p w14:paraId="704E8157">
      <w:pPr>
        <w:pStyle w:val="512"/>
        <w:spacing w:before="120" w:after="120"/>
      </w:pPr>
      <w:bookmarkStart w:id="1096" w:name="_Toc109914406"/>
      <w:bookmarkStart w:id="1097" w:name="_Toc338944803"/>
      <w:bookmarkStart w:id="1098" w:name="_Toc342296361"/>
      <w:bookmarkStart w:id="1099" w:name="_Toc129798341"/>
      <w:bookmarkStart w:id="1100" w:name="_Toc142385628"/>
      <w:bookmarkStart w:id="1101" w:name="_Toc132618699"/>
      <w:bookmarkStart w:id="1102" w:name="_Toc132619090"/>
      <w:r>
        <w:t>15.4 变更的估价原则</w:t>
      </w:r>
      <w:bookmarkEnd w:id="1096"/>
      <w:bookmarkEnd w:id="1097"/>
      <w:bookmarkEnd w:id="1098"/>
      <w:bookmarkEnd w:id="1099"/>
      <w:bookmarkEnd w:id="1100"/>
      <w:bookmarkEnd w:id="1101"/>
      <w:bookmarkEnd w:id="1102"/>
    </w:p>
    <w:p w14:paraId="0EC4E83C">
      <w:pPr>
        <w:spacing w:line="400" w:lineRule="exact"/>
        <w:ind w:firstLine="420" w:firstLineChars="200"/>
      </w:pPr>
      <w:r>
        <w:t>除专用合同条款另有约定外，因变更引起的价格调整按照本款约定处理。</w:t>
      </w:r>
    </w:p>
    <w:p w14:paraId="330E0291">
      <w:pPr>
        <w:spacing w:line="400" w:lineRule="exact"/>
        <w:ind w:firstLine="420" w:firstLineChars="200"/>
      </w:pPr>
      <w:r>
        <w:t>15.4.1 已标价工程量清单中有适用于变更工作的子目的，采用该子目的单价。</w:t>
      </w:r>
    </w:p>
    <w:p w14:paraId="3B853411">
      <w:pPr>
        <w:spacing w:line="400" w:lineRule="exact"/>
        <w:ind w:firstLine="420" w:firstLineChars="200"/>
      </w:pPr>
      <w:r>
        <w:t>15.4.2 已标价工程量清单中无适用于变更工作的子目，但有类似子目的，可在合理范围内参照类似子目的单价，由监理人按第3.5款商定或确定变更工作的单价。</w:t>
      </w:r>
    </w:p>
    <w:p w14:paraId="002B3D48">
      <w:pPr>
        <w:spacing w:line="400" w:lineRule="exact"/>
        <w:ind w:firstLine="420" w:firstLineChars="200"/>
      </w:pPr>
      <w:r>
        <w:t>15.4.3 已标价工程量清单中无适用或类似子目的单价，可按照成本加利润的原则，由监理人按第3.5款商定或确定变更工作的单价。</w:t>
      </w:r>
    </w:p>
    <w:p w14:paraId="15DAA31D">
      <w:pPr>
        <w:pStyle w:val="512"/>
        <w:spacing w:before="120" w:after="120"/>
      </w:pPr>
      <w:bookmarkStart w:id="1103" w:name="_Toc142385629"/>
      <w:bookmarkStart w:id="1104" w:name="_Toc129798342"/>
      <w:bookmarkStart w:id="1105" w:name="_Toc132618700"/>
      <w:bookmarkStart w:id="1106" w:name="_Toc338944804"/>
      <w:bookmarkStart w:id="1107" w:name="_Toc342296362"/>
      <w:bookmarkStart w:id="1108" w:name="_Toc109914407"/>
      <w:bookmarkStart w:id="1109" w:name="_Toc132619091"/>
      <w:r>
        <w:t>15.5 承包人的合理化建议</w:t>
      </w:r>
      <w:bookmarkEnd w:id="1103"/>
      <w:bookmarkEnd w:id="1104"/>
      <w:bookmarkEnd w:id="1105"/>
      <w:bookmarkEnd w:id="1106"/>
      <w:bookmarkEnd w:id="1107"/>
      <w:bookmarkEnd w:id="1108"/>
      <w:bookmarkEnd w:id="1109"/>
    </w:p>
    <w:p w14:paraId="7FB04C9A">
      <w:pPr>
        <w:spacing w:line="400" w:lineRule="exact"/>
        <w:ind w:firstLine="420" w:firstLineChars="200"/>
      </w:pPr>
      <w: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29779994">
      <w:pPr>
        <w:spacing w:line="400" w:lineRule="exact"/>
        <w:ind w:firstLine="420" w:firstLineChars="200"/>
      </w:pPr>
      <w:r>
        <w:t>15.5.2 承包人提出的合理化建议降低了合同价格、缩短了工期或者提高了工程经济效益的，发包人可按国家有关规定在专用合同条款中约定给予奖励。</w:t>
      </w:r>
    </w:p>
    <w:p w14:paraId="6C4B8287">
      <w:pPr>
        <w:pStyle w:val="512"/>
        <w:spacing w:before="120" w:after="120"/>
      </w:pPr>
      <w:bookmarkStart w:id="1110" w:name="_Toc132618701"/>
      <w:bookmarkStart w:id="1111" w:name="_Toc142385630"/>
      <w:bookmarkStart w:id="1112" w:name="_Toc109914408"/>
      <w:bookmarkStart w:id="1113" w:name="_Toc338944805"/>
      <w:bookmarkStart w:id="1114" w:name="_Toc342296363"/>
      <w:bookmarkStart w:id="1115" w:name="_Toc152042490"/>
      <w:bookmarkStart w:id="1116" w:name="_Toc132619092"/>
      <w:bookmarkStart w:id="1117" w:name="_Toc179632730"/>
      <w:bookmarkStart w:id="1118" w:name="_Toc144974681"/>
      <w:bookmarkStart w:id="1119" w:name="_Toc152045712"/>
      <w:bookmarkStart w:id="1120" w:name="_Toc129798343"/>
      <w:r>
        <w:t>15.6 暂列金额</w:t>
      </w:r>
      <w:bookmarkEnd w:id="1110"/>
      <w:bookmarkEnd w:id="1111"/>
      <w:bookmarkEnd w:id="1112"/>
      <w:bookmarkEnd w:id="1113"/>
      <w:bookmarkEnd w:id="1114"/>
      <w:bookmarkEnd w:id="1115"/>
      <w:bookmarkEnd w:id="1116"/>
      <w:bookmarkEnd w:id="1117"/>
      <w:bookmarkEnd w:id="1118"/>
      <w:bookmarkEnd w:id="1119"/>
      <w:bookmarkEnd w:id="1120"/>
    </w:p>
    <w:p w14:paraId="27DB64FD">
      <w:pPr>
        <w:spacing w:line="400" w:lineRule="exact"/>
        <w:ind w:firstLine="420" w:firstLineChars="200"/>
      </w:pPr>
      <w:r>
        <w:t>暂列金额只能按照监理人的指示使用，并对合同价格进行相应调整。</w:t>
      </w:r>
    </w:p>
    <w:p w14:paraId="26BDFFC6">
      <w:pPr>
        <w:pStyle w:val="512"/>
        <w:spacing w:before="120" w:after="120"/>
      </w:pPr>
      <w:bookmarkStart w:id="1121" w:name="_Toc129798344"/>
      <w:bookmarkStart w:id="1122" w:name="_Toc342296364"/>
      <w:bookmarkStart w:id="1123" w:name="_Toc152045713"/>
      <w:bookmarkStart w:id="1124" w:name="_Toc144974682"/>
      <w:bookmarkStart w:id="1125" w:name="_Toc132618702"/>
      <w:bookmarkStart w:id="1126" w:name="_Toc109914409"/>
      <w:bookmarkStart w:id="1127" w:name="_Toc132619093"/>
      <w:bookmarkStart w:id="1128" w:name="_Toc142385631"/>
      <w:bookmarkStart w:id="1129" w:name="_Toc338944806"/>
      <w:bookmarkStart w:id="1130" w:name="_Toc152042491"/>
      <w:bookmarkStart w:id="1131" w:name="_Toc179632731"/>
      <w:r>
        <w:t>15.7 计日工</w:t>
      </w:r>
      <w:bookmarkEnd w:id="1121"/>
      <w:bookmarkEnd w:id="1122"/>
      <w:bookmarkEnd w:id="1123"/>
      <w:bookmarkEnd w:id="1124"/>
      <w:bookmarkEnd w:id="1125"/>
      <w:bookmarkEnd w:id="1126"/>
      <w:bookmarkEnd w:id="1127"/>
      <w:bookmarkEnd w:id="1128"/>
      <w:bookmarkEnd w:id="1129"/>
      <w:bookmarkEnd w:id="1130"/>
      <w:bookmarkEnd w:id="1131"/>
    </w:p>
    <w:p w14:paraId="620A1BCE">
      <w:pPr>
        <w:spacing w:line="400" w:lineRule="exact"/>
        <w:ind w:firstLine="420" w:firstLineChars="200"/>
        <w:rPr>
          <w:shd w:val="pct10" w:color="auto" w:fill="FFFFFF"/>
        </w:rPr>
      </w:pPr>
      <w:r>
        <w:t>15.7.1 发包人认为有必要时，</w:t>
      </w:r>
      <w:r>
        <w:rPr>
          <w:szCs w:val="21"/>
        </w:rPr>
        <w:t>由</w:t>
      </w:r>
      <w:r>
        <w:t>监理人通知承包人以计日工方式实施变更的零星工作。其价款按列入已标价工程量清单中的计日工计价子目及其单价进行计算。</w:t>
      </w:r>
    </w:p>
    <w:p w14:paraId="38D9959D">
      <w:pPr>
        <w:spacing w:line="400" w:lineRule="exact"/>
        <w:ind w:firstLine="420" w:firstLineChars="200"/>
      </w:pPr>
      <w:r>
        <w:t>15.7.2 采用计日工计价的任何一项变更工作，应从暂列金额中支付，承包人应在该项变更的实施过程中，每天提交以下报表和有关凭证报送监理人审批：</w:t>
      </w:r>
    </w:p>
    <w:p w14:paraId="0E4D7178">
      <w:pPr>
        <w:spacing w:line="400" w:lineRule="exact"/>
        <w:ind w:firstLine="718" w:firstLineChars="342"/>
      </w:pPr>
      <w:r>
        <w:t>（1）工作名称、内容和数量；</w:t>
      </w:r>
    </w:p>
    <w:p w14:paraId="4C06BC5E">
      <w:pPr>
        <w:spacing w:line="400" w:lineRule="exact"/>
        <w:ind w:firstLine="718" w:firstLineChars="342"/>
      </w:pPr>
      <w:r>
        <w:t>（2）投入该工作所有人员的姓名、工种、级别和耗用工时；</w:t>
      </w:r>
    </w:p>
    <w:p w14:paraId="39754FB2">
      <w:pPr>
        <w:spacing w:line="400" w:lineRule="exact"/>
        <w:ind w:firstLine="718" w:firstLineChars="342"/>
      </w:pPr>
      <w:r>
        <w:t>（3）投入该工作的材料类别和数量；</w:t>
      </w:r>
    </w:p>
    <w:p w14:paraId="647F2891">
      <w:pPr>
        <w:spacing w:line="400" w:lineRule="exact"/>
        <w:ind w:firstLine="718" w:firstLineChars="342"/>
      </w:pPr>
      <w:r>
        <w:t>（4）投入该工作的施工设备型号、台数和耗用台时；</w:t>
      </w:r>
    </w:p>
    <w:p w14:paraId="7D4438C2">
      <w:pPr>
        <w:spacing w:line="400" w:lineRule="exact"/>
        <w:ind w:firstLine="718" w:firstLineChars="342"/>
      </w:pPr>
      <w:r>
        <w:t>（5）监理人要求提交的其他资料和凭证。</w:t>
      </w:r>
    </w:p>
    <w:p w14:paraId="3D4274DF">
      <w:pPr>
        <w:spacing w:line="400" w:lineRule="exact"/>
        <w:ind w:firstLine="420" w:firstLineChars="200"/>
      </w:pPr>
      <w:r>
        <w:t>15.7.3 计日工由承包人汇总后，按第17.3.2项的约定列入进度付款申请单，由监理人复核并经发包人同意后列入进度付款。</w:t>
      </w:r>
    </w:p>
    <w:p w14:paraId="398A555F">
      <w:pPr>
        <w:pStyle w:val="512"/>
        <w:spacing w:before="120" w:after="120"/>
      </w:pPr>
      <w:bookmarkStart w:id="1132" w:name="_Toc109914410"/>
      <w:bookmarkStart w:id="1133" w:name="_Toc132618703"/>
      <w:bookmarkStart w:id="1134" w:name="_Toc132619094"/>
      <w:bookmarkStart w:id="1135" w:name="_Toc142385632"/>
      <w:bookmarkStart w:id="1136" w:name="_Toc129798345"/>
      <w:bookmarkStart w:id="1137" w:name="_Toc342296365"/>
      <w:bookmarkStart w:id="1138" w:name="_Toc338944807"/>
      <w:r>
        <w:t>15.8 暂估价</w:t>
      </w:r>
      <w:bookmarkEnd w:id="1132"/>
      <w:bookmarkEnd w:id="1133"/>
      <w:bookmarkEnd w:id="1134"/>
      <w:bookmarkEnd w:id="1135"/>
      <w:bookmarkEnd w:id="1136"/>
      <w:bookmarkEnd w:id="1137"/>
      <w:bookmarkEnd w:id="1138"/>
    </w:p>
    <w:p w14:paraId="0AF9E67F">
      <w:pPr>
        <w:spacing w:line="400" w:lineRule="exact"/>
      </w:pPr>
      <w:r>
        <w:t xml:space="preserve">    15.8.1 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14:paraId="300C4677">
      <w:pPr>
        <w:spacing w:line="400" w:lineRule="exact"/>
        <w:ind w:firstLine="420" w:firstLineChars="200"/>
      </w:pPr>
      <w: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61F82323">
      <w:pPr>
        <w:spacing w:line="400" w:lineRule="exact"/>
        <w:ind w:firstLine="420" w:firstLineChars="200"/>
      </w:pPr>
      <w: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0768E2BD">
      <w:pPr>
        <w:pStyle w:val="548"/>
        <w:spacing w:before="120" w:after="120"/>
        <w:rPr>
          <w:rFonts w:cs="仿宋_GB2312"/>
        </w:rPr>
      </w:pPr>
      <w:bookmarkStart w:id="1139" w:name="_Toc338944808"/>
      <w:bookmarkStart w:id="1140" w:name="_Toc448758437"/>
      <w:bookmarkStart w:id="1141" w:name="_Toc448758537"/>
      <w:bookmarkStart w:id="1142" w:name="_Toc132618704"/>
      <w:bookmarkStart w:id="1143" w:name="_Toc109914411"/>
      <w:bookmarkStart w:id="1144" w:name="_Toc129798346"/>
      <w:bookmarkStart w:id="1145" w:name="_Toc442365629"/>
      <w:bookmarkStart w:id="1146" w:name="_Toc132619095"/>
      <w:bookmarkStart w:id="1147" w:name="_Toc469660032"/>
      <w:bookmarkStart w:id="1148" w:name="_Toc342296366"/>
      <w:bookmarkStart w:id="1149" w:name="_Toc142385633"/>
      <w:r>
        <w:rPr>
          <w:rFonts w:cs="仿宋_GB2312"/>
        </w:rPr>
        <w:t>16. 价格调整</w:t>
      </w:r>
      <w:bookmarkEnd w:id="1139"/>
      <w:bookmarkEnd w:id="1140"/>
      <w:bookmarkEnd w:id="1141"/>
      <w:bookmarkEnd w:id="1142"/>
      <w:bookmarkEnd w:id="1143"/>
      <w:bookmarkEnd w:id="1144"/>
      <w:bookmarkEnd w:id="1145"/>
      <w:bookmarkEnd w:id="1146"/>
      <w:bookmarkEnd w:id="1147"/>
      <w:bookmarkEnd w:id="1148"/>
      <w:bookmarkEnd w:id="1149"/>
    </w:p>
    <w:p w14:paraId="5DCF2B26">
      <w:pPr>
        <w:pStyle w:val="512"/>
        <w:spacing w:before="120" w:after="120"/>
      </w:pPr>
      <w:bookmarkStart w:id="1150" w:name="_Toc142385634"/>
      <w:bookmarkStart w:id="1151" w:name="_Toc129798347"/>
      <w:bookmarkStart w:id="1152" w:name="_Toc132619096"/>
      <w:bookmarkStart w:id="1153" w:name="_Toc338944809"/>
      <w:bookmarkStart w:id="1154" w:name="_Toc109914412"/>
      <w:bookmarkStart w:id="1155" w:name="_Toc132618705"/>
      <w:bookmarkStart w:id="1156" w:name="_Toc342296367"/>
      <w:r>
        <w:t>16.1 物价波动引起的价格调整</w:t>
      </w:r>
      <w:bookmarkEnd w:id="1150"/>
      <w:bookmarkEnd w:id="1151"/>
      <w:bookmarkEnd w:id="1152"/>
      <w:bookmarkEnd w:id="1153"/>
      <w:bookmarkEnd w:id="1154"/>
      <w:bookmarkEnd w:id="1155"/>
      <w:bookmarkEnd w:id="1156"/>
    </w:p>
    <w:p w14:paraId="6FB73D60">
      <w:r>
        <w:t>除专用合同条款另有约定外，因物价波动引起的价格调整按照本款约定处理。</w:t>
      </w:r>
    </w:p>
    <w:p w14:paraId="63BA6D48">
      <w:r>
        <w:t xml:space="preserve">16.1.1 </w:t>
      </w:r>
      <w:r>
        <w:rPr>
          <w:rFonts w:hint="eastAsia" w:ascii="宋体" w:hAnsi="宋体" w:cs="宋体"/>
        </w:rPr>
        <w:t>采用价格指数调整价格差额</w:t>
      </w:r>
    </w:p>
    <w:p w14:paraId="01FF4218">
      <w:r>
        <w:t>16.1.1.1 价格调整公式</w:t>
      </w:r>
    </w:p>
    <w:p w14:paraId="38974B84">
      <w:r>
        <w:t>因人工、材料和设备等价格波动影响合同价格时，根据投标函附录中的价格指数和权重表约定的数据，按以下公式计算差额并调整合同价格。</w:t>
      </w:r>
    </w:p>
    <w:p w14:paraId="1F38D4A9">
      <w:r>
        <w:rPr>
          <w:b/>
          <w:bCs/>
          <w:kern w:val="0"/>
          <w:sz w:val="19"/>
          <w:szCs w:val="19"/>
          <w:lang w:val="zh-CN"/>
        </w:rPr>
        <w:t xml:space="preserve">        </w:t>
      </w:r>
      <w:r>
        <w:rPr>
          <w:position w:val="-34"/>
        </w:rPr>
        <w:object>
          <v:shape id="_x0000_i1025" o:spt="75" type="#_x0000_t75" style="height:39.95pt;width:305.9pt;" o:ole="t" filled="f" o:preferrelative="t" stroked="f" coordsize="21600,21600">
            <v:path/>
            <v:fill on="f" focussize="0,0"/>
            <v:stroke on="f" joinstyle="miter"/>
            <v:imagedata r:id="rId29" o:title=""/>
            <o:lock v:ext="edit" aspectratio="t"/>
            <w10:wrap type="none"/>
            <w10:anchorlock/>
          </v:shape>
          <o:OLEObject Type="Embed" ProgID="Equation.3" ShapeID="_x0000_i1025" DrawAspect="Content" ObjectID="_1468075725" r:id="rId28">
            <o:LockedField>false</o:LockedField>
          </o:OLEObject>
        </w:object>
      </w:r>
    </w:p>
    <w:p w14:paraId="6243095F">
      <w:r>
        <w:t xml:space="preserve"> </w:t>
      </w:r>
    </w:p>
    <w:p w14:paraId="40CB6145">
      <w:r>
        <w:t xml:space="preserve">式中： </w:t>
      </w:r>
      <w:r>
        <w:rPr>
          <w:rFonts w:hint="eastAsia" w:ascii="Cambria" w:hAnsi="Cambria" w:cs="Cambria"/>
        </w:rPr>
        <w:t>△</w:t>
      </w:r>
      <w:r>
        <w:t>P -- 需调整的价格差额；</w:t>
      </w:r>
    </w:p>
    <w:p w14:paraId="555F7326">
      <w:r>
        <w:tab/>
      </w:r>
      <w:r>
        <w:t>P</w:t>
      </w:r>
      <w:r>
        <w:rPr>
          <w:szCs w:val="21"/>
          <w:vertAlign w:val="subscript"/>
        </w:rPr>
        <w:t>0</w:t>
      </w:r>
      <w:r>
        <w:t xml:space="preserve"> --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14:paraId="49D165E6">
      <w:r>
        <w:tab/>
      </w:r>
      <w:bookmarkStart w:id="1157" w:name="_Toc152042495"/>
      <w:bookmarkStart w:id="1158" w:name="_Toc144974686"/>
      <w:r>
        <w:t>A -- 定值权重(即不调部分的权重)；</w:t>
      </w:r>
      <w:bookmarkEnd w:id="1157"/>
      <w:bookmarkEnd w:id="1158"/>
    </w:p>
    <w:p w14:paraId="013F1461">
      <w:r>
        <w:tab/>
      </w:r>
      <w:r>
        <w:t>B</w:t>
      </w:r>
      <w:r>
        <w:rPr>
          <w:szCs w:val="21"/>
          <w:vertAlign w:val="subscript"/>
        </w:rPr>
        <w:t>1</w:t>
      </w:r>
      <w:r>
        <w:rPr>
          <w:sz w:val="15"/>
          <w:szCs w:val="15"/>
        </w:rPr>
        <w:t>;</w:t>
      </w:r>
      <w:r>
        <w:t xml:space="preserve"> B</w:t>
      </w:r>
      <w:r>
        <w:rPr>
          <w:szCs w:val="21"/>
          <w:vertAlign w:val="subscript"/>
        </w:rPr>
        <w:t>2</w:t>
      </w:r>
      <w:r>
        <w:t xml:space="preserve"> ;B</w:t>
      </w:r>
      <w:r>
        <w:rPr>
          <w:szCs w:val="21"/>
          <w:vertAlign w:val="subscript"/>
        </w:rPr>
        <w:t>3</w:t>
      </w:r>
      <w:r>
        <w:rPr>
          <w:sz w:val="15"/>
          <w:szCs w:val="15"/>
        </w:rPr>
        <w:t>·····</w:t>
      </w:r>
      <w:r>
        <w:t>B</w:t>
      </w:r>
      <w:r>
        <w:rPr>
          <w:szCs w:val="21"/>
          <w:vertAlign w:val="subscript"/>
        </w:rPr>
        <w:t>n</w:t>
      </w:r>
      <w:r>
        <w:t xml:space="preserve"> -- 各可调因子的变值权重(即可调部分的权重)为各可调因子在投标函投标总报价中所占的比例；</w:t>
      </w:r>
    </w:p>
    <w:p w14:paraId="6BFD8F53">
      <w:r>
        <w:tab/>
      </w:r>
      <w:r>
        <w:t>F</w:t>
      </w:r>
      <w:r>
        <w:rPr>
          <w:szCs w:val="21"/>
          <w:vertAlign w:val="subscript"/>
        </w:rPr>
        <w:t>t1</w:t>
      </w:r>
      <w:r>
        <w:t xml:space="preserve"> ;F</w:t>
      </w:r>
      <w:r>
        <w:rPr>
          <w:szCs w:val="21"/>
          <w:vertAlign w:val="subscript"/>
        </w:rPr>
        <w:t>t2</w:t>
      </w:r>
      <w:r>
        <w:t xml:space="preserve"> ;F</w:t>
      </w:r>
      <w:r>
        <w:rPr>
          <w:szCs w:val="21"/>
          <w:vertAlign w:val="subscript"/>
        </w:rPr>
        <w:t>t3</w:t>
      </w:r>
      <w:r>
        <w:rPr>
          <w:sz w:val="15"/>
          <w:szCs w:val="15"/>
        </w:rPr>
        <w:t>·····</w:t>
      </w:r>
      <w:r>
        <w:t>F</w:t>
      </w:r>
      <w:r>
        <w:rPr>
          <w:szCs w:val="21"/>
          <w:vertAlign w:val="subscript"/>
        </w:rPr>
        <w:t>tn</w:t>
      </w:r>
      <w:r>
        <w:t xml:space="preserve"> -- 各可调因子的现行价格指数，指第17.3.3项、第17.5.2项和第17.6.2项约定的付款证书相关周期最后一天的前42天的各可调因子的价格指数；</w:t>
      </w:r>
    </w:p>
    <w:p w14:paraId="797044EF">
      <w:r>
        <w:tab/>
      </w:r>
      <w:r>
        <w:t>F</w:t>
      </w:r>
      <w:r>
        <w:rPr>
          <w:szCs w:val="21"/>
          <w:vertAlign w:val="subscript"/>
        </w:rPr>
        <w:t>o1</w:t>
      </w:r>
      <w:r>
        <w:t>; F</w:t>
      </w:r>
      <w:r>
        <w:rPr>
          <w:szCs w:val="21"/>
          <w:vertAlign w:val="subscript"/>
        </w:rPr>
        <w:t>o2</w:t>
      </w:r>
      <w:r>
        <w:rPr>
          <w:sz w:val="15"/>
          <w:szCs w:val="15"/>
        </w:rPr>
        <w:t>;</w:t>
      </w:r>
      <w:r>
        <w:t xml:space="preserve"> F</w:t>
      </w:r>
      <w:r>
        <w:rPr>
          <w:szCs w:val="21"/>
          <w:vertAlign w:val="subscript"/>
        </w:rPr>
        <w:t>o3</w:t>
      </w:r>
      <w:r>
        <w:rPr>
          <w:sz w:val="15"/>
          <w:szCs w:val="15"/>
        </w:rPr>
        <w:t>·····</w:t>
      </w:r>
      <w:r>
        <w:t>F</w:t>
      </w:r>
      <w:r>
        <w:rPr>
          <w:szCs w:val="21"/>
          <w:vertAlign w:val="subscript"/>
        </w:rPr>
        <w:t>on</w:t>
      </w:r>
      <w:r>
        <w:t xml:space="preserve"> -- 各可调因子的基本价格指数，指基准日期的各可调因子的价格指数。</w:t>
      </w:r>
    </w:p>
    <w:p w14:paraId="63116BD9">
      <w: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E635ABF">
      <w:r>
        <w:t>16.1.1.2 暂时确定调整差额</w:t>
      </w:r>
    </w:p>
    <w:p w14:paraId="349D0EFB">
      <w:r>
        <w:t>在计算调整差额时得不到现行价格指数的，可暂用上一次价格指数计算，并在以后的付款中再按实际价格指数进行调整。</w:t>
      </w:r>
    </w:p>
    <w:p w14:paraId="08547280">
      <w:r>
        <w:t>16.1.1.3 权重的调整</w:t>
      </w:r>
    </w:p>
    <w:p w14:paraId="2AB95EA2">
      <w:r>
        <w:t>按第15.1款约定的变更导致原定合同中的权重不合理时，由监理人与承包人和发包人协商后进行调整。</w:t>
      </w:r>
    </w:p>
    <w:p w14:paraId="2470474B">
      <w:r>
        <w:t>16.1.1.4 承包人工期延误后的价格调整</w:t>
      </w:r>
    </w:p>
    <w:p w14:paraId="026BC4F1">
      <w: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7B6F09F8">
      <w:pPr>
        <w:rPr>
          <w:rFonts w:eastAsia="Cambria"/>
        </w:rPr>
      </w:pPr>
      <w:r>
        <w:rPr>
          <w:rFonts w:eastAsia="Cambria"/>
        </w:rPr>
        <w:t xml:space="preserve">16.1.2 </w:t>
      </w:r>
      <w:r>
        <w:rPr>
          <w:rFonts w:hint="eastAsia" w:ascii="宋体" w:hAnsi="宋体" w:cs="宋体"/>
        </w:rPr>
        <w:t>采用造价信息调整价格差额</w:t>
      </w:r>
    </w:p>
    <w:p w14:paraId="6DDE66AE">
      <w: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8160E3C">
      <w:pPr>
        <w:pStyle w:val="512"/>
        <w:spacing w:before="120" w:after="120"/>
      </w:pPr>
      <w:bookmarkStart w:id="1159" w:name="_Toc152045717"/>
      <w:bookmarkStart w:id="1160" w:name="_Toc338944810"/>
      <w:bookmarkStart w:id="1161" w:name="_Toc142385635"/>
      <w:bookmarkStart w:id="1162" w:name="_Toc179632735"/>
      <w:bookmarkStart w:id="1163" w:name="_Toc132619097"/>
      <w:bookmarkStart w:id="1164" w:name="_Toc152042496"/>
      <w:bookmarkStart w:id="1165" w:name="_Toc144974688"/>
      <w:bookmarkStart w:id="1166" w:name="_Toc132618706"/>
      <w:bookmarkStart w:id="1167" w:name="_Toc129798348"/>
      <w:bookmarkStart w:id="1168" w:name="_Toc109914413"/>
      <w:bookmarkStart w:id="1169" w:name="_Toc342296368"/>
      <w:r>
        <w:t>16.2 法律变化引起的价格调整</w:t>
      </w:r>
      <w:bookmarkEnd w:id="1159"/>
      <w:bookmarkEnd w:id="1160"/>
      <w:bookmarkEnd w:id="1161"/>
      <w:bookmarkEnd w:id="1162"/>
      <w:bookmarkEnd w:id="1163"/>
      <w:bookmarkEnd w:id="1164"/>
      <w:bookmarkEnd w:id="1165"/>
      <w:bookmarkEnd w:id="1166"/>
      <w:bookmarkEnd w:id="1167"/>
      <w:bookmarkEnd w:id="1168"/>
      <w:bookmarkEnd w:id="1169"/>
    </w:p>
    <w:p w14:paraId="512CD25C">
      <w:pPr>
        <w:spacing w:line="400" w:lineRule="exact"/>
        <w:ind w:firstLine="420" w:firstLineChars="200"/>
      </w:pPr>
      <w:r>
        <w:t>在基准日后，因法律变化导致承包人在合同履行中所需要的工程费用发生除第16.1款约定以外的增减时，监理人应根据法律、国家或省、自治区、直辖市有关部门的规定，按第3.5款商定或确定需调整的合同价款。</w:t>
      </w:r>
    </w:p>
    <w:p w14:paraId="3F8F06F6">
      <w:pPr>
        <w:pStyle w:val="548"/>
        <w:spacing w:before="120" w:after="120"/>
        <w:rPr>
          <w:rFonts w:cs="仿宋_GB2312"/>
        </w:rPr>
      </w:pPr>
      <w:bookmarkStart w:id="1170" w:name="_Toc448758438"/>
      <w:bookmarkStart w:id="1171" w:name="_Toc442365630"/>
      <w:bookmarkStart w:id="1172" w:name="_Toc469660033"/>
      <w:bookmarkStart w:id="1173" w:name="_Toc129798349"/>
      <w:bookmarkStart w:id="1174" w:name="_Toc132618707"/>
      <w:bookmarkStart w:id="1175" w:name="_Toc109914414"/>
      <w:bookmarkStart w:id="1176" w:name="_Toc342296369"/>
      <w:bookmarkStart w:id="1177" w:name="_Toc142385636"/>
      <w:bookmarkStart w:id="1178" w:name="_Toc338944811"/>
      <w:bookmarkStart w:id="1179" w:name="_Toc132619098"/>
      <w:bookmarkStart w:id="1180" w:name="_Toc448758538"/>
      <w:r>
        <w:rPr>
          <w:rFonts w:cs="仿宋_GB2312"/>
        </w:rPr>
        <w:t>17. 计量与支付</w:t>
      </w:r>
      <w:bookmarkEnd w:id="1170"/>
      <w:bookmarkEnd w:id="1171"/>
      <w:bookmarkEnd w:id="1172"/>
      <w:bookmarkEnd w:id="1173"/>
      <w:bookmarkEnd w:id="1174"/>
      <w:bookmarkEnd w:id="1175"/>
      <w:bookmarkEnd w:id="1176"/>
      <w:bookmarkEnd w:id="1177"/>
      <w:bookmarkEnd w:id="1178"/>
      <w:bookmarkEnd w:id="1179"/>
      <w:bookmarkEnd w:id="1180"/>
    </w:p>
    <w:p w14:paraId="6D0AE8A7">
      <w:pPr>
        <w:pStyle w:val="512"/>
        <w:spacing w:before="120" w:after="120"/>
      </w:pPr>
      <w:bookmarkStart w:id="1181" w:name="_Toc342296370"/>
      <w:bookmarkStart w:id="1182" w:name="_Toc142385637"/>
      <w:bookmarkStart w:id="1183" w:name="_Toc129798350"/>
      <w:bookmarkStart w:id="1184" w:name="_Toc109914415"/>
      <w:bookmarkStart w:id="1185" w:name="_Toc132618708"/>
      <w:bookmarkStart w:id="1186" w:name="_Toc338944812"/>
      <w:bookmarkStart w:id="1187" w:name="_Toc132619099"/>
      <w:r>
        <w:t>17.1 计量</w:t>
      </w:r>
      <w:bookmarkEnd w:id="1181"/>
      <w:bookmarkEnd w:id="1182"/>
      <w:bookmarkEnd w:id="1183"/>
      <w:bookmarkEnd w:id="1184"/>
      <w:bookmarkEnd w:id="1185"/>
      <w:bookmarkEnd w:id="1186"/>
      <w:bookmarkEnd w:id="1187"/>
    </w:p>
    <w:p w14:paraId="568C2DFA">
      <w:pPr>
        <w:spacing w:line="400" w:lineRule="exact"/>
        <w:ind w:firstLine="420" w:firstLineChars="200"/>
      </w:pPr>
      <w:r>
        <w:t xml:space="preserve">17.1.1 </w:t>
      </w:r>
      <w:r>
        <w:rPr>
          <w:rFonts w:hint="eastAsia" w:ascii="宋体" w:hAnsi="宋体" w:cs="宋体"/>
        </w:rPr>
        <w:t>计量单位</w:t>
      </w:r>
    </w:p>
    <w:p w14:paraId="5ACCAB75">
      <w:pPr>
        <w:spacing w:line="400" w:lineRule="exact"/>
        <w:ind w:firstLine="420" w:firstLineChars="200"/>
      </w:pPr>
      <w:r>
        <w:t>计量采用国家法定的计量单位。</w:t>
      </w:r>
    </w:p>
    <w:p w14:paraId="78DA86F6">
      <w:pPr>
        <w:spacing w:line="400" w:lineRule="exact"/>
        <w:ind w:firstLine="420" w:firstLineChars="200"/>
      </w:pPr>
      <w:r>
        <w:t xml:space="preserve">17.1.2 </w:t>
      </w:r>
      <w:r>
        <w:rPr>
          <w:rFonts w:hint="eastAsia" w:ascii="宋体" w:hAnsi="宋体" w:cs="宋体"/>
        </w:rPr>
        <w:t>计量方法</w:t>
      </w:r>
    </w:p>
    <w:p w14:paraId="727874F0">
      <w:pPr>
        <w:spacing w:line="400" w:lineRule="exact"/>
        <w:ind w:firstLine="420" w:firstLineChars="200"/>
      </w:pPr>
      <w:r>
        <w:t>工程量清单中的工程量计算规则应按有关国家标准、行业标准的规定，并在合同中约定执行。</w:t>
      </w:r>
    </w:p>
    <w:p w14:paraId="122B18D8">
      <w:pPr>
        <w:spacing w:line="400" w:lineRule="exact"/>
        <w:ind w:firstLine="420" w:firstLineChars="200"/>
      </w:pPr>
      <w:r>
        <w:t xml:space="preserve">17.1.3 </w:t>
      </w:r>
      <w:r>
        <w:rPr>
          <w:rFonts w:hint="eastAsia" w:ascii="宋体" w:hAnsi="宋体" w:cs="宋体"/>
        </w:rPr>
        <w:t>计量周期</w:t>
      </w:r>
    </w:p>
    <w:p w14:paraId="1A64E179">
      <w:pPr>
        <w:spacing w:line="400" w:lineRule="exact"/>
        <w:ind w:firstLine="420" w:firstLineChars="200"/>
      </w:pPr>
      <w:r>
        <w:t>除专用合同条款另有约定外，单价子目已完成工程量按月计量，总价子目的计量周期按批准的支付分解报告确定。</w:t>
      </w:r>
    </w:p>
    <w:p w14:paraId="2B2AB1FB">
      <w:pPr>
        <w:spacing w:line="400" w:lineRule="exact"/>
        <w:ind w:firstLine="420" w:firstLineChars="200"/>
      </w:pPr>
      <w:r>
        <w:t>17.1.4</w:t>
      </w:r>
      <w:r>
        <w:rPr>
          <w:rFonts w:eastAsia="Cambria"/>
        </w:rPr>
        <w:t xml:space="preserve"> </w:t>
      </w:r>
      <w:r>
        <w:rPr>
          <w:rFonts w:hint="eastAsia" w:ascii="宋体" w:hAnsi="宋体" w:cs="宋体"/>
        </w:rPr>
        <w:t>单价子目的计量</w:t>
      </w:r>
    </w:p>
    <w:p w14:paraId="1FFAA78D">
      <w:pPr>
        <w:spacing w:line="400" w:lineRule="exact"/>
        <w:ind w:firstLine="718" w:firstLineChars="342"/>
      </w:pPr>
      <w:r>
        <w:t>（1）已标价工程量清单中的单价子目工程量为估算工程量。结算工程量是承包人实际完成的，并按合同约定的计量方法进行计量的工程量。</w:t>
      </w:r>
    </w:p>
    <w:p w14:paraId="6DFA9CFE">
      <w:pPr>
        <w:spacing w:line="400" w:lineRule="exact"/>
        <w:ind w:firstLine="718" w:firstLineChars="342"/>
      </w:pPr>
      <w:r>
        <w:t>（2）承包人对已完成的工程进行计量，向监理人提交进度付款申请单、已完成工程量报表和有关计量资料。</w:t>
      </w:r>
    </w:p>
    <w:p w14:paraId="4265B522">
      <w:pPr>
        <w:spacing w:line="400" w:lineRule="exact"/>
        <w:ind w:firstLine="718" w:firstLineChars="342"/>
      </w:pPr>
      <w: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52E2B2BD">
      <w:pPr>
        <w:spacing w:line="400" w:lineRule="exact"/>
        <w:ind w:firstLine="718" w:firstLineChars="342"/>
      </w:pPr>
      <w:r>
        <w:t>（4）监理人认为有必要时，可通知承包人共同进行联合测量、计量，承包人应遵照执行。</w:t>
      </w:r>
    </w:p>
    <w:p w14:paraId="5DEFF13F">
      <w:pPr>
        <w:spacing w:line="400" w:lineRule="exact"/>
        <w:ind w:firstLine="718" w:firstLineChars="342"/>
      </w:pPr>
      <w: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5906F000">
      <w:pPr>
        <w:spacing w:line="400" w:lineRule="exact"/>
        <w:ind w:firstLine="718" w:firstLineChars="342"/>
      </w:pPr>
      <w:r>
        <w:t>（6）监理人应在收到承包人提交的工程量报表后的7天内进行复核，监理人未在约定时间内复核的，承包人提交的工程量报表中的工程量视为承包人实际完成的工程量，据此计算工程价款。</w:t>
      </w:r>
    </w:p>
    <w:p w14:paraId="7A322256">
      <w:pPr>
        <w:spacing w:line="400" w:lineRule="exact"/>
        <w:ind w:firstLine="420" w:firstLineChars="200"/>
        <w:rPr>
          <w:rFonts w:eastAsia="Cambria"/>
        </w:rPr>
      </w:pPr>
      <w:r>
        <w:t xml:space="preserve">17.1.5 </w:t>
      </w:r>
      <w:r>
        <w:rPr>
          <w:rFonts w:hint="eastAsia" w:ascii="宋体" w:hAnsi="宋体" w:cs="宋体"/>
        </w:rPr>
        <w:t>总价子目的计量</w:t>
      </w:r>
    </w:p>
    <w:p w14:paraId="705C447C">
      <w:pPr>
        <w:spacing w:line="400" w:lineRule="exact"/>
        <w:ind w:firstLine="630" w:firstLineChars="300"/>
      </w:pPr>
      <w:r>
        <w:t>除专用合同条款另有约定外，总价子目的分解和计量按照下述约定进行。</w:t>
      </w:r>
    </w:p>
    <w:p w14:paraId="1EBC4402">
      <w:pPr>
        <w:spacing w:line="400" w:lineRule="exact"/>
        <w:ind w:firstLine="630" w:firstLineChars="300"/>
      </w:pPr>
      <w:r>
        <w:t>（1）总价子目的计量和支付应以总价为基础，不因第16.1款中的因素而进行调整。承包人实际完成的工程量，是进行工程目标管理和控制进度支付的依据。</w:t>
      </w:r>
    </w:p>
    <w:p w14:paraId="3789B70D">
      <w:pPr>
        <w:spacing w:line="400" w:lineRule="exact"/>
        <w:ind w:firstLine="630" w:firstLineChars="300"/>
      </w:pPr>
      <w: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39403BA6">
      <w:pPr>
        <w:spacing w:line="400" w:lineRule="exact"/>
        <w:ind w:firstLine="630" w:firstLineChars="300"/>
      </w:pPr>
      <w:r>
        <w:t>（3）监理人对承包人提交的上述资料进行复核，以确定分阶段实际完成的工程量和工程形象目标。对其有异议的，可要求承包人按第8.2款约定进行共同复核和抽样复测。</w:t>
      </w:r>
    </w:p>
    <w:p w14:paraId="703D258B">
      <w:pPr>
        <w:spacing w:line="400" w:lineRule="exact"/>
        <w:ind w:firstLine="630" w:firstLineChars="300"/>
      </w:pPr>
      <w:r>
        <w:t xml:space="preserve">（4）除按照第15条约定的变更外，总价子目的工程量是承包人用于结算的最终工程量。 </w:t>
      </w:r>
    </w:p>
    <w:p w14:paraId="74D64851">
      <w:pPr>
        <w:pStyle w:val="512"/>
        <w:spacing w:before="120" w:after="120"/>
      </w:pPr>
      <w:bookmarkStart w:id="1188" w:name="_Toc338944813"/>
      <w:bookmarkStart w:id="1189" w:name="_Toc129798351"/>
      <w:bookmarkStart w:id="1190" w:name="_Toc132618709"/>
      <w:bookmarkStart w:id="1191" w:name="_Toc109914416"/>
      <w:bookmarkStart w:id="1192" w:name="_Toc132619100"/>
      <w:bookmarkStart w:id="1193" w:name="_Toc142385638"/>
      <w:bookmarkStart w:id="1194" w:name="_Toc342296371"/>
      <w:r>
        <w:t>17.2 预付款</w:t>
      </w:r>
      <w:bookmarkEnd w:id="1188"/>
      <w:bookmarkEnd w:id="1189"/>
      <w:bookmarkEnd w:id="1190"/>
      <w:bookmarkEnd w:id="1191"/>
      <w:bookmarkEnd w:id="1192"/>
      <w:bookmarkEnd w:id="1193"/>
      <w:bookmarkEnd w:id="1194"/>
    </w:p>
    <w:p w14:paraId="5BA15152">
      <w:pPr>
        <w:spacing w:line="400" w:lineRule="exact"/>
        <w:ind w:firstLine="420" w:firstLineChars="200"/>
      </w:pPr>
      <w:r>
        <w:t xml:space="preserve">17.2.1 </w:t>
      </w:r>
      <w:r>
        <w:rPr>
          <w:rFonts w:hint="eastAsia" w:ascii="宋体" w:hAnsi="宋体" w:cs="宋体"/>
        </w:rPr>
        <w:t>预付款</w:t>
      </w:r>
    </w:p>
    <w:p w14:paraId="56B9A768">
      <w:pPr>
        <w:spacing w:line="400" w:lineRule="exact"/>
        <w:ind w:firstLine="420" w:firstLineChars="200"/>
      </w:pPr>
      <w:r>
        <w:t>预付款用于承包人为合同工程施工购置材料、工程设备、施工设备、修建临时设施以及组织施工队伍进场等。预付款的额度和预付办法在专用合同条款中约定。预付款必须专用于合同工程。</w:t>
      </w:r>
    </w:p>
    <w:p w14:paraId="2B581AD9">
      <w:pPr>
        <w:spacing w:line="400" w:lineRule="exact"/>
        <w:ind w:firstLine="420" w:firstLineChars="200"/>
      </w:pPr>
      <w:r>
        <w:t xml:space="preserve">17.2.2 </w:t>
      </w:r>
      <w:r>
        <w:rPr>
          <w:rFonts w:hint="eastAsia" w:ascii="宋体" w:hAnsi="宋体" w:cs="宋体"/>
        </w:rPr>
        <w:t>预付款保函</w:t>
      </w:r>
    </w:p>
    <w:p w14:paraId="6E0AB70B">
      <w:pPr>
        <w:spacing w:line="400" w:lineRule="exact"/>
        <w:ind w:firstLine="420" w:firstLineChars="200"/>
      </w:pPr>
      <w:r>
        <w:t>除专用合同条款另有约定外，承包人应在收到预付款的同时向发包人提交预付款保函，预付款保函的担保金额应与预付款金额相同。保函的担保金额可根据预付款扣回的金额相应递减。</w:t>
      </w:r>
    </w:p>
    <w:p w14:paraId="2C1D1463">
      <w:pPr>
        <w:spacing w:line="400" w:lineRule="exact"/>
        <w:ind w:firstLine="420" w:firstLineChars="200"/>
      </w:pPr>
      <w:r>
        <w:t xml:space="preserve">17.2.3 </w:t>
      </w:r>
      <w:r>
        <w:rPr>
          <w:rFonts w:hint="eastAsia" w:ascii="宋体" w:hAnsi="宋体" w:cs="宋体"/>
        </w:rPr>
        <w:t>预付款的扣回与还清</w:t>
      </w:r>
    </w:p>
    <w:p w14:paraId="72A3E950">
      <w:pPr>
        <w:spacing w:line="400" w:lineRule="exact"/>
        <w:ind w:firstLine="420" w:firstLineChars="200"/>
      </w:pPr>
      <w:r>
        <w:t>预付款在进度付款中扣回，扣回办法在专用合同条款中约定。在颁发工程接收证书前，由于不可抗力或其他原因解除合同时，预付款尚未扣清的，尚未扣清的预付款余额应作为承包人的到期应付款。</w:t>
      </w:r>
    </w:p>
    <w:p w14:paraId="153A899E">
      <w:pPr>
        <w:pStyle w:val="512"/>
        <w:spacing w:before="120" w:after="120"/>
      </w:pPr>
      <w:bookmarkStart w:id="1195" w:name="_Toc109914417"/>
      <w:bookmarkStart w:id="1196" w:name="_Toc342296372"/>
      <w:bookmarkStart w:id="1197" w:name="_Toc338944814"/>
      <w:bookmarkStart w:id="1198" w:name="_Toc129798352"/>
      <w:bookmarkStart w:id="1199" w:name="_Toc132618710"/>
      <w:bookmarkStart w:id="1200" w:name="_Toc142385639"/>
      <w:bookmarkStart w:id="1201" w:name="_Toc132619101"/>
      <w:r>
        <w:t>17.3 工程进度付款</w:t>
      </w:r>
      <w:bookmarkEnd w:id="1195"/>
      <w:bookmarkEnd w:id="1196"/>
      <w:bookmarkEnd w:id="1197"/>
      <w:bookmarkEnd w:id="1198"/>
      <w:bookmarkEnd w:id="1199"/>
      <w:bookmarkEnd w:id="1200"/>
      <w:bookmarkEnd w:id="1201"/>
    </w:p>
    <w:p w14:paraId="01BE2714">
      <w:pPr>
        <w:spacing w:line="400" w:lineRule="exact"/>
        <w:ind w:firstLine="420" w:firstLineChars="200"/>
      </w:pPr>
      <w:r>
        <w:t xml:space="preserve">17.3.1 </w:t>
      </w:r>
      <w:r>
        <w:rPr>
          <w:rFonts w:hint="eastAsia" w:ascii="宋体" w:hAnsi="宋体" w:cs="宋体"/>
        </w:rPr>
        <w:t>付款周期</w:t>
      </w:r>
    </w:p>
    <w:p w14:paraId="76EDD1F9">
      <w:pPr>
        <w:spacing w:line="400" w:lineRule="exact"/>
        <w:ind w:firstLine="420" w:firstLineChars="200"/>
      </w:pPr>
      <w:r>
        <w:t>付款周期同计量周期。</w:t>
      </w:r>
    </w:p>
    <w:p w14:paraId="1C9D4801">
      <w:pPr>
        <w:spacing w:line="400" w:lineRule="exact"/>
        <w:ind w:firstLine="420" w:firstLineChars="200"/>
      </w:pPr>
      <w:r>
        <w:t xml:space="preserve">17.3.2 </w:t>
      </w:r>
      <w:r>
        <w:rPr>
          <w:rFonts w:hint="eastAsia" w:ascii="宋体" w:hAnsi="宋体" w:cs="宋体"/>
        </w:rPr>
        <w:t>进度付款申请单</w:t>
      </w:r>
    </w:p>
    <w:p w14:paraId="58E01339">
      <w:pPr>
        <w:spacing w:line="400" w:lineRule="exact"/>
        <w:ind w:firstLine="420" w:firstLineChars="200"/>
        <w:rPr>
          <w:dstrike/>
          <w:szCs w:val="21"/>
        </w:rPr>
      </w:pPr>
      <w:r>
        <w:t>承包人应在每个付款周期末，按监理人批准的格式和专用合同条款约定的份数，向监理人提交进度付款申请单，并附相应的支持性证明文件。除专用合同条款另有约定外，进度付款申请单应包括下列内容：</w:t>
      </w:r>
    </w:p>
    <w:p w14:paraId="274E48C7">
      <w:pPr>
        <w:spacing w:line="400" w:lineRule="exact"/>
        <w:ind w:firstLine="420" w:firstLineChars="200"/>
      </w:pPr>
      <w:r>
        <w:t>（1）截至本次付款周期末已实施工程的价款；</w:t>
      </w:r>
    </w:p>
    <w:p w14:paraId="014AB052">
      <w:pPr>
        <w:spacing w:line="400" w:lineRule="exact"/>
        <w:ind w:firstLine="420" w:firstLineChars="200"/>
      </w:pPr>
      <w:r>
        <w:t>（2）根据第15条应增加和扣减的变更金额；</w:t>
      </w:r>
    </w:p>
    <w:p w14:paraId="295AEBD8">
      <w:pPr>
        <w:spacing w:line="400" w:lineRule="exact"/>
        <w:ind w:firstLine="420" w:firstLineChars="200"/>
      </w:pPr>
      <w:r>
        <w:t>（3）根据第23条应增加和扣减的索赔金额；</w:t>
      </w:r>
    </w:p>
    <w:p w14:paraId="20167DD6">
      <w:pPr>
        <w:spacing w:line="400" w:lineRule="exact"/>
        <w:ind w:firstLine="420" w:firstLineChars="200"/>
      </w:pPr>
      <w:r>
        <w:t>（4）根据第17.2款约定应支付的预付款和扣减的返还预付款；</w:t>
      </w:r>
    </w:p>
    <w:p w14:paraId="19E63AD9">
      <w:pPr>
        <w:spacing w:line="400" w:lineRule="exact"/>
        <w:ind w:firstLine="420" w:firstLineChars="200"/>
      </w:pPr>
      <w:r>
        <w:t>（5）根据第17.4.1项约定应扣减的质量保证金；</w:t>
      </w:r>
    </w:p>
    <w:p w14:paraId="306C463A">
      <w:pPr>
        <w:spacing w:line="400" w:lineRule="exact"/>
        <w:ind w:firstLine="420" w:firstLineChars="200"/>
      </w:pPr>
      <w:r>
        <w:t>（6）根据合同应增加和扣减的其他金额。</w:t>
      </w:r>
    </w:p>
    <w:p w14:paraId="44CEE16B">
      <w:pPr>
        <w:spacing w:line="400" w:lineRule="exact"/>
        <w:ind w:firstLine="420" w:firstLineChars="200"/>
      </w:pPr>
      <w:r>
        <w:t xml:space="preserve">17.3.3 </w:t>
      </w:r>
      <w:r>
        <w:rPr>
          <w:rFonts w:hint="eastAsia" w:ascii="宋体" w:hAnsi="宋体" w:cs="宋体"/>
        </w:rPr>
        <w:t>进度付款证书和支付时间</w:t>
      </w:r>
    </w:p>
    <w:p w14:paraId="4FAAACDC">
      <w:pPr>
        <w:spacing w:line="400" w:lineRule="exact"/>
        <w:ind w:firstLine="630" w:firstLineChars="300"/>
      </w:pPr>
      <w: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61B65421">
      <w:pPr>
        <w:spacing w:line="400" w:lineRule="exact"/>
        <w:ind w:firstLine="718" w:firstLineChars="342"/>
      </w:pPr>
      <w:r>
        <w:t>（2）发包人应在监理人收到进度付款申请单后的28天内，将进度应付款支付给承包人。发包人不按期支付的，按专用合同条款的约定支付逾期付款违约金。</w:t>
      </w:r>
    </w:p>
    <w:p w14:paraId="2AC65885">
      <w:pPr>
        <w:spacing w:line="400" w:lineRule="exact"/>
        <w:ind w:firstLine="718" w:firstLineChars="342"/>
      </w:pPr>
      <w:r>
        <w:t>（3）监理人出具进度付款证书，不应视为监理人已同意、批准或接受了承包人完成的该部分工作。</w:t>
      </w:r>
    </w:p>
    <w:p w14:paraId="163EBAB0">
      <w:pPr>
        <w:spacing w:line="400" w:lineRule="exact"/>
        <w:ind w:firstLine="718" w:firstLineChars="342"/>
      </w:pPr>
      <w:r>
        <w:t>（4）进度付款涉及政府投资资金的，按照国库集中支付等国家相关规定和专用合同条款的约定办理。</w:t>
      </w:r>
    </w:p>
    <w:p w14:paraId="7F8CB9A4">
      <w:pPr>
        <w:spacing w:line="400" w:lineRule="exact"/>
        <w:ind w:firstLine="420" w:firstLineChars="200"/>
      </w:pPr>
      <w:r>
        <w:t xml:space="preserve">17.3.4 </w:t>
      </w:r>
      <w:r>
        <w:rPr>
          <w:rFonts w:hint="eastAsia" w:ascii="宋体" w:hAnsi="宋体" w:cs="宋体"/>
        </w:rPr>
        <w:t>工程进度付款的修正</w:t>
      </w:r>
    </w:p>
    <w:p w14:paraId="54BAC243">
      <w:pPr>
        <w:spacing w:line="400" w:lineRule="exact"/>
        <w:ind w:firstLine="420" w:firstLineChars="200"/>
      </w:pPr>
      <w:r>
        <w:t>在对以往历次已签发的进度付款证书进行汇总和复核中发现错、漏或重复的，监理人有权予以修正，承包人也有权提出修正申请。经双方复核同意的修正，应在本次进度付款中支付或扣除。</w:t>
      </w:r>
    </w:p>
    <w:p w14:paraId="1BBB5D95">
      <w:pPr>
        <w:pStyle w:val="512"/>
        <w:spacing w:before="120" w:after="120"/>
      </w:pPr>
      <w:bookmarkStart w:id="1202" w:name="_Toc129798353"/>
      <w:bookmarkStart w:id="1203" w:name="_Toc342296373"/>
      <w:bookmarkStart w:id="1204" w:name="_Toc338944815"/>
      <w:bookmarkStart w:id="1205" w:name="_Toc109914418"/>
      <w:bookmarkStart w:id="1206" w:name="_Toc132618711"/>
      <w:bookmarkStart w:id="1207" w:name="_Toc132619102"/>
      <w:bookmarkStart w:id="1208" w:name="_Toc142385640"/>
      <w:r>
        <w:t>17.4 质量保证金</w:t>
      </w:r>
      <w:bookmarkEnd w:id="1202"/>
      <w:bookmarkEnd w:id="1203"/>
      <w:bookmarkEnd w:id="1204"/>
      <w:bookmarkEnd w:id="1205"/>
      <w:bookmarkEnd w:id="1206"/>
      <w:bookmarkEnd w:id="1207"/>
      <w:bookmarkEnd w:id="1208"/>
    </w:p>
    <w:p w14:paraId="7E01DD6A">
      <w:pPr>
        <w:spacing w:line="400" w:lineRule="exact"/>
        <w:ind w:firstLine="420" w:firstLineChars="200"/>
      </w:pPr>
      <w: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289825DE">
      <w:pPr>
        <w:spacing w:line="400" w:lineRule="exact"/>
        <w:ind w:firstLine="420" w:firstLineChars="200"/>
      </w:pPr>
      <w:r>
        <w:t>17.4.2 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14:paraId="6FF180F3">
      <w:pPr>
        <w:spacing w:line="400" w:lineRule="exact"/>
        <w:ind w:firstLine="420" w:firstLineChars="200"/>
      </w:pPr>
      <w:r>
        <w:t xml:space="preserve">17.4.3 在第1.1.4.5目约定的缺陷责任期满时，承包人没有完成缺陷责任的，发包人有权扣留与未履行责任剩余工作所需金额相应的质量保证金余额，并有权根据第19.3款约定要求延长缺陷责任期，直至完成剩余工作为止。 </w:t>
      </w:r>
    </w:p>
    <w:p w14:paraId="1EECD92C">
      <w:pPr>
        <w:pStyle w:val="512"/>
        <w:spacing w:before="120" w:after="120"/>
      </w:pPr>
      <w:bookmarkStart w:id="1209" w:name="_Toc338944816"/>
      <w:bookmarkStart w:id="1210" w:name="_Toc342296374"/>
      <w:bookmarkStart w:id="1211" w:name="_Toc132618712"/>
      <w:bookmarkStart w:id="1212" w:name="_Toc142385641"/>
      <w:bookmarkStart w:id="1213" w:name="_Toc129798354"/>
      <w:bookmarkStart w:id="1214" w:name="_Toc132619103"/>
      <w:bookmarkStart w:id="1215" w:name="_Toc109914419"/>
      <w:r>
        <w:t>17.5 竣工结算</w:t>
      </w:r>
      <w:bookmarkEnd w:id="1209"/>
      <w:bookmarkEnd w:id="1210"/>
      <w:bookmarkEnd w:id="1211"/>
      <w:bookmarkEnd w:id="1212"/>
      <w:bookmarkEnd w:id="1213"/>
      <w:bookmarkEnd w:id="1214"/>
      <w:bookmarkEnd w:id="1215"/>
    </w:p>
    <w:p w14:paraId="7F54403A">
      <w:pPr>
        <w:spacing w:line="400" w:lineRule="exact"/>
        <w:ind w:firstLine="420" w:firstLineChars="200"/>
      </w:pPr>
      <w:r>
        <w:t xml:space="preserve">17.5.1 </w:t>
      </w:r>
      <w:r>
        <w:rPr>
          <w:rFonts w:hint="eastAsia" w:ascii="宋体" w:hAnsi="宋体" w:cs="宋体"/>
        </w:rPr>
        <w:t>竣工付款申请单</w:t>
      </w:r>
    </w:p>
    <w:p w14:paraId="5E30E9B4">
      <w:pPr>
        <w:spacing w:line="400" w:lineRule="exact"/>
        <w:ind w:firstLine="718" w:firstLineChars="342"/>
      </w:pPr>
      <w: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15828951">
      <w:pPr>
        <w:spacing w:line="400" w:lineRule="exact"/>
        <w:ind w:firstLine="718" w:firstLineChars="342"/>
      </w:pPr>
      <w:r>
        <w:t>（2）监理人对竣工付款申请单有异议的，有权要求承包人进行修正和提供补充资料。经监理人和承包人协商后，由承包人向监理人提交修正后的竣工付款申请单。</w:t>
      </w:r>
    </w:p>
    <w:p w14:paraId="4BDAA39E">
      <w:pPr>
        <w:spacing w:line="400" w:lineRule="exact"/>
        <w:ind w:firstLine="420" w:firstLineChars="200"/>
      </w:pPr>
      <w:r>
        <w:t xml:space="preserve">17.5.2 </w:t>
      </w:r>
      <w:r>
        <w:rPr>
          <w:rFonts w:hint="eastAsia" w:ascii="宋体" w:hAnsi="宋体" w:cs="宋体"/>
        </w:rPr>
        <w:t>竣工付款证书及支付时间</w:t>
      </w:r>
    </w:p>
    <w:p w14:paraId="1DC3D146">
      <w:pPr>
        <w:spacing w:line="400" w:lineRule="exact"/>
        <w:ind w:firstLine="718" w:firstLineChars="342"/>
      </w:pPr>
      <w: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7C401AFB">
      <w:pPr>
        <w:spacing w:line="400" w:lineRule="exact"/>
        <w:ind w:firstLine="718" w:firstLineChars="342"/>
      </w:pPr>
      <w:r>
        <w:t>（2）发包人应在监理人出具竣工付款证书后的14天内，将应支付款支付给承包人。发包人不按期支付的，按第17.3.3（2）目的约定，将逾期付款违约金支付给承包人。</w:t>
      </w:r>
    </w:p>
    <w:p w14:paraId="425803FF">
      <w:pPr>
        <w:spacing w:line="400" w:lineRule="exact"/>
        <w:ind w:firstLine="718" w:firstLineChars="342"/>
      </w:pPr>
      <w:r>
        <w:t>（3）承包人对发包人签认的竣工付款证书有异议的，发包人可出具竣工付款申请单中承包人已同意部分的临时付款证书。存在争议的部分，按第24条的约定办理。</w:t>
      </w:r>
    </w:p>
    <w:p w14:paraId="459E2E5E">
      <w:pPr>
        <w:spacing w:line="400" w:lineRule="exact"/>
        <w:ind w:firstLine="630" w:firstLineChars="300"/>
      </w:pPr>
      <w:r>
        <w:t>（4）竣工付款涉及政府投资资金的，按第17.3.3（４）目的约定办理。</w:t>
      </w:r>
    </w:p>
    <w:p w14:paraId="6065B918">
      <w:pPr>
        <w:pStyle w:val="512"/>
        <w:spacing w:before="120" w:after="120"/>
      </w:pPr>
      <w:bookmarkStart w:id="1216" w:name="_Toc342296375"/>
      <w:bookmarkStart w:id="1217" w:name="_Toc142385642"/>
      <w:bookmarkStart w:id="1218" w:name="_Toc132618713"/>
      <w:bookmarkStart w:id="1219" w:name="_Toc132619104"/>
      <w:bookmarkStart w:id="1220" w:name="_Toc109914420"/>
      <w:bookmarkStart w:id="1221" w:name="_Toc338944817"/>
      <w:bookmarkStart w:id="1222" w:name="_Toc129798355"/>
      <w:r>
        <w:t>17.6 最终结清</w:t>
      </w:r>
      <w:bookmarkEnd w:id="1216"/>
      <w:bookmarkEnd w:id="1217"/>
      <w:bookmarkEnd w:id="1218"/>
      <w:bookmarkEnd w:id="1219"/>
      <w:bookmarkEnd w:id="1220"/>
      <w:bookmarkEnd w:id="1221"/>
      <w:bookmarkEnd w:id="1222"/>
    </w:p>
    <w:p w14:paraId="397AAB9B">
      <w:pPr>
        <w:spacing w:line="400" w:lineRule="exact"/>
        <w:ind w:firstLine="420" w:firstLineChars="200"/>
      </w:pPr>
      <w:r>
        <w:t xml:space="preserve">17.6.1 </w:t>
      </w:r>
      <w:r>
        <w:rPr>
          <w:rFonts w:hint="eastAsia" w:ascii="宋体" w:hAnsi="宋体" w:cs="宋体"/>
        </w:rPr>
        <w:t>最终结清申请单</w:t>
      </w:r>
    </w:p>
    <w:p w14:paraId="321623A3">
      <w:pPr>
        <w:spacing w:line="400" w:lineRule="exact"/>
        <w:ind w:firstLine="718" w:firstLineChars="342"/>
      </w:pPr>
      <w:r>
        <w:t>（1）缺陷责任期终止证书签发后，承包人可按专用合同条款约定的份数和期限向监理人提交最终结清申请单，并提供相关证明材料。</w:t>
      </w:r>
    </w:p>
    <w:p w14:paraId="16620540">
      <w:pPr>
        <w:spacing w:line="400" w:lineRule="exact"/>
        <w:ind w:firstLine="718" w:firstLineChars="342"/>
      </w:pPr>
      <w:r>
        <w:t>（2）发包人对最终结清申请单内容有异议的，有权要求承包人进行修正和提供补充资料，由承包人向监理人提交修正后的最终结清申请单。</w:t>
      </w:r>
    </w:p>
    <w:p w14:paraId="49702458">
      <w:pPr>
        <w:spacing w:line="400" w:lineRule="exact"/>
        <w:ind w:firstLine="420" w:firstLineChars="200"/>
      </w:pPr>
      <w:r>
        <w:t xml:space="preserve">17.6.2 </w:t>
      </w:r>
      <w:r>
        <w:rPr>
          <w:rFonts w:hint="eastAsia" w:ascii="宋体" w:hAnsi="宋体" w:cs="宋体"/>
        </w:rPr>
        <w:t>最终结清证书和支付时间</w:t>
      </w:r>
    </w:p>
    <w:p w14:paraId="6E2F115E">
      <w:pPr>
        <w:spacing w:line="400" w:lineRule="exact"/>
        <w:ind w:firstLine="718" w:firstLineChars="342"/>
      </w:pPr>
      <w: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1EBA3557">
      <w:pPr>
        <w:spacing w:line="400" w:lineRule="exact"/>
        <w:ind w:firstLine="718" w:firstLineChars="342"/>
      </w:pPr>
      <w:r>
        <w:t>（2）发包人应在监理人出具最终结清证书后的14天内，将应支付款支付给承包人。发包人不按期支付的，按第17.3.3（2）目的约定，将逾期付款违约金支付给承包人。</w:t>
      </w:r>
    </w:p>
    <w:p w14:paraId="689D1D8D">
      <w:pPr>
        <w:spacing w:line="400" w:lineRule="exact"/>
        <w:ind w:firstLine="718" w:firstLineChars="342"/>
      </w:pPr>
      <w:r>
        <w:t>（3）承包人对发包人签认的最终结清证书有异议的，按第24条的约定办理。</w:t>
      </w:r>
    </w:p>
    <w:p w14:paraId="6E8386FB">
      <w:pPr>
        <w:spacing w:line="400" w:lineRule="exact"/>
        <w:ind w:firstLine="718" w:firstLineChars="342"/>
      </w:pPr>
      <w:r>
        <w:t>（4）最终结清付款涉及政府投资资金的，按第17.3.3（４）目的约定办理。</w:t>
      </w:r>
    </w:p>
    <w:p w14:paraId="46DE4671">
      <w:pPr>
        <w:pStyle w:val="548"/>
        <w:spacing w:before="120" w:after="120"/>
        <w:rPr>
          <w:rFonts w:cs="仿宋_GB2312"/>
        </w:rPr>
      </w:pPr>
      <w:bookmarkStart w:id="1223" w:name="_Toc338944818"/>
      <w:bookmarkStart w:id="1224" w:name="_Toc342296376"/>
      <w:bookmarkStart w:id="1225" w:name="_Toc109914421"/>
      <w:bookmarkStart w:id="1226" w:name="_Toc469660034"/>
      <w:bookmarkStart w:id="1227" w:name="_Toc129798356"/>
      <w:bookmarkStart w:id="1228" w:name="_Toc442365631"/>
      <w:bookmarkStart w:id="1229" w:name="_Toc142385643"/>
      <w:bookmarkStart w:id="1230" w:name="_Toc448758439"/>
      <w:bookmarkStart w:id="1231" w:name="_Toc448758539"/>
      <w:bookmarkStart w:id="1232" w:name="_Toc132618714"/>
      <w:bookmarkStart w:id="1233" w:name="_Toc132619105"/>
      <w:r>
        <w:rPr>
          <w:rFonts w:cs="仿宋_GB2312"/>
        </w:rPr>
        <w:t>18. 竣工验收</w:t>
      </w:r>
      <w:bookmarkEnd w:id="1223"/>
      <w:bookmarkEnd w:id="1224"/>
      <w:bookmarkEnd w:id="1225"/>
      <w:bookmarkEnd w:id="1226"/>
      <w:bookmarkEnd w:id="1227"/>
      <w:bookmarkEnd w:id="1228"/>
      <w:bookmarkEnd w:id="1229"/>
      <w:bookmarkEnd w:id="1230"/>
      <w:bookmarkEnd w:id="1231"/>
      <w:bookmarkEnd w:id="1232"/>
      <w:bookmarkEnd w:id="1233"/>
    </w:p>
    <w:p w14:paraId="58412F3F">
      <w:pPr>
        <w:pStyle w:val="512"/>
        <w:spacing w:before="120" w:after="120"/>
      </w:pPr>
      <w:bookmarkStart w:id="1234" w:name="_Toc109914422"/>
      <w:bookmarkStart w:id="1235" w:name="_Toc152045726"/>
      <w:bookmarkStart w:id="1236" w:name="_Toc342296377"/>
      <w:bookmarkStart w:id="1237" w:name="_Toc144974697"/>
      <w:bookmarkStart w:id="1238" w:name="_Toc132619106"/>
      <w:bookmarkStart w:id="1239" w:name="_Toc129798357"/>
      <w:bookmarkStart w:id="1240" w:name="_Toc152042505"/>
      <w:bookmarkStart w:id="1241" w:name="_Toc338944819"/>
      <w:bookmarkStart w:id="1242" w:name="_Toc142385644"/>
      <w:bookmarkStart w:id="1243" w:name="_Toc179632744"/>
      <w:bookmarkStart w:id="1244" w:name="_Toc132618715"/>
      <w:r>
        <w:t>18.1 竣工验收的含义</w:t>
      </w:r>
      <w:bookmarkEnd w:id="1234"/>
      <w:bookmarkEnd w:id="1235"/>
      <w:bookmarkEnd w:id="1236"/>
      <w:bookmarkEnd w:id="1237"/>
      <w:bookmarkEnd w:id="1238"/>
      <w:bookmarkEnd w:id="1239"/>
      <w:bookmarkEnd w:id="1240"/>
      <w:bookmarkEnd w:id="1241"/>
      <w:bookmarkEnd w:id="1242"/>
      <w:bookmarkEnd w:id="1243"/>
      <w:bookmarkEnd w:id="1244"/>
    </w:p>
    <w:p w14:paraId="57BE67B1">
      <w:pPr>
        <w:spacing w:line="400" w:lineRule="exact"/>
        <w:ind w:firstLine="420" w:firstLineChars="200"/>
      </w:pPr>
      <w:r>
        <w:t>18.1.1 竣工验收指承包人完成了全部合同工作后，发包人按合同要求进行的验收。</w:t>
      </w:r>
    </w:p>
    <w:p w14:paraId="3E9CC90B">
      <w:pPr>
        <w:spacing w:line="400" w:lineRule="exact"/>
        <w:ind w:firstLine="420" w:firstLineChars="200"/>
      </w:pPr>
      <w:r>
        <w:t>18.1.2 国家验收是政府有关部门根据法律、规范、规程和政策要求，针对发包人全面组织实施的整个工程正式交付投运前的验收。</w:t>
      </w:r>
    </w:p>
    <w:p w14:paraId="1FD97960">
      <w:pPr>
        <w:spacing w:line="400" w:lineRule="exact"/>
        <w:ind w:firstLine="420" w:firstLineChars="200"/>
      </w:pPr>
      <w:r>
        <w:t xml:space="preserve">18.1.3 需要进行国家验收的，竣工验收是国家验收的一部分。竣工验收所采用的各项验收和评定标准应符合国家验收标准。发包人和承包人为竣工验收提供的各项竣工验收资料应符合国家验收的要求。 </w:t>
      </w:r>
    </w:p>
    <w:p w14:paraId="75120B33">
      <w:pPr>
        <w:pStyle w:val="512"/>
        <w:spacing w:before="120" w:after="120"/>
      </w:pPr>
      <w:bookmarkStart w:id="1245" w:name="_Toc132618716"/>
      <w:bookmarkStart w:id="1246" w:name="_Toc338944820"/>
      <w:bookmarkStart w:id="1247" w:name="_Toc132619107"/>
      <w:bookmarkStart w:id="1248" w:name="_Toc342296378"/>
      <w:bookmarkStart w:id="1249" w:name="_Toc129798358"/>
      <w:bookmarkStart w:id="1250" w:name="_Toc109914423"/>
      <w:bookmarkStart w:id="1251" w:name="_Toc142385645"/>
      <w:r>
        <w:t>18.2 竣工验收申请报告</w:t>
      </w:r>
      <w:bookmarkEnd w:id="1245"/>
      <w:bookmarkEnd w:id="1246"/>
      <w:bookmarkEnd w:id="1247"/>
      <w:bookmarkEnd w:id="1248"/>
      <w:bookmarkEnd w:id="1249"/>
      <w:bookmarkEnd w:id="1250"/>
      <w:bookmarkEnd w:id="1251"/>
    </w:p>
    <w:p w14:paraId="50448DA0">
      <w:pPr>
        <w:spacing w:line="400" w:lineRule="exact"/>
        <w:ind w:firstLine="420" w:firstLineChars="200"/>
      </w:pPr>
      <w:r>
        <w:t>当工程具备以下条件时，承包人即可向监理人报送竣工验收申请报告：</w:t>
      </w:r>
    </w:p>
    <w:p w14:paraId="70FA14C1">
      <w:pPr>
        <w:spacing w:line="400" w:lineRule="exact"/>
        <w:ind w:firstLine="359" w:firstLineChars="171"/>
      </w:pPr>
      <w:r>
        <w:t>（1）除监理人同意列入缺陷责任期内完成的尾工（甩项）工程和缺陷修补工作外，合同范围内的全部单位工程以及有关工作，包括合同要求的试验、试运行以及检验和验收均已完成，并符合合同要求；</w:t>
      </w:r>
    </w:p>
    <w:p w14:paraId="44FB23F4">
      <w:pPr>
        <w:spacing w:line="400" w:lineRule="exact"/>
        <w:ind w:firstLine="359" w:firstLineChars="171"/>
      </w:pPr>
      <w:r>
        <w:t xml:space="preserve">（2）已按合同约定的内容和份数备齐了符合要求的竣工资料； </w:t>
      </w:r>
    </w:p>
    <w:p w14:paraId="719F1A95">
      <w:pPr>
        <w:spacing w:line="400" w:lineRule="exact"/>
        <w:ind w:firstLine="359" w:firstLineChars="171"/>
      </w:pPr>
      <w:r>
        <w:t>（3）已按监理人的要求编制了在缺陷责任期内完成的尾工（甩项）工程和缺陷修补工作清单以及相应施工计划；</w:t>
      </w:r>
    </w:p>
    <w:p w14:paraId="7FCBC940">
      <w:pPr>
        <w:spacing w:line="400" w:lineRule="exact"/>
        <w:ind w:firstLine="359" w:firstLineChars="171"/>
      </w:pPr>
      <w:r>
        <w:t>（4）监理人要求在竣工验收前应完成的其他工作；</w:t>
      </w:r>
    </w:p>
    <w:p w14:paraId="47F497A8">
      <w:pPr>
        <w:spacing w:line="400" w:lineRule="exact"/>
        <w:ind w:firstLine="359" w:firstLineChars="171"/>
      </w:pPr>
      <w:r>
        <w:t>（5）监理人要求提交的竣工验收资料清单。</w:t>
      </w:r>
    </w:p>
    <w:p w14:paraId="0D6AE82B">
      <w:pPr>
        <w:pStyle w:val="512"/>
        <w:spacing w:before="120" w:after="120"/>
      </w:pPr>
      <w:bookmarkStart w:id="1252" w:name="_Toc338944821"/>
      <w:bookmarkStart w:id="1253" w:name="_Toc342296379"/>
      <w:bookmarkStart w:id="1254" w:name="_Toc142385646"/>
      <w:bookmarkStart w:id="1255" w:name="_Toc132618717"/>
      <w:bookmarkStart w:id="1256" w:name="_Toc129798359"/>
      <w:bookmarkStart w:id="1257" w:name="_Toc132619108"/>
      <w:bookmarkStart w:id="1258" w:name="_Toc109914424"/>
      <w:r>
        <w:t>18.3 验收</w:t>
      </w:r>
      <w:bookmarkEnd w:id="1252"/>
      <w:bookmarkEnd w:id="1253"/>
      <w:bookmarkEnd w:id="1254"/>
      <w:bookmarkEnd w:id="1255"/>
      <w:bookmarkEnd w:id="1256"/>
      <w:bookmarkEnd w:id="1257"/>
      <w:bookmarkEnd w:id="1258"/>
    </w:p>
    <w:p w14:paraId="59596ED2">
      <w:pPr>
        <w:spacing w:line="400" w:lineRule="exact"/>
        <w:ind w:firstLine="420" w:firstLineChars="200"/>
      </w:pPr>
      <w:r>
        <w:t>监理人收到承包人按第18.2款约定提交的竣工验收申请报告后，应审查申请报告的各项内容，并按以下不同情况进行处理。</w:t>
      </w:r>
    </w:p>
    <w:p w14:paraId="56FD46C7">
      <w:pPr>
        <w:spacing w:line="400" w:lineRule="exact"/>
        <w:ind w:firstLine="420" w:firstLineChars="200"/>
      </w:pPr>
      <w:r>
        <w:t>18.3.1 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4D912DFD">
      <w:pPr>
        <w:spacing w:line="400" w:lineRule="exact"/>
        <w:ind w:firstLine="420" w:firstLineChars="200"/>
      </w:pPr>
      <w:r>
        <w:t>18.3.2 监理人审查后认为已具备竣工验收条件的，应在收到竣工验收申请报告后的28天内提请发包人进行工程验收。</w:t>
      </w:r>
    </w:p>
    <w:p w14:paraId="559E19C0">
      <w:pPr>
        <w:spacing w:line="400" w:lineRule="exact"/>
        <w:ind w:firstLine="420" w:firstLineChars="200"/>
      </w:pPr>
      <w: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2D4EC899">
      <w:pPr>
        <w:spacing w:line="400" w:lineRule="exact"/>
        <w:ind w:firstLine="420" w:firstLineChars="200"/>
      </w:pPr>
      <w: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14:paraId="427253FF">
      <w:pPr>
        <w:spacing w:line="400" w:lineRule="exact"/>
        <w:ind w:firstLine="420" w:firstLineChars="200"/>
      </w:pPr>
      <w:r>
        <w:t>18.3.5 除专用合同条款另有约定外，经验收合格工程的实际竣工日期，以提交竣工验收申请报告的日期为准，并在工程接收证书中写明。</w:t>
      </w:r>
    </w:p>
    <w:p w14:paraId="370D433E">
      <w:pPr>
        <w:spacing w:line="400" w:lineRule="exact"/>
        <w:ind w:firstLine="420" w:firstLineChars="200"/>
      </w:pPr>
      <w:r>
        <w:t>18.3.6 发包人在收到承包人竣工验收申请报告56天后未进行验收的，视为验收合格，实际竣工日期以提交竣工验收申请报告的日期为准，但发包人由于不可抗力不能进行验收的除外。</w:t>
      </w:r>
    </w:p>
    <w:p w14:paraId="12D960B1">
      <w:pPr>
        <w:pStyle w:val="512"/>
        <w:spacing w:before="120" w:after="120"/>
      </w:pPr>
      <w:bookmarkStart w:id="1259" w:name="_Toc132618718"/>
      <w:bookmarkStart w:id="1260" w:name="_Toc142385647"/>
      <w:bookmarkStart w:id="1261" w:name="_Toc338944822"/>
      <w:bookmarkStart w:id="1262" w:name="_Toc129798360"/>
      <w:bookmarkStart w:id="1263" w:name="_Toc109914425"/>
      <w:bookmarkStart w:id="1264" w:name="_Toc152045729"/>
      <w:bookmarkStart w:id="1265" w:name="_Toc342296380"/>
      <w:bookmarkStart w:id="1266" w:name="_Toc132619109"/>
      <w:bookmarkStart w:id="1267" w:name="_Toc152042508"/>
      <w:bookmarkStart w:id="1268" w:name="_Toc144974700"/>
      <w:bookmarkStart w:id="1269" w:name="_Toc179632747"/>
      <w:r>
        <w:t>18.4 单位工程验收</w:t>
      </w:r>
      <w:bookmarkEnd w:id="1259"/>
      <w:bookmarkEnd w:id="1260"/>
      <w:bookmarkEnd w:id="1261"/>
      <w:bookmarkEnd w:id="1262"/>
      <w:bookmarkEnd w:id="1263"/>
      <w:bookmarkEnd w:id="1264"/>
      <w:bookmarkEnd w:id="1265"/>
      <w:bookmarkEnd w:id="1266"/>
      <w:bookmarkEnd w:id="1267"/>
      <w:bookmarkEnd w:id="1268"/>
      <w:bookmarkEnd w:id="1269"/>
    </w:p>
    <w:p w14:paraId="385F1E7F">
      <w:pPr>
        <w:spacing w:line="400" w:lineRule="exact"/>
        <w:ind w:firstLine="420" w:firstLineChars="200"/>
      </w:pPr>
      <w:r>
        <w:t>18.4.1 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3421D0D1">
      <w:pPr>
        <w:spacing w:line="400" w:lineRule="exact"/>
        <w:ind w:firstLine="420" w:firstLineChars="200"/>
      </w:pPr>
      <w:r>
        <w:t>18.4.2 发包人在全部工程竣工前，使用已接收的单位工程导致承包人费用增加的，发包人应承担由此增加的费用和（或）工期延误，并支付承包人合理利润。</w:t>
      </w:r>
    </w:p>
    <w:p w14:paraId="1054C43C">
      <w:pPr>
        <w:pStyle w:val="512"/>
        <w:spacing w:before="120" w:after="120"/>
      </w:pPr>
      <w:bookmarkStart w:id="1270" w:name="_Toc129798361"/>
      <w:bookmarkStart w:id="1271" w:name="_Toc142385648"/>
      <w:bookmarkStart w:id="1272" w:name="_Toc342296381"/>
      <w:bookmarkStart w:id="1273" w:name="_Toc338944823"/>
      <w:bookmarkStart w:id="1274" w:name="_Toc109914426"/>
      <w:bookmarkStart w:id="1275" w:name="_Toc132618719"/>
      <w:bookmarkStart w:id="1276" w:name="_Toc132619110"/>
      <w:r>
        <w:t>18.5 施工期运行</w:t>
      </w:r>
      <w:bookmarkEnd w:id="1270"/>
      <w:bookmarkEnd w:id="1271"/>
      <w:bookmarkEnd w:id="1272"/>
      <w:bookmarkEnd w:id="1273"/>
      <w:bookmarkEnd w:id="1274"/>
      <w:bookmarkEnd w:id="1275"/>
      <w:bookmarkEnd w:id="1276"/>
    </w:p>
    <w:p w14:paraId="1EF8F143">
      <w:pPr>
        <w:spacing w:line="400" w:lineRule="exact"/>
        <w:ind w:firstLine="420" w:firstLineChars="200"/>
      </w:pPr>
      <w:r>
        <w:t>18.5.1 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14:paraId="4F4C6B69">
      <w:pPr>
        <w:spacing w:line="400" w:lineRule="exact"/>
        <w:ind w:firstLine="420" w:firstLineChars="200"/>
      </w:pPr>
      <w:r>
        <w:t>18.5.2 在施工期运行中发现工程或工程设备损坏或存在缺陷的，由承包人按第19.2款约定进行修复。</w:t>
      </w:r>
    </w:p>
    <w:p w14:paraId="41C16D57">
      <w:pPr>
        <w:pStyle w:val="512"/>
        <w:spacing w:before="120" w:after="120"/>
      </w:pPr>
      <w:bookmarkStart w:id="1277" w:name="_Toc129798362"/>
      <w:bookmarkStart w:id="1278" w:name="_Toc109914427"/>
      <w:bookmarkStart w:id="1279" w:name="_Toc342296382"/>
      <w:bookmarkStart w:id="1280" w:name="_Toc132618720"/>
      <w:bookmarkStart w:id="1281" w:name="_Toc338944824"/>
      <w:bookmarkStart w:id="1282" w:name="_Toc142385649"/>
      <w:bookmarkStart w:id="1283" w:name="_Toc132619111"/>
      <w:r>
        <w:t>18.6 试运行</w:t>
      </w:r>
      <w:bookmarkEnd w:id="1277"/>
      <w:bookmarkEnd w:id="1278"/>
      <w:bookmarkEnd w:id="1279"/>
      <w:bookmarkEnd w:id="1280"/>
      <w:bookmarkEnd w:id="1281"/>
      <w:bookmarkEnd w:id="1282"/>
      <w:bookmarkEnd w:id="1283"/>
    </w:p>
    <w:p w14:paraId="348C8669">
      <w:pPr>
        <w:spacing w:line="400" w:lineRule="exact"/>
        <w:ind w:firstLine="420" w:firstLineChars="200"/>
      </w:pPr>
      <w:r>
        <w:t>18.6.1 除专用合同条款另有约定外，承包人应按专用合同条款约定进行工程及工程设备试运行，负责提供试运行所需的人员、器材和必要的条件，并承担全部试运行费用。</w:t>
      </w:r>
    </w:p>
    <w:p w14:paraId="0E0D41E4">
      <w:pPr>
        <w:spacing w:line="400" w:lineRule="exact"/>
        <w:ind w:firstLine="420" w:firstLineChars="200"/>
      </w:pPr>
      <w: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2DA56FD7">
      <w:pPr>
        <w:pStyle w:val="512"/>
        <w:spacing w:before="120" w:after="120"/>
      </w:pPr>
      <w:bookmarkStart w:id="1284" w:name="_Toc142385650"/>
      <w:bookmarkStart w:id="1285" w:name="_Toc132618721"/>
      <w:bookmarkStart w:id="1286" w:name="_Toc129798363"/>
      <w:bookmarkStart w:id="1287" w:name="_Toc342296383"/>
      <w:bookmarkStart w:id="1288" w:name="_Toc338944825"/>
      <w:bookmarkStart w:id="1289" w:name="_Toc132619112"/>
      <w:bookmarkStart w:id="1290" w:name="_Toc109914428"/>
      <w:r>
        <w:t>18.7 竣工清场</w:t>
      </w:r>
      <w:bookmarkEnd w:id="1284"/>
      <w:bookmarkEnd w:id="1285"/>
      <w:bookmarkEnd w:id="1286"/>
      <w:bookmarkEnd w:id="1287"/>
      <w:bookmarkEnd w:id="1288"/>
      <w:bookmarkEnd w:id="1289"/>
      <w:bookmarkEnd w:id="1290"/>
    </w:p>
    <w:p w14:paraId="3EC064CC">
      <w:pPr>
        <w:spacing w:line="400" w:lineRule="exact"/>
        <w:ind w:firstLine="420" w:firstLineChars="200"/>
      </w:pPr>
      <w:r>
        <w:t>18.7.1 除合同另有约定外，工程接收证书颁发后，承包人应按以下要求对施工场地进行清理，直至监理人检验合格为止。竣工清场费用由承包人承担。</w:t>
      </w:r>
    </w:p>
    <w:p w14:paraId="75E7A9D7">
      <w:pPr>
        <w:spacing w:line="400" w:lineRule="exact"/>
        <w:ind w:firstLine="718" w:firstLineChars="342"/>
      </w:pPr>
      <w:r>
        <w:t>（1）施工场地内残留的垃圾已全部清除出场；</w:t>
      </w:r>
    </w:p>
    <w:p w14:paraId="536BA519">
      <w:pPr>
        <w:spacing w:line="400" w:lineRule="exact"/>
        <w:ind w:firstLine="718" w:firstLineChars="342"/>
      </w:pPr>
      <w:r>
        <w:t>（2）临时工程已拆除，场地已按合同要求进行清理、平整或复原；</w:t>
      </w:r>
    </w:p>
    <w:p w14:paraId="63A9A3FF">
      <w:pPr>
        <w:spacing w:line="400" w:lineRule="exact"/>
        <w:ind w:firstLine="718" w:firstLineChars="342"/>
      </w:pPr>
      <w:r>
        <w:t>（3）按合同约定应撤离的承包人设备和剩余的材料，包括废弃的施工设备和材料，已按计划撤离施工场地；</w:t>
      </w:r>
    </w:p>
    <w:p w14:paraId="7E054766">
      <w:pPr>
        <w:spacing w:line="400" w:lineRule="exact"/>
        <w:ind w:firstLine="718" w:firstLineChars="342"/>
      </w:pPr>
      <w:r>
        <w:t>（4）工程建筑物周边及其附近道路、河道的施工堆积物，已按监理人指示全部清理；</w:t>
      </w:r>
    </w:p>
    <w:p w14:paraId="2B910520">
      <w:pPr>
        <w:spacing w:line="400" w:lineRule="exact"/>
        <w:ind w:firstLine="718" w:firstLineChars="342"/>
      </w:pPr>
      <w:r>
        <w:t>（5）监理人指示的其他场地清理工作已全部完成。</w:t>
      </w:r>
    </w:p>
    <w:p w14:paraId="757E53D8">
      <w:pPr>
        <w:spacing w:line="400" w:lineRule="exact"/>
        <w:ind w:firstLine="420" w:firstLineChars="200"/>
      </w:pPr>
      <w:r>
        <w:t>18.7.2 承包人未按监理人的要求恢复临时占地，或者场地清理未达到合同约定的，发包人有权委托其他人恢复或清理，所发生的金额从拟支付给承包人的款项中扣除。</w:t>
      </w:r>
    </w:p>
    <w:p w14:paraId="0A6380A8">
      <w:pPr>
        <w:pStyle w:val="512"/>
        <w:spacing w:before="120" w:after="120"/>
      </w:pPr>
      <w:bookmarkStart w:id="1291" w:name="_Toc342296384"/>
      <w:bookmarkStart w:id="1292" w:name="_Toc142385651"/>
      <w:bookmarkStart w:id="1293" w:name="_Toc338944826"/>
      <w:bookmarkStart w:id="1294" w:name="_Toc129798364"/>
      <w:bookmarkStart w:id="1295" w:name="_Toc132618722"/>
      <w:bookmarkStart w:id="1296" w:name="_Toc109914429"/>
      <w:bookmarkStart w:id="1297" w:name="_Toc132619113"/>
      <w:r>
        <w:t>18.8 施工队伍的撤离</w:t>
      </w:r>
      <w:bookmarkEnd w:id="1291"/>
      <w:bookmarkEnd w:id="1292"/>
      <w:bookmarkEnd w:id="1293"/>
      <w:bookmarkEnd w:id="1294"/>
      <w:bookmarkEnd w:id="1295"/>
      <w:bookmarkEnd w:id="1296"/>
      <w:bookmarkEnd w:id="1297"/>
    </w:p>
    <w:p w14:paraId="264B51D3">
      <w:pPr>
        <w:spacing w:line="400" w:lineRule="exact"/>
        <w:ind w:firstLine="420" w:firstLineChars="200"/>
      </w:pPr>
      <w: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328EC63F">
      <w:pPr>
        <w:pStyle w:val="548"/>
        <w:spacing w:before="120" w:after="120"/>
        <w:rPr>
          <w:rFonts w:cs="仿宋_GB2312"/>
        </w:rPr>
      </w:pPr>
      <w:bookmarkStart w:id="1298" w:name="_Toc142385652"/>
      <w:bookmarkStart w:id="1299" w:name="_Toc342296385"/>
      <w:bookmarkStart w:id="1300" w:name="_Toc448758440"/>
      <w:bookmarkStart w:id="1301" w:name="_Toc469660035"/>
      <w:bookmarkStart w:id="1302" w:name="_Toc129798365"/>
      <w:bookmarkStart w:id="1303" w:name="_Toc132618723"/>
      <w:bookmarkStart w:id="1304" w:name="_Toc132619114"/>
      <w:bookmarkStart w:id="1305" w:name="_Toc442365632"/>
      <w:bookmarkStart w:id="1306" w:name="_Toc338944827"/>
      <w:bookmarkStart w:id="1307" w:name="_Toc109914430"/>
      <w:bookmarkStart w:id="1308" w:name="_Toc448758540"/>
      <w:r>
        <w:rPr>
          <w:rFonts w:cs="仿宋_GB2312"/>
        </w:rPr>
        <w:t>19. 缺陷责任与保修责任</w:t>
      </w:r>
      <w:bookmarkEnd w:id="1298"/>
      <w:bookmarkEnd w:id="1299"/>
      <w:bookmarkEnd w:id="1300"/>
      <w:bookmarkEnd w:id="1301"/>
      <w:bookmarkEnd w:id="1302"/>
      <w:bookmarkEnd w:id="1303"/>
      <w:bookmarkEnd w:id="1304"/>
      <w:bookmarkEnd w:id="1305"/>
      <w:bookmarkEnd w:id="1306"/>
      <w:bookmarkEnd w:id="1307"/>
      <w:bookmarkEnd w:id="1308"/>
    </w:p>
    <w:p w14:paraId="2A583A60">
      <w:pPr>
        <w:pStyle w:val="512"/>
        <w:spacing w:before="120" w:after="120"/>
      </w:pPr>
      <w:bookmarkStart w:id="1309" w:name="_Toc152042514"/>
      <w:bookmarkStart w:id="1310" w:name="_Toc144974706"/>
      <w:bookmarkStart w:id="1311" w:name="_Toc338944828"/>
      <w:bookmarkStart w:id="1312" w:name="_Toc179632753"/>
      <w:bookmarkStart w:id="1313" w:name="_Toc129798366"/>
      <w:bookmarkStart w:id="1314" w:name="_Toc152045735"/>
      <w:bookmarkStart w:id="1315" w:name="_Toc342296386"/>
      <w:bookmarkStart w:id="1316" w:name="_Toc109914431"/>
      <w:bookmarkStart w:id="1317" w:name="_Toc142385653"/>
      <w:bookmarkStart w:id="1318" w:name="_Toc132618724"/>
      <w:bookmarkStart w:id="1319" w:name="_Toc132619115"/>
      <w:r>
        <w:t>19.1 缺陷责任期的起算时间</w:t>
      </w:r>
      <w:bookmarkEnd w:id="1309"/>
      <w:bookmarkEnd w:id="1310"/>
      <w:bookmarkEnd w:id="1311"/>
      <w:bookmarkEnd w:id="1312"/>
      <w:bookmarkEnd w:id="1313"/>
      <w:bookmarkEnd w:id="1314"/>
      <w:bookmarkEnd w:id="1315"/>
      <w:bookmarkEnd w:id="1316"/>
      <w:bookmarkEnd w:id="1317"/>
      <w:bookmarkEnd w:id="1318"/>
      <w:bookmarkEnd w:id="1319"/>
    </w:p>
    <w:p w14:paraId="15C44666">
      <w:pPr>
        <w:spacing w:line="400" w:lineRule="exact"/>
        <w:ind w:firstLine="420" w:firstLineChars="200"/>
      </w:pPr>
      <w:r>
        <w:t>缺陷责任期自实际竣工日期起计算。在全部工程竣工验收前，已经发包人提前验收的单位工程，其缺陷责任期的起算日期相应提前。</w:t>
      </w:r>
    </w:p>
    <w:p w14:paraId="25CD8282">
      <w:pPr>
        <w:pStyle w:val="512"/>
        <w:spacing w:before="120" w:after="120"/>
      </w:pPr>
      <w:bookmarkStart w:id="1320" w:name="_Toc152045736"/>
      <w:bookmarkStart w:id="1321" w:name="_Toc144974707"/>
      <w:bookmarkStart w:id="1322" w:name="_Toc179632754"/>
      <w:bookmarkStart w:id="1323" w:name="_Toc342296387"/>
      <w:bookmarkStart w:id="1324" w:name="_Toc152042515"/>
      <w:bookmarkStart w:id="1325" w:name="_Toc132618725"/>
      <w:bookmarkStart w:id="1326" w:name="_Toc132619116"/>
      <w:bookmarkStart w:id="1327" w:name="_Toc142385654"/>
      <w:bookmarkStart w:id="1328" w:name="_Toc109914432"/>
      <w:bookmarkStart w:id="1329" w:name="_Toc338944829"/>
      <w:bookmarkStart w:id="1330" w:name="_Toc129798367"/>
      <w:r>
        <w:t>19.2 缺陷责任</w:t>
      </w:r>
      <w:bookmarkEnd w:id="1320"/>
      <w:bookmarkEnd w:id="1321"/>
      <w:bookmarkEnd w:id="1322"/>
      <w:bookmarkEnd w:id="1323"/>
      <w:bookmarkEnd w:id="1324"/>
      <w:bookmarkEnd w:id="1325"/>
      <w:bookmarkEnd w:id="1326"/>
      <w:bookmarkEnd w:id="1327"/>
      <w:bookmarkEnd w:id="1328"/>
      <w:bookmarkEnd w:id="1329"/>
      <w:bookmarkEnd w:id="1330"/>
    </w:p>
    <w:p w14:paraId="58148BB1">
      <w:pPr>
        <w:spacing w:line="400" w:lineRule="exact"/>
        <w:ind w:firstLine="420" w:firstLineChars="200"/>
      </w:pPr>
      <w:r>
        <w:t>19.2.1 承包人应在缺陷责任期内对已交付使用的工程承担缺陷责任。</w:t>
      </w:r>
    </w:p>
    <w:p w14:paraId="273FF6AB">
      <w:pPr>
        <w:spacing w:line="400" w:lineRule="exact"/>
        <w:ind w:firstLine="420" w:firstLineChars="200"/>
      </w:pPr>
      <w:r>
        <w:t>19.2.2 缺陷责任期内，发包人对已接收使用的工程负责日常维护工作。发包人在使用过程中，发现已接收的工程存在新的缺陷或已修复的缺陷部位或部件又遭损坏的，承包人应负责修复，直至检验合格为止。</w:t>
      </w:r>
    </w:p>
    <w:p w14:paraId="5BE6D124">
      <w:pPr>
        <w:spacing w:line="400" w:lineRule="exact"/>
        <w:ind w:firstLine="420" w:firstLineChars="200"/>
      </w:pPr>
      <w: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40F235CF">
      <w:pPr>
        <w:spacing w:line="400" w:lineRule="exact"/>
        <w:ind w:firstLine="420" w:firstLineChars="200"/>
      </w:pPr>
      <w:r>
        <w:t>19.2.4 承包人不能在合理时间内修复缺陷的，发包人可自行修复或委托其他人修复，所需费用和利润的承担，按第19.2.3项约定办理。</w:t>
      </w:r>
    </w:p>
    <w:p w14:paraId="270716F9">
      <w:pPr>
        <w:pStyle w:val="512"/>
        <w:spacing w:before="120" w:after="120"/>
      </w:pPr>
      <w:bookmarkStart w:id="1331" w:name="_Toc338944830"/>
      <w:bookmarkStart w:id="1332" w:name="_Toc144974708"/>
      <w:bookmarkStart w:id="1333" w:name="_Toc152045737"/>
      <w:bookmarkStart w:id="1334" w:name="_Toc109914433"/>
      <w:bookmarkStart w:id="1335" w:name="_Toc152042516"/>
      <w:bookmarkStart w:id="1336" w:name="_Toc342296388"/>
      <w:bookmarkStart w:id="1337" w:name="_Toc179632755"/>
      <w:bookmarkStart w:id="1338" w:name="_Toc129798368"/>
      <w:bookmarkStart w:id="1339" w:name="_Toc142385655"/>
      <w:bookmarkStart w:id="1340" w:name="_Toc132619117"/>
      <w:r>
        <w:t>19.3 缺陷责任期的延长</w:t>
      </w:r>
      <w:bookmarkEnd w:id="1331"/>
      <w:bookmarkEnd w:id="1332"/>
      <w:bookmarkEnd w:id="1333"/>
      <w:bookmarkEnd w:id="1334"/>
      <w:bookmarkEnd w:id="1335"/>
      <w:bookmarkEnd w:id="1336"/>
      <w:bookmarkEnd w:id="1337"/>
      <w:bookmarkEnd w:id="1338"/>
      <w:bookmarkEnd w:id="1339"/>
      <w:bookmarkEnd w:id="1340"/>
    </w:p>
    <w:p w14:paraId="560920F4">
      <w:pPr>
        <w:spacing w:line="400" w:lineRule="exact"/>
        <w:ind w:firstLine="420" w:firstLineChars="200"/>
      </w:pPr>
      <w:r>
        <w:t>由于承包人原因造成某项缺陷或损坏使某项工程或工程设备不能按原定目标使用而需要再次检查、检验和修复的，发包人有权要求承包人相应延长缺陷责任期，但缺陷责任期最长不超过2年。</w:t>
      </w:r>
    </w:p>
    <w:p w14:paraId="374209F5">
      <w:pPr>
        <w:pStyle w:val="512"/>
        <w:spacing w:before="120" w:after="120"/>
      </w:pPr>
      <w:bookmarkStart w:id="1341" w:name="_Toc144974709"/>
      <w:bookmarkStart w:id="1342" w:name="_Toc109914434"/>
      <w:bookmarkStart w:id="1343" w:name="_Toc142385656"/>
      <w:bookmarkStart w:id="1344" w:name="_Toc338944831"/>
      <w:bookmarkStart w:id="1345" w:name="_Toc179632756"/>
      <w:bookmarkStart w:id="1346" w:name="_Toc152042517"/>
      <w:bookmarkStart w:id="1347" w:name="_Toc132619118"/>
      <w:bookmarkStart w:id="1348" w:name="_Toc152045738"/>
      <w:bookmarkStart w:id="1349" w:name="_Toc342296389"/>
      <w:bookmarkStart w:id="1350" w:name="_Toc129798369"/>
      <w:r>
        <w:t>19.4 进一步试验和试运行</w:t>
      </w:r>
      <w:bookmarkEnd w:id="1341"/>
      <w:bookmarkEnd w:id="1342"/>
      <w:bookmarkEnd w:id="1343"/>
      <w:bookmarkEnd w:id="1344"/>
      <w:bookmarkEnd w:id="1345"/>
      <w:bookmarkEnd w:id="1346"/>
      <w:bookmarkEnd w:id="1347"/>
      <w:bookmarkEnd w:id="1348"/>
      <w:bookmarkEnd w:id="1349"/>
      <w:bookmarkEnd w:id="1350"/>
    </w:p>
    <w:p w14:paraId="7B84C342">
      <w:pPr>
        <w:spacing w:line="400" w:lineRule="exact"/>
        <w:ind w:firstLine="420" w:firstLineChars="200"/>
      </w:pPr>
      <w:r>
        <w:t>任何一项缺陷或损坏修复后，经检查证明其影响了工程或工程设备的使用性能，承包人应重新进行合同约定的试验和试运行，试验和试运行的全部费用应由责任方承担。</w:t>
      </w:r>
    </w:p>
    <w:p w14:paraId="2F43B137">
      <w:pPr>
        <w:pStyle w:val="512"/>
        <w:spacing w:before="120" w:after="120"/>
      </w:pPr>
      <w:bookmarkStart w:id="1351" w:name="_Toc338944832"/>
      <w:bookmarkStart w:id="1352" w:name="_Toc132619119"/>
      <w:bookmarkStart w:id="1353" w:name="_Toc152042518"/>
      <w:bookmarkStart w:id="1354" w:name="_Toc152045739"/>
      <w:bookmarkStart w:id="1355" w:name="_Toc179632757"/>
      <w:bookmarkStart w:id="1356" w:name="_Toc109914435"/>
      <w:bookmarkStart w:id="1357" w:name="_Toc144974710"/>
      <w:bookmarkStart w:id="1358" w:name="_Toc142385657"/>
      <w:bookmarkStart w:id="1359" w:name="_Toc342296390"/>
      <w:bookmarkStart w:id="1360" w:name="_Toc129798370"/>
      <w:r>
        <w:t>19.5 承包人的进入权</w:t>
      </w:r>
      <w:bookmarkEnd w:id="1351"/>
      <w:bookmarkEnd w:id="1352"/>
      <w:bookmarkEnd w:id="1353"/>
      <w:bookmarkEnd w:id="1354"/>
      <w:bookmarkEnd w:id="1355"/>
      <w:bookmarkEnd w:id="1356"/>
      <w:bookmarkEnd w:id="1357"/>
      <w:bookmarkEnd w:id="1358"/>
      <w:bookmarkEnd w:id="1359"/>
      <w:bookmarkEnd w:id="1360"/>
    </w:p>
    <w:p w14:paraId="52F256BB">
      <w:pPr>
        <w:spacing w:line="400" w:lineRule="exact"/>
        <w:ind w:firstLine="420" w:firstLineChars="200"/>
      </w:pPr>
      <w:r>
        <w:t>缺陷责任期内承包人为缺陷修复工作需要，有权进入工程现场，但应遵守发包人的保安和保密规定。</w:t>
      </w:r>
    </w:p>
    <w:p w14:paraId="35F63646">
      <w:pPr>
        <w:pStyle w:val="512"/>
        <w:spacing w:before="120" w:after="120"/>
      </w:pPr>
      <w:bookmarkStart w:id="1361" w:name="_Toc152045740"/>
      <w:bookmarkStart w:id="1362" w:name="_Toc342296391"/>
      <w:bookmarkStart w:id="1363" w:name="_Toc129798371"/>
      <w:bookmarkStart w:id="1364" w:name="_Toc152042519"/>
      <w:bookmarkStart w:id="1365" w:name="_Toc142385658"/>
      <w:bookmarkStart w:id="1366" w:name="_Toc179632758"/>
      <w:bookmarkStart w:id="1367" w:name="_Toc109914436"/>
      <w:bookmarkStart w:id="1368" w:name="_Toc144974711"/>
      <w:bookmarkStart w:id="1369" w:name="_Toc338944833"/>
      <w:bookmarkStart w:id="1370" w:name="_Toc132619120"/>
      <w:r>
        <w:t>19.6 缺陷责任期终止证书</w:t>
      </w:r>
      <w:bookmarkEnd w:id="1361"/>
      <w:bookmarkEnd w:id="1362"/>
      <w:bookmarkEnd w:id="1363"/>
      <w:bookmarkEnd w:id="1364"/>
      <w:bookmarkEnd w:id="1365"/>
      <w:bookmarkEnd w:id="1366"/>
      <w:bookmarkEnd w:id="1367"/>
      <w:bookmarkEnd w:id="1368"/>
      <w:bookmarkEnd w:id="1369"/>
      <w:bookmarkEnd w:id="1370"/>
    </w:p>
    <w:p w14:paraId="418CFC50">
      <w:pPr>
        <w:spacing w:line="400" w:lineRule="exact"/>
        <w:ind w:firstLine="420" w:firstLineChars="200"/>
      </w:pPr>
      <w:r>
        <w:t>在第1.1.4.5目约定的缺陷责任期，包括根据第19.3款延长的期限终止后14天内，由监理人向承包人出具经发包人签认的缺陷责任期终止证书，并退还剩余的质量保证金。</w:t>
      </w:r>
    </w:p>
    <w:p w14:paraId="58B85D95">
      <w:pPr>
        <w:pStyle w:val="512"/>
        <w:spacing w:before="120" w:after="120"/>
      </w:pPr>
      <w:bookmarkStart w:id="1371" w:name="_Toc109914437"/>
      <w:bookmarkStart w:id="1372" w:name="_Toc342296392"/>
      <w:bookmarkStart w:id="1373" w:name="_Toc129798372"/>
      <w:bookmarkStart w:id="1374" w:name="_Toc132619121"/>
      <w:bookmarkStart w:id="1375" w:name="_Toc142385659"/>
      <w:bookmarkStart w:id="1376" w:name="_Toc338944834"/>
      <w:r>
        <w:t>19.7 保修责任</w:t>
      </w:r>
      <w:bookmarkEnd w:id="1371"/>
      <w:bookmarkEnd w:id="1372"/>
      <w:bookmarkEnd w:id="1373"/>
      <w:bookmarkEnd w:id="1374"/>
      <w:bookmarkEnd w:id="1375"/>
      <w:bookmarkEnd w:id="1376"/>
    </w:p>
    <w:p w14:paraId="33EAF2C6">
      <w:pPr>
        <w:spacing w:line="400" w:lineRule="exact"/>
        <w:ind w:firstLine="420" w:firstLineChars="200"/>
      </w:pPr>
      <w: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57706102">
      <w:pPr>
        <w:pStyle w:val="548"/>
        <w:spacing w:before="120" w:after="120"/>
        <w:rPr>
          <w:rFonts w:cs="仿宋_GB2312"/>
        </w:rPr>
      </w:pPr>
      <w:bookmarkStart w:id="1377" w:name="_Toc142385660"/>
      <w:bookmarkStart w:id="1378" w:name="_Toc469660036"/>
      <w:bookmarkStart w:id="1379" w:name="_Toc109914438"/>
      <w:bookmarkStart w:id="1380" w:name="_Toc132619122"/>
      <w:bookmarkStart w:id="1381" w:name="_Toc338944835"/>
      <w:bookmarkStart w:id="1382" w:name="_Toc342296393"/>
      <w:bookmarkStart w:id="1383" w:name="_Toc129798373"/>
      <w:bookmarkStart w:id="1384" w:name="_Toc448758441"/>
      <w:bookmarkStart w:id="1385" w:name="_Toc448758541"/>
      <w:bookmarkStart w:id="1386" w:name="_Toc442365633"/>
      <w:r>
        <w:rPr>
          <w:rFonts w:cs="仿宋_GB2312"/>
        </w:rPr>
        <w:t>20. 保险</w:t>
      </w:r>
      <w:bookmarkEnd w:id="1377"/>
      <w:bookmarkEnd w:id="1378"/>
      <w:bookmarkEnd w:id="1379"/>
      <w:bookmarkEnd w:id="1380"/>
      <w:bookmarkEnd w:id="1381"/>
      <w:bookmarkEnd w:id="1382"/>
      <w:bookmarkEnd w:id="1383"/>
      <w:bookmarkEnd w:id="1384"/>
      <w:bookmarkEnd w:id="1385"/>
      <w:bookmarkEnd w:id="1386"/>
    </w:p>
    <w:p w14:paraId="0D4663B8">
      <w:pPr>
        <w:pStyle w:val="512"/>
        <w:spacing w:before="120" w:after="120"/>
      </w:pPr>
      <w:bookmarkStart w:id="1387" w:name="_Toc109914439"/>
      <w:bookmarkStart w:id="1388" w:name="_Toc129798374"/>
      <w:bookmarkStart w:id="1389" w:name="_Toc342296394"/>
      <w:bookmarkStart w:id="1390" w:name="_Toc132619123"/>
      <w:bookmarkStart w:id="1391" w:name="_Toc142385661"/>
      <w:bookmarkStart w:id="1392" w:name="_Toc338944836"/>
      <w:r>
        <w:t>20.1 工程保险</w:t>
      </w:r>
      <w:bookmarkEnd w:id="1387"/>
      <w:bookmarkEnd w:id="1388"/>
      <w:bookmarkEnd w:id="1389"/>
      <w:bookmarkEnd w:id="1390"/>
      <w:bookmarkEnd w:id="1391"/>
      <w:bookmarkEnd w:id="1392"/>
    </w:p>
    <w:p w14:paraId="606C4316">
      <w:pPr>
        <w:spacing w:line="400" w:lineRule="exact"/>
        <w:ind w:firstLine="420" w:firstLineChars="200"/>
      </w:pPr>
      <w: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34569A81">
      <w:pPr>
        <w:pStyle w:val="512"/>
        <w:spacing w:before="120" w:after="120"/>
      </w:pPr>
      <w:bookmarkStart w:id="1393" w:name="_Toc342296395"/>
      <w:bookmarkStart w:id="1394" w:name="_Toc142385662"/>
      <w:bookmarkStart w:id="1395" w:name="_Toc109914440"/>
      <w:bookmarkStart w:id="1396" w:name="_Toc129798375"/>
      <w:bookmarkStart w:id="1397" w:name="_Toc132619124"/>
      <w:bookmarkStart w:id="1398" w:name="_Toc338944837"/>
      <w:r>
        <w:t>20.2 人员工伤事故的保险</w:t>
      </w:r>
      <w:bookmarkEnd w:id="1393"/>
      <w:bookmarkEnd w:id="1394"/>
      <w:bookmarkEnd w:id="1395"/>
      <w:bookmarkEnd w:id="1396"/>
      <w:bookmarkEnd w:id="1397"/>
      <w:bookmarkEnd w:id="1398"/>
    </w:p>
    <w:p w14:paraId="797215D6">
      <w:pPr>
        <w:spacing w:line="400" w:lineRule="exact"/>
        <w:ind w:firstLine="420" w:firstLineChars="200"/>
        <w:rPr>
          <w:rFonts w:eastAsia="Cambria"/>
        </w:rPr>
      </w:pPr>
      <w:r>
        <w:t xml:space="preserve">20.2.1 </w:t>
      </w:r>
      <w:r>
        <w:rPr>
          <w:rFonts w:hint="eastAsia" w:ascii="宋体" w:hAnsi="宋体" w:cs="宋体"/>
        </w:rPr>
        <w:t>承包人员工伤事故的保险</w:t>
      </w:r>
    </w:p>
    <w:p w14:paraId="28BC9DD1">
      <w:pPr>
        <w:spacing w:line="400" w:lineRule="exact"/>
        <w:ind w:firstLine="420" w:firstLineChars="200"/>
      </w:pPr>
      <w:r>
        <w:t>承包人应依照有关法律规定参加工伤保险，为其履行合同所雇佣的全部人员，缴纳工伤保险费，并要求其分包人也进行此项保险。</w:t>
      </w:r>
    </w:p>
    <w:p w14:paraId="66FF2421">
      <w:pPr>
        <w:spacing w:line="400" w:lineRule="exact"/>
        <w:ind w:firstLine="420" w:firstLineChars="200"/>
        <w:rPr>
          <w:rFonts w:eastAsia="Cambria"/>
        </w:rPr>
      </w:pPr>
      <w:r>
        <w:t>20.2.2</w:t>
      </w:r>
      <w:r>
        <w:rPr>
          <w:rFonts w:eastAsia="Cambria"/>
        </w:rPr>
        <w:t xml:space="preserve"> </w:t>
      </w:r>
      <w:r>
        <w:rPr>
          <w:rFonts w:hint="eastAsia" w:ascii="宋体" w:hAnsi="宋体" w:cs="宋体"/>
        </w:rPr>
        <w:t>发包人员工伤事故的保险</w:t>
      </w:r>
    </w:p>
    <w:p w14:paraId="6519F195">
      <w:pPr>
        <w:spacing w:line="400" w:lineRule="exact"/>
        <w:ind w:firstLine="420" w:firstLineChars="200"/>
      </w:pPr>
      <w:r>
        <w:t>发包人应依照有关法律规定参加工伤保险，为其现场机构雇佣的全部人员，缴纳工伤保险费，并要求其监理人也进行此项保险。</w:t>
      </w:r>
    </w:p>
    <w:p w14:paraId="2F55DB0A">
      <w:pPr>
        <w:pStyle w:val="512"/>
        <w:spacing w:before="120" w:after="120"/>
      </w:pPr>
      <w:bookmarkStart w:id="1399" w:name="_Toc179632763"/>
      <w:bookmarkStart w:id="1400" w:name="_Toc342296396"/>
      <w:bookmarkStart w:id="1401" w:name="_Toc129798376"/>
      <w:bookmarkStart w:id="1402" w:name="_Toc142385663"/>
      <w:bookmarkStart w:id="1403" w:name="_Toc338944838"/>
      <w:bookmarkStart w:id="1404" w:name="_Toc109914441"/>
      <w:bookmarkStart w:id="1405" w:name="_Toc152045745"/>
      <w:bookmarkStart w:id="1406" w:name="_Toc144974716"/>
      <w:bookmarkStart w:id="1407" w:name="_Toc132619125"/>
      <w:bookmarkStart w:id="1408" w:name="_Toc152042524"/>
      <w:r>
        <w:t>20.3 人身意外伤害险</w:t>
      </w:r>
      <w:bookmarkEnd w:id="1399"/>
      <w:bookmarkEnd w:id="1400"/>
      <w:bookmarkEnd w:id="1401"/>
      <w:bookmarkEnd w:id="1402"/>
      <w:bookmarkEnd w:id="1403"/>
      <w:bookmarkEnd w:id="1404"/>
      <w:bookmarkEnd w:id="1405"/>
      <w:bookmarkEnd w:id="1406"/>
      <w:bookmarkEnd w:id="1407"/>
      <w:bookmarkEnd w:id="1408"/>
    </w:p>
    <w:p w14:paraId="0BC0D66B">
      <w:pPr>
        <w:spacing w:line="400" w:lineRule="exact"/>
        <w:ind w:firstLine="420" w:firstLineChars="200"/>
      </w:pPr>
      <w:r>
        <w:t>20.3.1 发包人应在整个施工期间为其现场机构雇用的全部人员，投保人身意外伤害险，缴纳保险费，并要求其监理人也进行此项保险。</w:t>
      </w:r>
    </w:p>
    <w:p w14:paraId="7FEE7ACB">
      <w:pPr>
        <w:spacing w:line="400" w:lineRule="exact"/>
        <w:ind w:firstLine="420" w:firstLineChars="200"/>
      </w:pPr>
      <w:r>
        <w:t>20.3.2 承包人应在整个施工期间为其现场机构雇用的全部人员，投保人身意外伤害险，缴纳保险费，并要求其分包人也进行此项保险。</w:t>
      </w:r>
    </w:p>
    <w:p w14:paraId="7AE9B93A">
      <w:pPr>
        <w:pStyle w:val="512"/>
        <w:spacing w:before="120" w:after="120"/>
      </w:pPr>
      <w:bookmarkStart w:id="1409" w:name="_Toc142385664"/>
      <w:bookmarkStart w:id="1410" w:name="_Toc342296397"/>
      <w:bookmarkStart w:id="1411" w:name="_Toc132619126"/>
      <w:bookmarkStart w:id="1412" w:name="_Toc338944839"/>
      <w:bookmarkStart w:id="1413" w:name="_Toc129798377"/>
      <w:bookmarkStart w:id="1414" w:name="_Toc109914442"/>
      <w:r>
        <w:t>20.4 第三者责任险</w:t>
      </w:r>
      <w:bookmarkEnd w:id="1409"/>
      <w:bookmarkEnd w:id="1410"/>
      <w:bookmarkEnd w:id="1411"/>
      <w:bookmarkEnd w:id="1412"/>
      <w:bookmarkEnd w:id="1413"/>
      <w:bookmarkEnd w:id="1414"/>
    </w:p>
    <w:p w14:paraId="7373CD18">
      <w:pPr>
        <w:spacing w:line="400" w:lineRule="exact"/>
        <w:ind w:firstLine="420" w:firstLineChars="200"/>
      </w:pPr>
      <w: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3C9008A1">
      <w:pPr>
        <w:spacing w:line="400" w:lineRule="exact"/>
        <w:ind w:firstLine="420" w:firstLineChars="200"/>
      </w:pPr>
      <w:r>
        <w:t>20.4.2 在缺陷责任期终止证书颁发前，承包人应以承包人和发包人的共同名义，投保第20.4.1项约定的第三者责任险，其保险费率、保险金额等有关内容在专用合同条款中约定。</w:t>
      </w:r>
    </w:p>
    <w:p w14:paraId="7CA7EC84">
      <w:pPr>
        <w:pStyle w:val="512"/>
        <w:spacing w:before="120" w:after="120"/>
      </w:pPr>
      <w:bookmarkStart w:id="1415" w:name="_Toc109914443"/>
      <w:bookmarkStart w:id="1416" w:name="_Toc338944840"/>
      <w:bookmarkStart w:id="1417" w:name="_Toc132619127"/>
      <w:bookmarkStart w:id="1418" w:name="_Toc129798378"/>
      <w:bookmarkStart w:id="1419" w:name="_Toc142385665"/>
      <w:bookmarkStart w:id="1420" w:name="_Toc342296398"/>
      <w:r>
        <w:t>20.5 其他保险</w:t>
      </w:r>
      <w:bookmarkEnd w:id="1415"/>
      <w:bookmarkEnd w:id="1416"/>
      <w:bookmarkEnd w:id="1417"/>
      <w:bookmarkEnd w:id="1418"/>
      <w:bookmarkEnd w:id="1419"/>
      <w:bookmarkEnd w:id="1420"/>
    </w:p>
    <w:p w14:paraId="51297099">
      <w:pPr>
        <w:spacing w:line="400" w:lineRule="exact"/>
        <w:ind w:firstLine="420" w:firstLineChars="200"/>
      </w:pPr>
      <w:r>
        <w:t>除专用合同条款另有约定外，承包人应为其施工设备、进场的材料和工程设备等办理保险。</w:t>
      </w:r>
    </w:p>
    <w:p w14:paraId="3DD1861C">
      <w:pPr>
        <w:pStyle w:val="512"/>
        <w:spacing w:before="120" w:after="120"/>
      </w:pPr>
      <w:bookmarkStart w:id="1421" w:name="_Toc342296399"/>
      <w:bookmarkStart w:id="1422" w:name="_Toc132619128"/>
      <w:bookmarkStart w:id="1423" w:name="_Toc142385666"/>
      <w:bookmarkStart w:id="1424" w:name="_Toc109914444"/>
      <w:bookmarkStart w:id="1425" w:name="_Toc129798379"/>
      <w:bookmarkStart w:id="1426" w:name="_Toc338944841"/>
      <w:r>
        <w:t>20.6 对各项保险的一般要求</w:t>
      </w:r>
      <w:bookmarkEnd w:id="1421"/>
      <w:bookmarkEnd w:id="1422"/>
      <w:bookmarkEnd w:id="1423"/>
      <w:bookmarkEnd w:id="1424"/>
      <w:bookmarkEnd w:id="1425"/>
      <w:bookmarkEnd w:id="1426"/>
    </w:p>
    <w:p w14:paraId="2A12A28F">
      <w:pPr>
        <w:spacing w:line="400" w:lineRule="exact"/>
        <w:ind w:firstLine="420" w:firstLineChars="200"/>
      </w:pPr>
      <w:r>
        <w:t xml:space="preserve">20.6.1 </w:t>
      </w:r>
      <w:r>
        <w:rPr>
          <w:rFonts w:hint="eastAsia" w:ascii="宋体" w:hAnsi="宋体" w:cs="宋体"/>
        </w:rPr>
        <w:t>保险凭证</w:t>
      </w:r>
    </w:p>
    <w:p w14:paraId="27F31F3E">
      <w:pPr>
        <w:spacing w:line="400" w:lineRule="exact"/>
        <w:ind w:firstLine="420" w:firstLineChars="200"/>
      </w:pPr>
      <w:r>
        <w:t>承包人应在专用合同条款约定的期限内向发包人提交各项保险生效的证据和保险单副本，保险单必须与专用合同条款约定的条件保持一致。</w:t>
      </w:r>
    </w:p>
    <w:p w14:paraId="35025874">
      <w:pPr>
        <w:spacing w:line="400" w:lineRule="exact"/>
        <w:ind w:firstLine="420" w:firstLineChars="200"/>
      </w:pPr>
      <w:r>
        <w:t xml:space="preserve">20.6.2 </w:t>
      </w:r>
      <w:r>
        <w:rPr>
          <w:rFonts w:hint="eastAsia" w:ascii="宋体" w:hAnsi="宋体" w:cs="宋体"/>
        </w:rPr>
        <w:t>保险合同条款的变动</w:t>
      </w:r>
    </w:p>
    <w:p w14:paraId="36082632">
      <w:pPr>
        <w:spacing w:line="400" w:lineRule="exact"/>
        <w:ind w:firstLine="420" w:firstLineChars="200"/>
      </w:pPr>
      <w:r>
        <w:t>承包人需要变动保险合同条款时，应事先征得发包人同意，并通知监理人。保险人作出变动的，承包人应在收到保险人通知后立即通知发包人和监理人。</w:t>
      </w:r>
    </w:p>
    <w:p w14:paraId="71AE0DA6">
      <w:pPr>
        <w:spacing w:line="400" w:lineRule="exact"/>
        <w:ind w:firstLine="420" w:firstLineChars="200"/>
      </w:pPr>
      <w:r>
        <w:t xml:space="preserve">20.6.3 </w:t>
      </w:r>
      <w:r>
        <w:rPr>
          <w:rFonts w:hint="eastAsia" w:ascii="宋体" w:hAnsi="宋体" w:cs="宋体"/>
        </w:rPr>
        <w:t>持续保险</w:t>
      </w:r>
    </w:p>
    <w:p w14:paraId="3D4E9011">
      <w:pPr>
        <w:spacing w:line="400" w:lineRule="exact"/>
        <w:ind w:firstLine="420" w:firstLineChars="200"/>
      </w:pPr>
      <w:r>
        <w:t>承包人应与保险人保持联系，使保险人能够随时了解工程实施中的变动，并确保按保险合同条款要求持续保险。</w:t>
      </w:r>
    </w:p>
    <w:p w14:paraId="09F9B246">
      <w:pPr>
        <w:spacing w:line="400" w:lineRule="exact"/>
        <w:ind w:firstLine="420" w:firstLineChars="200"/>
        <w:rPr>
          <w:rFonts w:eastAsia="Cambria"/>
        </w:rPr>
      </w:pPr>
      <w:r>
        <w:t xml:space="preserve">20.6.4 </w:t>
      </w:r>
      <w:r>
        <w:rPr>
          <w:rFonts w:hint="eastAsia" w:ascii="宋体" w:hAnsi="宋体" w:cs="宋体"/>
        </w:rPr>
        <w:t>保险金不足的补偿</w:t>
      </w:r>
    </w:p>
    <w:p w14:paraId="4B38CF97">
      <w:pPr>
        <w:spacing w:line="400" w:lineRule="exact"/>
        <w:ind w:firstLine="420" w:firstLineChars="200"/>
      </w:pPr>
      <w:r>
        <w:t>保险金不足以补偿损失的，应由承包人和（或）发包人按合同约定负责补偿。</w:t>
      </w:r>
    </w:p>
    <w:p w14:paraId="5D80BB7B">
      <w:pPr>
        <w:spacing w:line="400" w:lineRule="exact"/>
        <w:ind w:firstLine="420" w:firstLineChars="200"/>
        <w:rPr>
          <w:rFonts w:eastAsia="Cambria"/>
        </w:rPr>
      </w:pPr>
      <w:r>
        <w:t xml:space="preserve">20.6.5 </w:t>
      </w:r>
      <w:r>
        <w:rPr>
          <w:rFonts w:hint="eastAsia" w:ascii="宋体" w:hAnsi="宋体" w:cs="宋体"/>
        </w:rPr>
        <w:t>未按约定投保的补救</w:t>
      </w:r>
    </w:p>
    <w:p w14:paraId="2EA53F8B">
      <w:pPr>
        <w:spacing w:line="400" w:lineRule="exact"/>
        <w:ind w:firstLine="420" w:firstLineChars="200"/>
        <w:rPr>
          <w:rFonts w:eastAsia="Cambria"/>
        </w:rPr>
      </w:pPr>
      <w:r>
        <w:t>（1）由于负有投保义务的一方当事人未按合同约定办理保险，或未能使保险持续有效的，另一方当事人可代为办理，所需费用由对方当事人承担。</w:t>
      </w:r>
    </w:p>
    <w:p w14:paraId="14837384">
      <w:pPr>
        <w:spacing w:line="400" w:lineRule="exact"/>
        <w:ind w:firstLine="420" w:firstLineChars="200"/>
      </w:pPr>
      <w:r>
        <w:t>（2）由于负有投保义务的一方当事人未按合同约定办理某项保险，导致受益人未能得到保险人的赔偿，原应从该项保险得到的保险金应由负有投保义务的一方当事人支付。</w:t>
      </w:r>
    </w:p>
    <w:p w14:paraId="11F35564">
      <w:pPr>
        <w:spacing w:line="400" w:lineRule="exact"/>
        <w:ind w:firstLine="420" w:firstLineChars="200"/>
        <w:rPr>
          <w:rFonts w:eastAsia="Cambria"/>
        </w:rPr>
      </w:pPr>
      <w:r>
        <w:t xml:space="preserve">20.6.6 </w:t>
      </w:r>
      <w:r>
        <w:rPr>
          <w:rFonts w:hint="eastAsia" w:ascii="宋体" w:hAnsi="宋体" w:cs="宋体"/>
        </w:rPr>
        <w:t>报告义务</w:t>
      </w:r>
    </w:p>
    <w:p w14:paraId="3F1F86EA">
      <w:pPr>
        <w:spacing w:line="400" w:lineRule="exact"/>
        <w:ind w:firstLine="420" w:firstLineChars="200"/>
      </w:pPr>
      <w:r>
        <w:t>当保险事故发生时，投保人应按照保险单规定的条件和期限及时向保险人报告。</w:t>
      </w:r>
    </w:p>
    <w:p w14:paraId="37879194">
      <w:pPr>
        <w:pStyle w:val="548"/>
        <w:spacing w:before="120" w:after="120"/>
        <w:rPr>
          <w:rFonts w:cs="仿宋_GB2312"/>
        </w:rPr>
      </w:pPr>
      <w:bookmarkStart w:id="1427" w:name="_Toc338944842"/>
      <w:bookmarkStart w:id="1428" w:name="_Toc469660037"/>
      <w:bookmarkStart w:id="1429" w:name="_Toc109914445"/>
      <w:bookmarkStart w:id="1430" w:name="_Toc448758542"/>
      <w:bookmarkStart w:id="1431" w:name="_Toc129798380"/>
      <w:bookmarkStart w:id="1432" w:name="_Toc142385667"/>
      <w:bookmarkStart w:id="1433" w:name="_Toc132619129"/>
      <w:bookmarkStart w:id="1434" w:name="_Toc448758442"/>
      <w:bookmarkStart w:id="1435" w:name="_Toc342296400"/>
      <w:bookmarkStart w:id="1436" w:name="_Toc442365634"/>
      <w:r>
        <w:rPr>
          <w:rFonts w:cs="仿宋_GB2312"/>
        </w:rPr>
        <w:t>21. 不可抗力</w:t>
      </w:r>
      <w:bookmarkEnd w:id="1427"/>
      <w:bookmarkEnd w:id="1428"/>
      <w:bookmarkEnd w:id="1429"/>
      <w:bookmarkEnd w:id="1430"/>
      <w:bookmarkEnd w:id="1431"/>
      <w:bookmarkEnd w:id="1432"/>
      <w:bookmarkEnd w:id="1433"/>
      <w:bookmarkEnd w:id="1434"/>
      <w:bookmarkEnd w:id="1435"/>
      <w:bookmarkEnd w:id="1436"/>
    </w:p>
    <w:p w14:paraId="66E8BB0C">
      <w:pPr>
        <w:pStyle w:val="512"/>
        <w:spacing w:before="120" w:after="120"/>
      </w:pPr>
      <w:bookmarkStart w:id="1437" w:name="_Toc109914446"/>
      <w:bookmarkStart w:id="1438" w:name="_Toc132619130"/>
      <w:bookmarkStart w:id="1439" w:name="_Toc342296401"/>
      <w:bookmarkStart w:id="1440" w:name="_Toc142385668"/>
      <w:bookmarkStart w:id="1441" w:name="_Toc129798381"/>
      <w:bookmarkStart w:id="1442" w:name="_Toc338944843"/>
      <w:r>
        <w:t>21.1 不可抗力的确认</w:t>
      </w:r>
      <w:bookmarkEnd w:id="1437"/>
      <w:bookmarkEnd w:id="1438"/>
      <w:bookmarkEnd w:id="1439"/>
      <w:bookmarkEnd w:id="1440"/>
      <w:bookmarkEnd w:id="1441"/>
      <w:bookmarkEnd w:id="1442"/>
    </w:p>
    <w:p w14:paraId="095CA4DD">
      <w:pPr>
        <w:spacing w:line="400" w:lineRule="exact"/>
        <w:ind w:firstLine="420" w:firstLineChars="200"/>
      </w:pPr>
      <w: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422D5C2C">
      <w:pPr>
        <w:spacing w:line="400" w:lineRule="exact"/>
        <w:ind w:firstLine="420" w:firstLineChars="200"/>
      </w:pPr>
      <w: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6135CC10">
      <w:pPr>
        <w:pStyle w:val="512"/>
        <w:spacing w:before="120" w:after="120"/>
      </w:pPr>
      <w:bookmarkStart w:id="1443" w:name="_Toc338944844"/>
      <w:bookmarkStart w:id="1444" w:name="_Toc132619131"/>
      <w:bookmarkStart w:id="1445" w:name="_Toc109914447"/>
      <w:bookmarkStart w:id="1446" w:name="_Toc144974722"/>
      <w:bookmarkStart w:id="1447" w:name="_Toc152042530"/>
      <w:bookmarkStart w:id="1448" w:name="_Toc342296402"/>
      <w:bookmarkStart w:id="1449" w:name="_Toc129798382"/>
      <w:bookmarkStart w:id="1450" w:name="_Toc179632769"/>
      <w:bookmarkStart w:id="1451" w:name="_Toc152045751"/>
      <w:bookmarkStart w:id="1452" w:name="_Toc142385669"/>
      <w:r>
        <w:t>21.2 不可抗力的通知</w:t>
      </w:r>
      <w:bookmarkEnd w:id="1443"/>
      <w:bookmarkEnd w:id="1444"/>
      <w:bookmarkEnd w:id="1445"/>
      <w:bookmarkEnd w:id="1446"/>
      <w:bookmarkEnd w:id="1447"/>
      <w:bookmarkEnd w:id="1448"/>
      <w:bookmarkEnd w:id="1449"/>
      <w:bookmarkEnd w:id="1450"/>
      <w:bookmarkEnd w:id="1451"/>
      <w:bookmarkEnd w:id="1452"/>
    </w:p>
    <w:p w14:paraId="67E277F9">
      <w:pPr>
        <w:spacing w:line="400" w:lineRule="exact"/>
        <w:ind w:firstLine="420" w:firstLineChars="200"/>
      </w:pPr>
      <w:r>
        <w:t>21.2.1 合同一方当事人遇到不可抗力事件，使其履行合同义务受到阻碍时，应立即通知合同另一方当事人和监理人，书面说明不可抗力和受阻碍的详细情况，并提供必要的证明。</w:t>
      </w:r>
    </w:p>
    <w:p w14:paraId="76217674">
      <w:pPr>
        <w:spacing w:line="400" w:lineRule="exact"/>
        <w:ind w:firstLine="420" w:firstLineChars="200"/>
      </w:pPr>
      <w:r>
        <w:t>21.2.2 如不可抗力持续发生，合同一方当事人应及时向合同另一方当事人和监理人提交中间报告，说明不可抗力和履行合同受阻的情况，并于不可抗力事件结束后28天内提交最终报告及有关资料。</w:t>
      </w:r>
    </w:p>
    <w:p w14:paraId="7CCA28AA">
      <w:pPr>
        <w:pStyle w:val="512"/>
        <w:spacing w:before="120" w:after="120"/>
      </w:pPr>
      <w:bookmarkStart w:id="1453" w:name="_Toc142385670"/>
      <w:bookmarkStart w:id="1454" w:name="_Toc342296403"/>
      <w:bookmarkStart w:id="1455" w:name="_Toc338944845"/>
      <w:bookmarkStart w:id="1456" w:name="_Toc109914448"/>
      <w:bookmarkStart w:id="1457" w:name="_Toc129798383"/>
      <w:bookmarkStart w:id="1458" w:name="_Toc132619132"/>
      <w:r>
        <w:t>21.3 不可抗力后果及其处理</w:t>
      </w:r>
      <w:bookmarkEnd w:id="1453"/>
      <w:bookmarkEnd w:id="1454"/>
      <w:bookmarkEnd w:id="1455"/>
      <w:bookmarkEnd w:id="1456"/>
      <w:bookmarkEnd w:id="1457"/>
      <w:bookmarkEnd w:id="1458"/>
    </w:p>
    <w:p w14:paraId="7286EA94">
      <w:pPr>
        <w:spacing w:line="400" w:lineRule="exact"/>
        <w:ind w:firstLine="420" w:firstLineChars="200"/>
      </w:pPr>
      <w:r>
        <w:t xml:space="preserve">21.3.1 </w:t>
      </w:r>
      <w:r>
        <w:rPr>
          <w:rFonts w:hint="eastAsia" w:ascii="宋体" w:hAnsi="宋体" w:cs="宋体"/>
        </w:rPr>
        <w:t>不可抗力造成损害的责任</w:t>
      </w:r>
    </w:p>
    <w:p w14:paraId="3CE23477">
      <w:pPr>
        <w:spacing w:line="400" w:lineRule="exact"/>
        <w:ind w:firstLine="420" w:firstLineChars="200"/>
      </w:pPr>
      <w:r>
        <w:t>除专用合同条款另有约定外，不可抗力导致的人员伤亡、财产损失、费用增加和（或）工期延误等后果，由合同双方按以下原则承担：</w:t>
      </w:r>
    </w:p>
    <w:p w14:paraId="4D038715">
      <w:pPr>
        <w:spacing w:line="400" w:lineRule="exact"/>
        <w:ind w:firstLine="718" w:firstLineChars="342"/>
      </w:pPr>
      <w:r>
        <w:t>（1）永久工程，包括已运至施工场地的材料和工程设备的损害，以及因工程损害造成的第三者人员伤亡和财产损失由发包人承担；</w:t>
      </w:r>
    </w:p>
    <w:p w14:paraId="1B61FFE8">
      <w:pPr>
        <w:spacing w:line="400" w:lineRule="exact"/>
        <w:ind w:firstLine="718" w:firstLineChars="342"/>
      </w:pPr>
      <w:r>
        <w:t>（2）承包人设备的损坏由承包人承担；</w:t>
      </w:r>
    </w:p>
    <w:p w14:paraId="19A32181">
      <w:pPr>
        <w:spacing w:line="400" w:lineRule="exact"/>
        <w:ind w:firstLine="718" w:firstLineChars="342"/>
      </w:pPr>
      <w:r>
        <w:t>（3）发包人和承包人各自承担其人员伤亡和其他财产损失及其相关费用；</w:t>
      </w:r>
    </w:p>
    <w:p w14:paraId="22490A83">
      <w:pPr>
        <w:spacing w:line="400" w:lineRule="exact"/>
        <w:ind w:firstLine="718" w:firstLineChars="342"/>
      </w:pPr>
      <w:r>
        <w:t>（4）承包人的停工损失由承包人承担，但停工期间应监理人要求照管工程和清理、修复工程的金额由发包人承担；</w:t>
      </w:r>
    </w:p>
    <w:p w14:paraId="6725035A">
      <w:pPr>
        <w:spacing w:line="400" w:lineRule="exact"/>
        <w:ind w:firstLine="718" w:firstLineChars="342"/>
      </w:pPr>
      <w:r>
        <w:t>（5）不能按期竣工的，应合理延长工期，承包人不需支付逾期竣工违约金。发包人要求赶工的，承包人应采取赶工措施，赶工费用由发包人承担。</w:t>
      </w:r>
    </w:p>
    <w:p w14:paraId="11FE83A4">
      <w:pPr>
        <w:spacing w:line="400" w:lineRule="exact"/>
        <w:ind w:firstLine="420" w:firstLineChars="200"/>
      </w:pPr>
      <w:r>
        <w:t xml:space="preserve">21.3.2 </w:t>
      </w:r>
      <w:r>
        <w:rPr>
          <w:rFonts w:hint="eastAsia" w:ascii="宋体" w:hAnsi="宋体" w:cs="宋体"/>
        </w:rPr>
        <w:t>延迟履行期间发生的不可抗力</w:t>
      </w:r>
    </w:p>
    <w:p w14:paraId="6C0CEC4A">
      <w:pPr>
        <w:spacing w:line="400" w:lineRule="exact"/>
        <w:ind w:firstLine="420" w:firstLineChars="200"/>
      </w:pPr>
      <w:r>
        <w:t>合同一方当事人延迟履行，在延迟履行期间发生不可抗力的，不免除其责任。</w:t>
      </w:r>
    </w:p>
    <w:p w14:paraId="46D1B830">
      <w:pPr>
        <w:spacing w:line="400" w:lineRule="exact"/>
        <w:ind w:firstLine="420" w:firstLineChars="200"/>
      </w:pPr>
      <w:r>
        <w:t xml:space="preserve">21.3.3 </w:t>
      </w:r>
      <w:r>
        <w:rPr>
          <w:rFonts w:hint="eastAsia" w:ascii="宋体" w:hAnsi="宋体" w:cs="宋体"/>
        </w:rPr>
        <w:t>避免和减少不可抗力损失</w:t>
      </w:r>
    </w:p>
    <w:p w14:paraId="7693D317">
      <w:pPr>
        <w:spacing w:line="400" w:lineRule="exact"/>
        <w:ind w:firstLine="420" w:firstLineChars="200"/>
      </w:pPr>
      <w:r>
        <w:t>不可抗力发生后，发包人和承包人均应采取措施尽量避免和减少损失的扩大，任何一方没有采取有效措施导致损失扩大的，应对扩大的损失承担责任。</w:t>
      </w:r>
    </w:p>
    <w:p w14:paraId="20160867">
      <w:pPr>
        <w:spacing w:line="400" w:lineRule="exact"/>
        <w:ind w:firstLine="420" w:firstLineChars="200"/>
      </w:pPr>
      <w:r>
        <w:t xml:space="preserve">21.3.4 </w:t>
      </w:r>
      <w:r>
        <w:rPr>
          <w:rFonts w:hint="eastAsia" w:ascii="宋体" w:hAnsi="宋体" w:cs="宋体"/>
        </w:rPr>
        <w:t>因不可抗力解除合同</w:t>
      </w:r>
    </w:p>
    <w:p w14:paraId="084D1264">
      <w:pPr>
        <w:spacing w:line="400" w:lineRule="exact"/>
        <w:ind w:firstLine="420" w:firstLineChars="200"/>
      </w:pPr>
      <w: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0FC737EF">
      <w:pPr>
        <w:pStyle w:val="548"/>
        <w:spacing w:before="120" w:after="120"/>
        <w:rPr>
          <w:rFonts w:cs="仿宋_GB2312"/>
        </w:rPr>
      </w:pPr>
      <w:bookmarkStart w:id="1459" w:name="_Toc152042532"/>
      <w:bookmarkStart w:id="1460" w:name="_Toc442365635"/>
      <w:bookmarkStart w:id="1461" w:name="_Toc448758443"/>
      <w:bookmarkStart w:id="1462" w:name="_Toc144974724"/>
      <w:bookmarkStart w:id="1463" w:name="_Toc179632771"/>
      <w:bookmarkStart w:id="1464" w:name="_Toc448758543"/>
      <w:bookmarkStart w:id="1465" w:name="_Toc338944846"/>
      <w:bookmarkStart w:id="1466" w:name="_Toc129798384"/>
      <w:bookmarkStart w:id="1467" w:name="_Toc109914449"/>
      <w:bookmarkStart w:id="1468" w:name="_Toc342296404"/>
      <w:bookmarkStart w:id="1469" w:name="_Toc152045753"/>
      <w:bookmarkStart w:id="1470" w:name="_Toc132619133"/>
      <w:bookmarkStart w:id="1471" w:name="_Toc469660038"/>
      <w:bookmarkStart w:id="1472" w:name="_Toc142385671"/>
      <w:r>
        <w:rPr>
          <w:rFonts w:cs="仿宋_GB2312"/>
        </w:rPr>
        <w:t>22. 违约</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14:paraId="68B988BD">
      <w:pPr>
        <w:pStyle w:val="512"/>
        <w:spacing w:before="120" w:after="120"/>
      </w:pPr>
      <w:bookmarkStart w:id="1473" w:name="_Toc338944847"/>
      <w:bookmarkStart w:id="1474" w:name="_Toc152045754"/>
      <w:bookmarkStart w:id="1475" w:name="_Toc142385672"/>
      <w:bookmarkStart w:id="1476" w:name="_Toc132619134"/>
      <w:bookmarkStart w:id="1477" w:name="_Toc342296405"/>
      <w:bookmarkStart w:id="1478" w:name="_Toc179632772"/>
      <w:bookmarkStart w:id="1479" w:name="_Toc144974725"/>
      <w:bookmarkStart w:id="1480" w:name="_Toc109914450"/>
      <w:bookmarkStart w:id="1481" w:name="_Toc152042533"/>
      <w:bookmarkStart w:id="1482" w:name="_Toc129798385"/>
      <w:r>
        <w:t>22.1 承包人违约</w:t>
      </w:r>
      <w:bookmarkEnd w:id="1473"/>
      <w:bookmarkEnd w:id="1474"/>
      <w:bookmarkEnd w:id="1475"/>
      <w:bookmarkEnd w:id="1476"/>
      <w:bookmarkEnd w:id="1477"/>
      <w:bookmarkEnd w:id="1478"/>
      <w:bookmarkEnd w:id="1479"/>
      <w:bookmarkEnd w:id="1480"/>
      <w:bookmarkEnd w:id="1481"/>
      <w:bookmarkEnd w:id="1482"/>
    </w:p>
    <w:p w14:paraId="30BFAE5A">
      <w:pPr>
        <w:spacing w:line="400" w:lineRule="exact"/>
        <w:ind w:firstLine="420" w:firstLineChars="200"/>
      </w:pPr>
      <w:r>
        <w:t>22.1.1</w:t>
      </w:r>
      <w:r>
        <w:rPr>
          <w:rFonts w:eastAsia="Cambria"/>
        </w:rPr>
        <w:t xml:space="preserve"> </w:t>
      </w:r>
      <w:r>
        <w:rPr>
          <w:rFonts w:hint="eastAsia" w:ascii="宋体" w:hAnsi="宋体" w:cs="宋体"/>
        </w:rPr>
        <w:t>承包人违约的情形</w:t>
      </w:r>
    </w:p>
    <w:p w14:paraId="4490778E">
      <w:pPr>
        <w:spacing w:line="400" w:lineRule="exact"/>
        <w:ind w:firstLine="420" w:firstLineChars="200"/>
      </w:pPr>
      <w:r>
        <w:t>在履行合同过程中发生的下列情况属承包人违约：</w:t>
      </w:r>
    </w:p>
    <w:p w14:paraId="754759A6">
      <w:pPr>
        <w:spacing w:line="400" w:lineRule="exact"/>
        <w:ind w:firstLine="718" w:firstLineChars="342"/>
      </w:pPr>
      <w:r>
        <w:t>（1）承包人违反第1.8款或第4.3款的约定，私自将合同的全部或部分权利转让给其他人，或私自将合同的全部或部分义务转移给其他人；</w:t>
      </w:r>
    </w:p>
    <w:p w14:paraId="4D47380E">
      <w:pPr>
        <w:spacing w:line="400" w:lineRule="exact"/>
        <w:ind w:firstLine="718" w:firstLineChars="342"/>
      </w:pPr>
      <w:r>
        <w:t>（2）承包人违反第5.3款或第6.4款的约定，未经监理人批准，私自将已按合同约定进入施工场地的施工设备、临时设施或材料撤离施工场地；</w:t>
      </w:r>
    </w:p>
    <w:p w14:paraId="403E4994">
      <w:pPr>
        <w:spacing w:line="400" w:lineRule="exact"/>
        <w:ind w:firstLine="718" w:firstLineChars="342"/>
      </w:pPr>
      <w:r>
        <w:t>（3）承包人违反第5.4款的约定使用了不合格材料或工程设备，工程质量达不到标准要求，又拒绝清除不合格工程；</w:t>
      </w:r>
    </w:p>
    <w:p w14:paraId="30997A19">
      <w:pPr>
        <w:spacing w:line="400" w:lineRule="exact"/>
        <w:ind w:firstLine="718" w:firstLineChars="342"/>
      </w:pPr>
      <w:r>
        <w:t>（4）承包人未能按合同进度计划及时完成合同约定的工作，已造成或预期造成工期延误；</w:t>
      </w:r>
    </w:p>
    <w:p w14:paraId="0AEDE7ED">
      <w:pPr>
        <w:spacing w:line="400" w:lineRule="exact"/>
        <w:ind w:firstLine="718" w:firstLineChars="342"/>
      </w:pPr>
      <w:r>
        <w:t>（5）承包人在缺陷责任期内，未能对工程接收证书所列的缺陷清单的内容或缺陷责任期内发生的缺陷进行修复，而又拒绝按监理人指示再进行修补；</w:t>
      </w:r>
    </w:p>
    <w:p w14:paraId="63E73694">
      <w:pPr>
        <w:spacing w:line="400" w:lineRule="exact"/>
        <w:ind w:firstLine="718" w:firstLineChars="342"/>
      </w:pPr>
      <w:r>
        <w:t>（6）承包人无法继续履行或明确表示不履行或实质上已停止履行合同；</w:t>
      </w:r>
    </w:p>
    <w:p w14:paraId="3825B08C">
      <w:pPr>
        <w:spacing w:line="400" w:lineRule="exact"/>
        <w:ind w:firstLine="718" w:firstLineChars="342"/>
      </w:pPr>
      <w:r>
        <w:t>（7）承包人不按合同约定履行义务的其他情况。</w:t>
      </w:r>
    </w:p>
    <w:p w14:paraId="18F2AA1A">
      <w:pPr>
        <w:spacing w:line="400" w:lineRule="exact"/>
        <w:ind w:firstLine="420" w:firstLineChars="200"/>
        <w:rPr>
          <w:rFonts w:eastAsia="Cambria"/>
        </w:rPr>
      </w:pPr>
      <w:r>
        <w:t>22.1.2</w:t>
      </w:r>
      <w:r>
        <w:rPr>
          <w:rFonts w:eastAsia="Cambria"/>
        </w:rPr>
        <w:t xml:space="preserve"> </w:t>
      </w:r>
      <w:r>
        <w:rPr>
          <w:rFonts w:hint="eastAsia" w:ascii="宋体" w:hAnsi="宋体" w:cs="宋体"/>
        </w:rPr>
        <w:t>对承包人违约的处理</w:t>
      </w:r>
    </w:p>
    <w:p w14:paraId="3074669C">
      <w:pPr>
        <w:spacing w:line="400" w:lineRule="exact"/>
        <w:ind w:firstLine="718" w:firstLineChars="342"/>
      </w:pPr>
      <w:r>
        <w:t>（1）承包人发生第22.1.1（6）目约定的违约情况时，发包人可通知承包人立即解除合同，并按有关法律处理。</w:t>
      </w:r>
    </w:p>
    <w:p w14:paraId="7C914D3A">
      <w:pPr>
        <w:spacing w:line="400" w:lineRule="exact"/>
        <w:ind w:firstLine="718" w:firstLineChars="342"/>
      </w:pPr>
      <w:r>
        <w:t>（2）承包人发生除第22.1.1（6）目约定以外的其他违约情况时，监理人可向承包人发出整改通知，要求其在指定的期限内改正。承包人应承担其违约所引起的费用增加和（或）工期延误。</w:t>
      </w:r>
    </w:p>
    <w:p w14:paraId="6D4CB31D">
      <w:pPr>
        <w:spacing w:line="400" w:lineRule="exact"/>
        <w:ind w:firstLine="718" w:firstLineChars="342"/>
      </w:pPr>
      <w:r>
        <w:t>（3）经检查证明承包人已采取了有效措施纠正违约行为，具备复工条件的，可由监理人签发复工通知复工。</w:t>
      </w:r>
    </w:p>
    <w:p w14:paraId="328041EB">
      <w:pPr>
        <w:spacing w:line="400" w:lineRule="exact"/>
        <w:ind w:firstLine="420" w:firstLineChars="200"/>
        <w:rPr>
          <w:rFonts w:eastAsia="Cambria"/>
        </w:rPr>
      </w:pPr>
      <w:r>
        <w:t>22.1.3</w:t>
      </w:r>
      <w:r>
        <w:rPr>
          <w:rFonts w:eastAsia="Cambria"/>
        </w:rPr>
        <w:t xml:space="preserve"> </w:t>
      </w:r>
      <w:r>
        <w:rPr>
          <w:rFonts w:hint="eastAsia" w:ascii="宋体" w:hAnsi="宋体" w:cs="宋体"/>
        </w:rPr>
        <w:t>承包人违约解除合同</w:t>
      </w:r>
    </w:p>
    <w:p w14:paraId="7D6D9AE0">
      <w:pPr>
        <w:spacing w:line="400" w:lineRule="exact"/>
        <w:ind w:firstLine="420" w:firstLineChars="200"/>
      </w:pPr>
      <w: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70DB80A7">
      <w:pPr>
        <w:spacing w:line="400" w:lineRule="exact"/>
        <w:ind w:firstLine="420" w:firstLineChars="200"/>
        <w:rPr>
          <w:rFonts w:eastAsia="Cambria"/>
        </w:rPr>
      </w:pPr>
      <w:r>
        <w:t>22.1.4</w:t>
      </w:r>
      <w:r>
        <w:rPr>
          <w:rFonts w:eastAsia="Cambria"/>
        </w:rPr>
        <w:t xml:space="preserve"> </w:t>
      </w:r>
      <w:r>
        <w:rPr>
          <w:rFonts w:hint="eastAsia" w:ascii="宋体" w:hAnsi="宋体" w:cs="宋体"/>
        </w:rPr>
        <w:t>合同解除后的估价、付款和结清</w:t>
      </w:r>
    </w:p>
    <w:p w14:paraId="2FE37B7C">
      <w:pPr>
        <w:spacing w:line="400" w:lineRule="exact"/>
        <w:ind w:firstLine="718" w:firstLineChars="342"/>
      </w:pPr>
      <w:r>
        <w:t xml:space="preserve">（1）合同解除后，监理人按第3.5款商定或确定承包人实际完成工作的价值，以及承包人已提供的材料、施工设备、工程设备和临时工程等的价值。 </w:t>
      </w:r>
    </w:p>
    <w:p w14:paraId="4504FE6B">
      <w:pPr>
        <w:spacing w:line="400" w:lineRule="exact"/>
        <w:ind w:firstLine="718" w:firstLineChars="342"/>
      </w:pPr>
      <w:r>
        <w:t xml:space="preserve">（2）合同解除后，发包人应暂停对承包人的一切付款，查清各项付款和已扣款金额，包括承包人应支付的违约金。 </w:t>
      </w:r>
    </w:p>
    <w:p w14:paraId="6BA11574">
      <w:pPr>
        <w:spacing w:line="400" w:lineRule="exact"/>
        <w:ind w:firstLine="718" w:firstLineChars="342"/>
      </w:pPr>
      <w:r>
        <w:t>（3）合同解除后，发包人应按第23.4款的约定向承包人索赔由于解除合同给发包人造成的损失。</w:t>
      </w:r>
    </w:p>
    <w:p w14:paraId="1DC0E107">
      <w:pPr>
        <w:spacing w:line="400" w:lineRule="exact"/>
        <w:ind w:firstLine="718" w:firstLineChars="342"/>
      </w:pPr>
      <w:r>
        <w:t>（4）合同双方确认上述往来款项后，出具最终结清付款证书，结清全部合同款项。</w:t>
      </w:r>
    </w:p>
    <w:p w14:paraId="0B8593F3">
      <w:pPr>
        <w:spacing w:line="400" w:lineRule="exact"/>
        <w:ind w:firstLine="718" w:firstLineChars="342"/>
      </w:pPr>
      <w:r>
        <w:t>（5）发包人和承包人未能就解除合同后的结清达成一致而形成争议的，按第24条的约定办理。</w:t>
      </w:r>
    </w:p>
    <w:p w14:paraId="1E8992EB">
      <w:pPr>
        <w:spacing w:line="400" w:lineRule="exact"/>
        <w:ind w:firstLine="420" w:firstLineChars="200"/>
        <w:rPr>
          <w:rFonts w:eastAsia="Cambria"/>
        </w:rPr>
      </w:pPr>
      <w:r>
        <w:t>22.1.5</w:t>
      </w:r>
      <w:r>
        <w:rPr>
          <w:rFonts w:eastAsia="Cambria"/>
        </w:rPr>
        <w:t xml:space="preserve"> </w:t>
      </w:r>
      <w:r>
        <w:rPr>
          <w:rFonts w:hint="eastAsia" w:ascii="宋体" w:hAnsi="宋体" w:cs="宋体"/>
        </w:rPr>
        <w:t>协议利益的转让</w:t>
      </w:r>
    </w:p>
    <w:p w14:paraId="1ED5F958">
      <w:pPr>
        <w:spacing w:line="400" w:lineRule="exact"/>
        <w:ind w:firstLine="420" w:firstLineChars="200"/>
      </w:pPr>
      <w:r>
        <w:t xml:space="preserve">因承包人违约解除合同的，发包人有权要求承包人将其为实施合同而签订的材料和设备的订货协议或任何服务协议利益转让给发包人，并在解除合同后的14天内，依法办理转让手续。 </w:t>
      </w:r>
    </w:p>
    <w:p w14:paraId="11CB72BF">
      <w:pPr>
        <w:spacing w:line="400" w:lineRule="exact"/>
        <w:ind w:firstLine="420" w:firstLineChars="200"/>
        <w:rPr>
          <w:rFonts w:eastAsia="Cambria"/>
        </w:rPr>
      </w:pPr>
      <w:r>
        <w:t>22.1.6</w:t>
      </w:r>
      <w:r>
        <w:rPr>
          <w:rFonts w:eastAsia="Cambria"/>
        </w:rPr>
        <w:t xml:space="preserve"> </w:t>
      </w:r>
      <w:r>
        <w:rPr>
          <w:rFonts w:hint="eastAsia" w:ascii="宋体" w:hAnsi="宋体" w:cs="宋体"/>
        </w:rPr>
        <w:t>紧急情况下无能力或不愿进行抢救</w:t>
      </w:r>
    </w:p>
    <w:p w14:paraId="44FDD1B1">
      <w:pPr>
        <w:spacing w:line="400" w:lineRule="exact"/>
        <w:ind w:firstLine="420" w:firstLineChars="200"/>
      </w:pPr>
      <w: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58625801">
      <w:pPr>
        <w:pStyle w:val="512"/>
        <w:spacing w:before="120" w:after="120"/>
      </w:pPr>
      <w:bookmarkStart w:id="1483" w:name="_Toc132619135"/>
      <w:bookmarkStart w:id="1484" w:name="_Toc338944848"/>
      <w:bookmarkStart w:id="1485" w:name="_Toc179632773"/>
      <w:bookmarkStart w:id="1486" w:name="_Toc144974726"/>
      <w:bookmarkStart w:id="1487" w:name="_Toc142385673"/>
      <w:bookmarkStart w:id="1488" w:name="_Toc342296406"/>
      <w:bookmarkStart w:id="1489" w:name="_Toc152045755"/>
      <w:bookmarkStart w:id="1490" w:name="_Toc152042534"/>
      <w:bookmarkStart w:id="1491" w:name="_Toc129798386"/>
      <w:bookmarkStart w:id="1492" w:name="_Toc109914451"/>
      <w:r>
        <w:t>22.2 发包人违约</w:t>
      </w:r>
      <w:bookmarkEnd w:id="1483"/>
      <w:bookmarkEnd w:id="1484"/>
      <w:bookmarkEnd w:id="1485"/>
      <w:bookmarkEnd w:id="1486"/>
      <w:bookmarkEnd w:id="1487"/>
      <w:bookmarkEnd w:id="1488"/>
      <w:bookmarkEnd w:id="1489"/>
      <w:bookmarkEnd w:id="1490"/>
      <w:bookmarkEnd w:id="1491"/>
      <w:bookmarkEnd w:id="1492"/>
    </w:p>
    <w:p w14:paraId="4FD6FCFF">
      <w:pPr>
        <w:spacing w:line="400" w:lineRule="exact"/>
        <w:ind w:firstLine="420" w:firstLineChars="200"/>
        <w:rPr>
          <w:rFonts w:eastAsia="Cambria"/>
        </w:rPr>
      </w:pPr>
      <w:r>
        <w:t xml:space="preserve">22.2.1 </w:t>
      </w:r>
      <w:r>
        <w:rPr>
          <w:rFonts w:hint="eastAsia" w:ascii="宋体" w:hAnsi="宋体" w:cs="宋体"/>
        </w:rPr>
        <w:t>发包人违约的情形</w:t>
      </w:r>
    </w:p>
    <w:p w14:paraId="05B4AC4A">
      <w:pPr>
        <w:spacing w:line="400" w:lineRule="exact"/>
        <w:ind w:firstLine="420" w:firstLineChars="200"/>
      </w:pPr>
      <w:r>
        <w:t>在履行合同过程中发生的下列情形，属发包人违约：</w:t>
      </w:r>
    </w:p>
    <w:p w14:paraId="7F424AB3">
      <w:pPr>
        <w:spacing w:line="400" w:lineRule="exact"/>
        <w:ind w:firstLine="718" w:firstLineChars="342"/>
      </w:pPr>
      <w:r>
        <w:t>（1）</w:t>
      </w:r>
      <w:r>
        <w:rPr>
          <w:rFonts w:hint="eastAsia"/>
        </w:rPr>
        <w:t>因发包人原因，</w:t>
      </w:r>
      <w:r>
        <w:t>发包人未能按合同约定支付预付款或合同价款，或拖延、拒绝批准付款申请和支付凭证，导致付款延误的；</w:t>
      </w:r>
    </w:p>
    <w:p w14:paraId="2D38C198">
      <w:pPr>
        <w:spacing w:line="400" w:lineRule="exact"/>
        <w:ind w:firstLine="718" w:firstLineChars="342"/>
      </w:pPr>
      <w:r>
        <w:t>（2）发包人原因造成停工的；</w:t>
      </w:r>
    </w:p>
    <w:p w14:paraId="7567B4C4">
      <w:pPr>
        <w:spacing w:line="400" w:lineRule="exact"/>
        <w:ind w:firstLine="718" w:firstLineChars="342"/>
      </w:pPr>
      <w:r>
        <w:t>（3）监理人无正当理由没有在约定期限内发出复工指示，导致承包人无法复工的；</w:t>
      </w:r>
    </w:p>
    <w:p w14:paraId="268EA729">
      <w:pPr>
        <w:spacing w:line="400" w:lineRule="exact"/>
        <w:ind w:firstLine="718" w:firstLineChars="342"/>
      </w:pPr>
      <w:r>
        <w:t>（4）发包人无法继续履行或明确表示不履行或实质上已停止履行合同的；</w:t>
      </w:r>
    </w:p>
    <w:p w14:paraId="49AF8F5C">
      <w:pPr>
        <w:spacing w:line="400" w:lineRule="exact"/>
        <w:ind w:firstLine="718" w:firstLineChars="342"/>
      </w:pPr>
      <w:r>
        <w:t>（5）发包人不履行合同约定其他义务的。</w:t>
      </w:r>
    </w:p>
    <w:p w14:paraId="6F1B907D">
      <w:pPr>
        <w:spacing w:line="400" w:lineRule="exact"/>
        <w:ind w:firstLine="420" w:firstLineChars="200"/>
      </w:pPr>
      <w:r>
        <w:t>22.2.2</w:t>
      </w:r>
      <w:r>
        <w:rPr>
          <w:rFonts w:eastAsia="Cambria"/>
        </w:rPr>
        <w:t xml:space="preserve"> </w:t>
      </w:r>
      <w:r>
        <w:rPr>
          <w:rFonts w:hint="eastAsia" w:ascii="宋体" w:hAnsi="宋体" w:cs="宋体"/>
        </w:rPr>
        <w:t>承包人有权暂停施工</w:t>
      </w:r>
    </w:p>
    <w:p w14:paraId="0F8303F9">
      <w:pPr>
        <w:spacing w:line="400" w:lineRule="exact"/>
        <w:ind w:firstLine="420" w:firstLineChars="200"/>
      </w:pPr>
      <w: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303C24F9">
      <w:pPr>
        <w:spacing w:line="400" w:lineRule="exact"/>
        <w:ind w:firstLine="420" w:firstLineChars="200"/>
      </w:pPr>
      <w:r>
        <w:t>22.2.3</w:t>
      </w:r>
      <w:r>
        <w:rPr>
          <w:rFonts w:eastAsia="Cambria"/>
        </w:rPr>
        <w:t xml:space="preserve"> </w:t>
      </w:r>
      <w:r>
        <w:rPr>
          <w:rFonts w:hint="eastAsia" w:ascii="宋体" w:hAnsi="宋体" w:cs="宋体"/>
        </w:rPr>
        <w:t>发包人违约解除合同</w:t>
      </w:r>
      <w:r>
        <w:t xml:space="preserve"> </w:t>
      </w:r>
    </w:p>
    <w:p w14:paraId="0E63432B">
      <w:pPr>
        <w:spacing w:line="400" w:lineRule="exact"/>
        <w:ind w:firstLine="718" w:firstLineChars="342"/>
      </w:pPr>
      <w:r>
        <w:t xml:space="preserve">（1）发生第22.2.1（4）目的违约情况时，承包人可书面通知发包人解除合同。   </w:t>
      </w:r>
    </w:p>
    <w:p w14:paraId="111492E1">
      <w:pPr>
        <w:spacing w:line="400" w:lineRule="exact"/>
        <w:ind w:firstLine="718" w:firstLineChars="342"/>
      </w:pPr>
      <w:r>
        <w:t>（2）承包人按22.2.2项暂停施工28天后，发包人仍不纠正违约行为的，承包人可向发包人发出解除合同通知。但承包人的这一行动不免除发包人承担的违约责任，也不影响承包人根据合同约定享有的索赔权利。</w:t>
      </w:r>
    </w:p>
    <w:p w14:paraId="5D537570">
      <w:pPr>
        <w:spacing w:line="400" w:lineRule="exact"/>
        <w:ind w:firstLine="420" w:firstLineChars="200"/>
        <w:rPr>
          <w:rFonts w:eastAsia="Cambria"/>
        </w:rPr>
      </w:pPr>
      <w:r>
        <w:t>22.2.4</w:t>
      </w:r>
      <w:r>
        <w:rPr>
          <w:rFonts w:eastAsia="Cambria"/>
        </w:rPr>
        <w:t xml:space="preserve"> </w:t>
      </w:r>
      <w:r>
        <w:rPr>
          <w:rFonts w:hint="eastAsia" w:ascii="宋体" w:hAnsi="宋体" w:cs="宋体"/>
        </w:rPr>
        <w:t>解除合同后的付款</w:t>
      </w:r>
    </w:p>
    <w:p w14:paraId="65CD3043">
      <w:pPr>
        <w:spacing w:line="400" w:lineRule="exact"/>
        <w:ind w:firstLine="420" w:firstLineChars="200"/>
      </w:pPr>
      <w:r>
        <w:t>因发包人违约解除合同的，发包人应在解除合同后28天内向承包人支付下列金额，承包人应在此期限内及时向发包人提交要求支付下列金额的有关资料和凭证：</w:t>
      </w:r>
    </w:p>
    <w:p w14:paraId="0BC16DBC">
      <w:pPr>
        <w:spacing w:line="400" w:lineRule="exact"/>
        <w:ind w:firstLine="718" w:firstLineChars="342"/>
      </w:pPr>
      <w:r>
        <w:t>（1）合同解除日以前所完成工作的价款；</w:t>
      </w:r>
    </w:p>
    <w:p w14:paraId="169B6E49">
      <w:pPr>
        <w:spacing w:line="400" w:lineRule="exact"/>
        <w:ind w:firstLine="718" w:firstLineChars="342"/>
      </w:pPr>
      <w:r>
        <w:t>（2）承包人为该工程施工订购并已付款的材料、工程设备和其他物品的金额。发包人付还后，该材料、工程设备和其他物品归发包人所有；</w:t>
      </w:r>
    </w:p>
    <w:p w14:paraId="63E2A7B5">
      <w:pPr>
        <w:spacing w:line="400" w:lineRule="exact"/>
        <w:ind w:firstLine="718" w:firstLineChars="342"/>
      </w:pPr>
      <w:r>
        <w:t>（3）承包人为完成工程所发生的，而发包人未支付的金额；</w:t>
      </w:r>
    </w:p>
    <w:p w14:paraId="0948A5A5">
      <w:pPr>
        <w:spacing w:line="400" w:lineRule="exact"/>
        <w:ind w:firstLine="718" w:firstLineChars="342"/>
      </w:pPr>
      <w:r>
        <w:t>（4）承包人撤离施工场地以及遣散承包人人员的金额；</w:t>
      </w:r>
    </w:p>
    <w:p w14:paraId="43076B15">
      <w:pPr>
        <w:spacing w:line="400" w:lineRule="exact"/>
        <w:ind w:firstLine="718" w:firstLineChars="342"/>
      </w:pPr>
      <w:r>
        <w:t>（5）由于解除合同应赔偿的承包人损失；</w:t>
      </w:r>
    </w:p>
    <w:p w14:paraId="0EA3CAB1">
      <w:pPr>
        <w:spacing w:line="400" w:lineRule="exact"/>
        <w:ind w:firstLine="718" w:firstLineChars="342"/>
      </w:pPr>
      <w:r>
        <w:t>（6）按合同约定在合同解除日前应支付给承包人的其他金额。</w:t>
      </w:r>
    </w:p>
    <w:p w14:paraId="3CA39568">
      <w:pPr>
        <w:spacing w:line="400" w:lineRule="exact"/>
        <w:ind w:firstLine="420" w:firstLineChars="200"/>
      </w:pPr>
      <w:r>
        <w:t>发包人应按本项约定支付上述金额并退还质量保证金和履约担保，但有权要求承包人支付应偿还给发包人的各项金额。</w:t>
      </w:r>
    </w:p>
    <w:p w14:paraId="6AA79DF5">
      <w:pPr>
        <w:spacing w:line="400" w:lineRule="exact"/>
        <w:ind w:firstLine="420" w:firstLineChars="200"/>
        <w:rPr>
          <w:rFonts w:eastAsia="Cambria"/>
        </w:rPr>
      </w:pPr>
      <w:r>
        <w:t>22.2.5</w:t>
      </w:r>
      <w:r>
        <w:rPr>
          <w:rFonts w:eastAsia="Cambria"/>
        </w:rPr>
        <w:t xml:space="preserve"> </w:t>
      </w:r>
      <w:r>
        <w:rPr>
          <w:rFonts w:hint="eastAsia" w:ascii="宋体" w:hAnsi="宋体" w:cs="宋体"/>
        </w:rPr>
        <w:t>解除合同后的承包人撤离</w:t>
      </w:r>
    </w:p>
    <w:p w14:paraId="3B639E6A">
      <w:pPr>
        <w:spacing w:line="400" w:lineRule="exact"/>
        <w:ind w:firstLine="420" w:firstLineChars="200"/>
      </w:pPr>
      <w: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77C11D40">
      <w:pPr>
        <w:pStyle w:val="512"/>
        <w:spacing w:before="120" w:after="120"/>
      </w:pPr>
      <w:bookmarkStart w:id="1493" w:name="_Toc109914452"/>
      <w:bookmarkStart w:id="1494" w:name="_Toc342296407"/>
      <w:bookmarkStart w:id="1495" w:name="_Toc152042535"/>
      <w:bookmarkStart w:id="1496" w:name="_Toc179632774"/>
      <w:bookmarkStart w:id="1497" w:name="_Toc338944849"/>
      <w:bookmarkStart w:id="1498" w:name="_Toc129798387"/>
      <w:bookmarkStart w:id="1499" w:name="_Toc152045756"/>
      <w:bookmarkStart w:id="1500" w:name="_Toc132619136"/>
      <w:bookmarkStart w:id="1501" w:name="_Toc142385674"/>
      <w:r>
        <w:t>22.3 第三人造成的违约</w:t>
      </w:r>
      <w:bookmarkEnd w:id="1493"/>
      <w:bookmarkEnd w:id="1494"/>
      <w:bookmarkEnd w:id="1495"/>
      <w:bookmarkEnd w:id="1496"/>
      <w:bookmarkEnd w:id="1497"/>
      <w:bookmarkEnd w:id="1498"/>
      <w:bookmarkEnd w:id="1499"/>
      <w:bookmarkEnd w:id="1500"/>
      <w:bookmarkEnd w:id="1501"/>
    </w:p>
    <w:p w14:paraId="468C0ACC">
      <w:pPr>
        <w:spacing w:line="400" w:lineRule="exact"/>
        <w:ind w:firstLine="420" w:firstLineChars="200"/>
      </w:pPr>
      <w:r>
        <w:t>在履行合同过程中，一方当事人因第三人的原因造成违约的，应当向对方当事人承担违约责任。一方当事人和第三人之间的纠纷，依照法律规定或者按照约定解决。</w:t>
      </w:r>
    </w:p>
    <w:p w14:paraId="05871957">
      <w:pPr>
        <w:pStyle w:val="548"/>
        <w:spacing w:before="120" w:after="120"/>
        <w:rPr>
          <w:rFonts w:cs="仿宋_GB2312"/>
        </w:rPr>
      </w:pPr>
      <w:bookmarkStart w:id="1502" w:name="_Toc448758544"/>
      <w:bookmarkStart w:id="1503" w:name="_Toc469660039"/>
      <w:bookmarkStart w:id="1504" w:name="_Toc144974727"/>
      <w:bookmarkStart w:id="1505" w:name="_Toc132619137"/>
      <w:bookmarkStart w:id="1506" w:name="_Toc342296408"/>
      <w:bookmarkStart w:id="1507" w:name="_Toc448758444"/>
      <w:bookmarkStart w:id="1508" w:name="_Toc338944850"/>
      <w:bookmarkStart w:id="1509" w:name="_Toc109914453"/>
      <w:bookmarkStart w:id="1510" w:name="_Toc179632775"/>
      <w:bookmarkStart w:id="1511" w:name="_Toc142385675"/>
      <w:bookmarkStart w:id="1512" w:name="_Toc152045757"/>
      <w:bookmarkStart w:id="1513" w:name="_Toc442365636"/>
      <w:bookmarkStart w:id="1514" w:name="_Toc129798388"/>
      <w:bookmarkStart w:id="1515" w:name="_Toc152042536"/>
      <w:r>
        <w:rPr>
          <w:rFonts w:cs="仿宋_GB2312"/>
        </w:rPr>
        <w:t>23. 索赔</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14:paraId="2AE3E14B">
      <w:pPr>
        <w:pStyle w:val="512"/>
        <w:spacing w:before="120" w:after="120"/>
      </w:pPr>
      <w:bookmarkStart w:id="1516" w:name="_Toc129798389"/>
      <w:bookmarkStart w:id="1517" w:name="_Toc152042537"/>
      <w:bookmarkStart w:id="1518" w:name="_Toc132619138"/>
      <w:bookmarkStart w:id="1519" w:name="_Toc179632776"/>
      <w:bookmarkStart w:id="1520" w:name="_Toc142385676"/>
      <w:bookmarkStart w:id="1521" w:name="_Toc109914454"/>
      <w:bookmarkStart w:id="1522" w:name="_Toc144974728"/>
      <w:bookmarkStart w:id="1523" w:name="_Toc338944851"/>
      <w:bookmarkStart w:id="1524" w:name="_Toc152045758"/>
      <w:bookmarkStart w:id="1525" w:name="_Toc342296409"/>
      <w:r>
        <w:t>23.1 承包人索赔的提出</w:t>
      </w:r>
      <w:bookmarkEnd w:id="1516"/>
      <w:bookmarkEnd w:id="1517"/>
      <w:bookmarkEnd w:id="1518"/>
      <w:bookmarkEnd w:id="1519"/>
      <w:bookmarkEnd w:id="1520"/>
      <w:bookmarkEnd w:id="1521"/>
      <w:bookmarkEnd w:id="1522"/>
      <w:bookmarkEnd w:id="1523"/>
      <w:bookmarkEnd w:id="1524"/>
      <w:bookmarkEnd w:id="1525"/>
    </w:p>
    <w:p w14:paraId="0346C70D">
      <w:pPr>
        <w:spacing w:line="400" w:lineRule="exact"/>
        <w:ind w:firstLine="420" w:firstLineChars="200"/>
      </w:pPr>
      <w:r>
        <w:t>根据合同约定，承包人认为有权得到追加付款和（或）延长工期的，应按以下程序向发包人提出索赔：</w:t>
      </w:r>
    </w:p>
    <w:p w14:paraId="4D4EF82B">
      <w:pPr>
        <w:spacing w:line="400" w:lineRule="exact"/>
        <w:ind w:firstLine="359" w:firstLineChars="171"/>
      </w:pPr>
      <w:r>
        <w:t>（1）承包人应在知道或应当知道索赔事件发生后28天内，向监理人递交索赔意向通知书，并说明发生索赔事件的事由。承包人未在前述28天内发出索赔意向通知书的，丧失要求追加付款和（或）延长工期的权利；</w:t>
      </w:r>
    </w:p>
    <w:p w14:paraId="6993572C">
      <w:pPr>
        <w:spacing w:line="400" w:lineRule="exact"/>
        <w:ind w:firstLine="359" w:firstLineChars="171"/>
      </w:pPr>
      <w:r>
        <w:t>（2）承包人应在发出索赔意向通知书后28天内，向监理人正式递交索赔通知书。索赔通知书应详细说明索赔理由以及要求追加的付款金额和（或）延长的工期，并附必要的记录和证明材料；</w:t>
      </w:r>
    </w:p>
    <w:p w14:paraId="548423C0">
      <w:pPr>
        <w:spacing w:line="400" w:lineRule="exact"/>
        <w:ind w:firstLine="359" w:firstLineChars="171"/>
      </w:pPr>
      <w:r>
        <w:t>（3）索赔事件具有连续影响的，承包人应按合理时间间隔继续递交延续索赔通知，说明连续影响的实际情况和记录，列出累计的追加付款金额和（或）工期延长天数；</w:t>
      </w:r>
    </w:p>
    <w:p w14:paraId="6C5C64C0">
      <w:pPr>
        <w:spacing w:line="400" w:lineRule="exact"/>
        <w:ind w:firstLine="359" w:firstLineChars="171"/>
      </w:pPr>
      <w:r>
        <w:t>（4）在索赔事件影响结束后的28天内，承包人应向监理人递交最终索赔通知书，说明最终要求索赔的追加付款金额和延长的工期，并附必要的记录和证明材料。</w:t>
      </w:r>
    </w:p>
    <w:p w14:paraId="2F91F816">
      <w:pPr>
        <w:pStyle w:val="512"/>
        <w:spacing w:before="120" w:after="120"/>
      </w:pPr>
      <w:bookmarkStart w:id="1526" w:name="_Toc179632777"/>
      <w:bookmarkStart w:id="1527" w:name="_Toc342296410"/>
      <w:bookmarkStart w:id="1528" w:name="_Toc132619139"/>
      <w:bookmarkStart w:id="1529" w:name="_Toc152042538"/>
      <w:bookmarkStart w:id="1530" w:name="_Toc152045759"/>
      <w:bookmarkStart w:id="1531" w:name="_Toc109914455"/>
      <w:bookmarkStart w:id="1532" w:name="_Toc338944852"/>
      <w:bookmarkStart w:id="1533" w:name="_Toc144974729"/>
      <w:bookmarkStart w:id="1534" w:name="_Toc129798390"/>
      <w:bookmarkStart w:id="1535" w:name="_Toc142385677"/>
      <w:r>
        <w:t>23.2 承包人索赔处理程序</w:t>
      </w:r>
      <w:bookmarkEnd w:id="1526"/>
      <w:bookmarkEnd w:id="1527"/>
      <w:bookmarkEnd w:id="1528"/>
      <w:bookmarkEnd w:id="1529"/>
      <w:bookmarkEnd w:id="1530"/>
      <w:bookmarkEnd w:id="1531"/>
      <w:bookmarkEnd w:id="1532"/>
      <w:bookmarkEnd w:id="1533"/>
      <w:bookmarkEnd w:id="1534"/>
      <w:bookmarkEnd w:id="1535"/>
    </w:p>
    <w:p w14:paraId="0DE731D9">
      <w:pPr>
        <w:spacing w:line="400" w:lineRule="exact"/>
        <w:ind w:firstLine="359" w:firstLineChars="171"/>
      </w:pPr>
      <w:r>
        <w:t>（1）监理人收到承包人提交的索赔通知书后，应及时审查索赔通知书的内容、查验承包人的记录和证明材料，必要时监理人可要求承包人提交全部原始记录副本。</w:t>
      </w:r>
    </w:p>
    <w:p w14:paraId="796FFABD">
      <w:pPr>
        <w:spacing w:line="400" w:lineRule="exact"/>
        <w:ind w:firstLine="359" w:firstLineChars="171"/>
      </w:pPr>
      <w:r>
        <w:t>（2）监理人应按第3.5款商定或确定追加的付款和（或）延长的工期，并在收到上述索赔通知书或有关索赔的进一步证明材料后的42天内，将索赔处理结果答复承包人。</w:t>
      </w:r>
    </w:p>
    <w:p w14:paraId="57F32B9B">
      <w:pPr>
        <w:spacing w:line="400" w:lineRule="exact"/>
        <w:ind w:firstLine="359" w:firstLineChars="171"/>
      </w:pPr>
      <w:r>
        <w:t>（3）承包人接受索赔处理结果的，发包人应在作出索赔处理结果答复后28天内完成赔付。承包人不接受索赔处理结果的，按第24条的约定办理。</w:t>
      </w:r>
    </w:p>
    <w:p w14:paraId="26DCB865">
      <w:pPr>
        <w:pStyle w:val="512"/>
        <w:spacing w:before="120" w:after="120"/>
      </w:pPr>
      <w:bookmarkStart w:id="1536" w:name="_Toc338944853"/>
      <w:bookmarkStart w:id="1537" w:name="_Toc144974730"/>
      <w:bookmarkStart w:id="1538" w:name="_Toc152045760"/>
      <w:bookmarkStart w:id="1539" w:name="_Toc179632778"/>
      <w:bookmarkStart w:id="1540" w:name="_Toc342296411"/>
      <w:bookmarkStart w:id="1541" w:name="_Toc129798391"/>
      <w:bookmarkStart w:id="1542" w:name="_Toc142385678"/>
      <w:bookmarkStart w:id="1543" w:name="_Toc152042539"/>
      <w:bookmarkStart w:id="1544" w:name="_Toc132619140"/>
      <w:bookmarkStart w:id="1545" w:name="_Toc109914456"/>
      <w:r>
        <w:t>23.3 承包人提出索赔的期限</w:t>
      </w:r>
      <w:bookmarkEnd w:id="1536"/>
      <w:bookmarkEnd w:id="1537"/>
      <w:bookmarkEnd w:id="1538"/>
      <w:bookmarkEnd w:id="1539"/>
      <w:bookmarkEnd w:id="1540"/>
      <w:bookmarkEnd w:id="1541"/>
      <w:bookmarkEnd w:id="1542"/>
      <w:bookmarkEnd w:id="1543"/>
      <w:bookmarkEnd w:id="1544"/>
      <w:bookmarkEnd w:id="1545"/>
    </w:p>
    <w:p w14:paraId="7C9AC16C">
      <w:pPr>
        <w:spacing w:line="400" w:lineRule="exact"/>
        <w:ind w:firstLine="420" w:firstLineChars="200"/>
      </w:pPr>
      <w:r>
        <w:t>23.3.1 承包人按第17.5款的约定接受了竣工付款证书后，应被认为已无权再提出在合同工程接收证书颁发前所发生的任何索赔。</w:t>
      </w:r>
    </w:p>
    <w:p w14:paraId="57FB380E">
      <w:pPr>
        <w:spacing w:line="400" w:lineRule="exact"/>
        <w:ind w:firstLine="420" w:firstLineChars="200"/>
        <w:rPr>
          <w:shd w:val="pct10" w:color="auto" w:fill="FFFFFF"/>
        </w:rPr>
      </w:pPr>
      <w:r>
        <w:t xml:space="preserve">23.3.2 承包人按第17.6款的约定提交的最终结清申请单中，只限于提出工程接收证书颁发后发生的索赔。提出索赔的期限自接受最终结清证书时终止。 </w:t>
      </w:r>
    </w:p>
    <w:p w14:paraId="5BA2599C">
      <w:pPr>
        <w:pStyle w:val="512"/>
        <w:spacing w:before="120" w:after="120"/>
      </w:pPr>
      <w:bookmarkStart w:id="1546" w:name="_Toc152042540"/>
      <w:bookmarkStart w:id="1547" w:name="_Toc179632779"/>
      <w:bookmarkStart w:id="1548" w:name="_Toc144974731"/>
      <w:bookmarkStart w:id="1549" w:name="_Toc342296412"/>
      <w:bookmarkStart w:id="1550" w:name="_Toc152045761"/>
      <w:bookmarkStart w:id="1551" w:name="_Toc109914457"/>
      <w:bookmarkStart w:id="1552" w:name="_Toc129798392"/>
      <w:bookmarkStart w:id="1553" w:name="_Toc132619141"/>
      <w:bookmarkStart w:id="1554" w:name="_Toc338944854"/>
      <w:bookmarkStart w:id="1555" w:name="_Toc142385679"/>
      <w:r>
        <w:t>23.4 发包人的索赔</w:t>
      </w:r>
      <w:bookmarkEnd w:id="1546"/>
      <w:bookmarkEnd w:id="1547"/>
      <w:bookmarkEnd w:id="1548"/>
      <w:bookmarkEnd w:id="1549"/>
      <w:bookmarkEnd w:id="1550"/>
      <w:bookmarkEnd w:id="1551"/>
      <w:bookmarkEnd w:id="1552"/>
      <w:bookmarkEnd w:id="1553"/>
      <w:bookmarkEnd w:id="1554"/>
      <w:bookmarkEnd w:id="1555"/>
    </w:p>
    <w:p w14:paraId="7E549E6B">
      <w:pPr>
        <w:spacing w:line="400" w:lineRule="exact"/>
        <w:ind w:firstLine="420" w:firstLineChars="200"/>
      </w:pPr>
      <w: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0F4E6C87">
      <w:pPr>
        <w:spacing w:line="400" w:lineRule="exact"/>
        <w:ind w:firstLine="420" w:firstLineChars="200"/>
      </w:pPr>
      <w:r>
        <w:t>23.4.2 监理人按第3.5款商定或确定发包人从承包人处得到赔付的金额和（或）缺陷责任期的延长期。承包人应付给发包人的金额可从拟支付给承包人的合同价款中扣除，或由承包人以其他方式支付给发包人。</w:t>
      </w:r>
    </w:p>
    <w:p w14:paraId="4EA6420C">
      <w:pPr>
        <w:pStyle w:val="548"/>
        <w:spacing w:before="120" w:after="120"/>
        <w:rPr>
          <w:rFonts w:cs="仿宋_GB2312"/>
        </w:rPr>
      </w:pPr>
      <w:bookmarkStart w:id="1556" w:name="_Toc132619142"/>
      <w:bookmarkStart w:id="1557" w:name="_Toc142385680"/>
      <w:bookmarkStart w:id="1558" w:name="_Toc342296413"/>
      <w:bookmarkStart w:id="1559" w:name="_Toc448758445"/>
      <w:bookmarkStart w:id="1560" w:name="_Toc338944855"/>
      <w:bookmarkStart w:id="1561" w:name="_Toc129798393"/>
      <w:bookmarkStart w:id="1562" w:name="_Toc442365637"/>
      <w:bookmarkStart w:id="1563" w:name="_Toc109914458"/>
      <w:bookmarkStart w:id="1564" w:name="_Toc448758545"/>
      <w:bookmarkStart w:id="1565" w:name="_Toc469660040"/>
      <w:r>
        <w:rPr>
          <w:rFonts w:cs="仿宋_GB2312"/>
        </w:rPr>
        <w:t>24. 争议的解决</w:t>
      </w:r>
      <w:bookmarkEnd w:id="1556"/>
      <w:bookmarkEnd w:id="1557"/>
      <w:bookmarkEnd w:id="1558"/>
      <w:bookmarkEnd w:id="1559"/>
      <w:bookmarkEnd w:id="1560"/>
      <w:bookmarkEnd w:id="1561"/>
      <w:bookmarkEnd w:id="1562"/>
      <w:bookmarkEnd w:id="1563"/>
      <w:bookmarkEnd w:id="1564"/>
      <w:bookmarkEnd w:id="1565"/>
    </w:p>
    <w:p w14:paraId="5B409961">
      <w:pPr>
        <w:pStyle w:val="512"/>
        <w:spacing w:before="120" w:after="120"/>
      </w:pPr>
      <w:bookmarkStart w:id="1566" w:name="_Toc132619143"/>
      <w:bookmarkStart w:id="1567" w:name="_Toc338944856"/>
      <w:bookmarkStart w:id="1568" w:name="_Toc129798394"/>
      <w:bookmarkStart w:id="1569" w:name="_Toc109914459"/>
      <w:bookmarkStart w:id="1570" w:name="_Toc342296414"/>
      <w:bookmarkStart w:id="1571" w:name="_Toc142385681"/>
      <w:r>
        <w:t>24.1 争议的解决方式</w:t>
      </w:r>
      <w:bookmarkEnd w:id="1566"/>
      <w:bookmarkEnd w:id="1567"/>
      <w:bookmarkEnd w:id="1568"/>
      <w:bookmarkEnd w:id="1569"/>
      <w:bookmarkEnd w:id="1570"/>
      <w:bookmarkEnd w:id="1571"/>
    </w:p>
    <w:p w14:paraId="584901F7">
      <w:pPr>
        <w:spacing w:line="400" w:lineRule="exact"/>
        <w:ind w:firstLine="420" w:firstLineChars="200"/>
      </w:pPr>
      <w: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03DD57DF">
      <w:pPr>
        <w:spacing w:line="400" w:lineRule="exact"/>
        <w:ind w:firstLine="420" w:firstLineChars="200"/>
      </w:pPr>
      <w:r>
        <w:t>（1）向约定的仲裁委员会申请仲裁；</w:t>
      </w:r>
    </w:p>
    <w:p w14:paraId="5D80B225">
      <w:pPr>
        <w:spacing w:line="400" w:lineRule="exact"/>
        <w:ind w:firstLine="420" w:firstLineChars="200"/>
      </w:pPr>
      <w:r>
        <w:t>（2）向有管辖权的人民法院提起诉讼。</w:t>
      </w:r>
    </w:p>
    <w:p w14:paraId="2D3F0EC2">
      <w:pPr>
        <w:pStyle w:val="512"/>
        <w:spacing w:before="120" w:after="120"/>
      </w:pPr>
      <w:bookmarkStart w:id="1572" w:name="_Toc132619144"/>
      <w:bookmarkStart w:id="1573" w:name="_Toc142385682"/>
      <w:bookmarkStart w:id="1574" w:name="_Toc109914460"/>
      <w:bookmarkStart w:id="1575" w:name="_Toc129798395"/>
      <w:bookmarkStart w:id="1576" w:name="_Toc342296415"/>
      <w:bookmarkStart w:id="1577" w:name="_Toc338944857"/>
      <w:r>
        <w:t>24.2 友好解决</w:t>
      </w:r>
      <w:bookmarkEnd w:id="1572"/>
      <w:bookmarkEnd w:id="1573"/>
      <w:bookmarkEnd w:id="1574"/>
      <w:bookmarkEnd w:id="1575"/>
      <w:bookmarkEnd w:id="1576"/>
      <w:bookmarkEnd w:id="1577"/>
    </w:p>
    <w:p w14:paraId="6725EFBB">
      <w:pPr>
        <w:spacing w:line="400" w:lineRule="exact"/>
        <w:ind w:firstLine="420" w:firstLineChars="200"/>
      </w:pPr>
      <w:r>
        <w:t>在提请争议评审、仲裁或者诉讼前，以及在争议评审、仲裁或诉讼过程中，发包人和承包人均可共同努力友好协商解决争议。</w:t>
      </w:r>
    </w:p>
    <w:p w14:paraId="356ACF2C">
      <w:pPr>
        <w:pStyle w:val="512"/>
        <w:spacing w:before="120" w:after="120"/>
      </w:pPr>
      <w:bookmarkStart w:id="1578" w:name="_Toc338944858"/>
      <w:bookmarkStart w:id="1579" w:name="_Toc132619145"/>
      <w:bookmarkStart w:id="1580" w:name="_Toc142385683"/>
      <w:bookmarkStart w:id="1581" w:name="_Toc342296416"/>
      <w:bookmarkStart w:id="1582" w:name="_Toc129798396"/>
      <w:bookmarkStart w:id="1583" w:name="_Toc109914461"/>
      <w:r>
        <w:t>24.3 争议评审</w:t>
      </w:r>
      <w:bookmarkEnd w:id="1578"/>
      <w:bookmarkEnd w:id="1579"/>
      <w:bookmarkEnd w:id="1580"/>
      <w:bookmarkEnd w:id="1581"/>
      <w:bookmarkEnd w:id="1582"/>
      <w:bookmarkEnd w:id="1583"/>
    </w:p>
    <w:p w14:paraId="5D9A9696">
      <w:pPr>
        <w:spacing w:line="400" w:lineRule="exact"/>
        <w:ind w:firstLine="420" w:firstLineChars="200"/>
      </w:pPr>
      <w:r>
        <w:t>24.3.1 采用争议评审的，发包人和承包人应在开工日后的28天内或在争议发生后，协商成立争议评审组。争议评审组由有合同管理和工程实践经验的专家组成。</w:t>
      </w:r>
    </w:p>
    <w:p w14:paraId="0E8FDCE6">
      <w:pPr>
        <w:spacing w:line="400" w:lineRule="exact"/>
        <w:ind w:firstLine="420" w:firstLineChars="200"/>
      </w:pPr>
      <w:r>
        <w:t>24.3.2 合同双方的争议，应首先由申请人向争议评审组提交一份详细的评审申请报告，并附必要的文件、图纸和证明材料，申请人还应将上述报告的副本同时提交给被申请人和监理人。</w:t>
      </w:r>
    </w:p>
    <w:p w14:paraId="401A2651">
      <w:pPr>
        <w:spacing w:line="400" w:lineRule="exact"/>
        <w:ind w:firstLine="420" w:firstLineChars="200"/>
      </w:pPr>
      <w:r>
        <w:t>24.3.3 被申请人在收到申请人评审申请报告副本后的28天内，向争议评审组提交一份答辩报告，并附证明材料。被申请人应将答辩报告的副本同时提交给申请人和监理人。</w:t>
      </w:r>
    </w:p>
    <w:p w14:paraId="463CC532">
      <w:pPr>
        <w:spacing w:line="400" w:lineRule="exact"/>
        <w:ind w:firstLine="420" w:firstLineChars="200"/>
      </w:pPr>
      <w:r>
        <w:t>24.3.4 除专用合同条款另有约定外，争议评审组在收到合同双方报告后的14天内，邀请双方代表和有关人员举行调查会，向双方调查争议细节；必要时争议评审组可要求双方进一步提供补充材料。</w:t>
      </w:r>
    </w:p>
    <w:p w14:paraId="2465EBDA">
      <w:pPr>
        <w:spacing w:line="400" w:lineRule="exact"/>
        <w:ind w:firstLine="420" w:firstLineChars="200"/>
      </w:pPr>
      <w: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7515D81E">
      <w:pPr>
        <w:spacing w:line="400" w:lineRule="exact"/>
        <w:ind w:firstLine="420" w:firstLineChars="200"/>
      </w:pPr>
      <w:r>
        <w:t>24.3.6 发包人和承包人接受评审意见的，由监理人根据评审意见拟定执行协议，经争议双方签字后作为合同的补充文件，并遵照执行。</w:t>
      </w:r>
    </w:p>
    <w:p w14:paraId="6210F381">
      <w:pPr>
        <w:spacing w:line="400" w:lineRule="exact"/>
        <w:ind w:firstLine="420" w:firstLineChars="200"/>
      </w:pPr>
      <w:r>
        <w:t>24.3.7 发包人或承包人不接受评审意见，并要求提交仲裁或提起诉讼的，应在收到评审意见后的14天内将仲裁或起诉意向书面通知另一方，并抄送监理人，但在仲裁或诉讼结束前应暂按总监理工程师的确定执行。</w:t>
      </w:r>
    </w:p>
    <w:p w14:paraId="3F5A7866"/>
    <w:p w14:paraId="0CC9C769"/>
    <w:p w14:paraId="131D5F51">
      <w:pPr>
        <w:sectPr>
          <w:pgSz w:w="11906" w:h="16838"/>
          <w:pgMar w:top="1440" w:right="1797" w:bottom="1440" w:left="1797" w:header="851" w:footer="992" w:gutter="0"/>
          <w:cols w:space="720" w:num="1"/>
          <w:docGrid w:linePitch="312" w:charSpace="0"/>
        </w:sectPr>
      </w:pPr>
    </w:p>
    <w:p w14:paraId="28FD6F6B"/>
    <w:p w14:paraId="1DA81BF0">
      <w:pPr>
        <w:jc w:val="center"/>
        <w:rPr>
          <w:b/>
          <w:sz w:val="44"/>
          <w:szCs w:val="44"/>
        </w:rPr>
      </w:pPr>
    </w:p>
    <w:p w14:paraId="55448547">
      <w:pPr>
        <w:jc w:val="center"/>
        <w:rPr>
          <w:b/>
          <w:sz w:val="44"/>
          <w:szCs w:val="44"/>
        </w:rPr>
      </w:pPr>
    </w:p>
    <w:p w14:paraId="40B9CC62">
      <w:pPr>
        <w:jc w:val="center"/>
        <w:rPr>
          <w:b/>
          <w:sz w:val="44"/>
          <w:szCs w:val="44"/>
        </w:rPr>
      </w:pPr>
    </w:p>
    <w:p w14:paraId="32E2B268">
      <w:pPr>
        <w:jc w:val="center"/>
        <w:rPr>
          <w:b/>
          <w:sz w:val="44"/>
          <w:szCs w:val="44"/>
        </w:rPr>
      </w:pPr>
    </w:p>
    <w:p w14:paraId="3DE2FB5A">
      <w:pPr>
        <w:jc w:val="center"/>
        <w:rPr>
          <w:b/>
          <w:sz w:val="44"/>
          <w:szCs w:val="44"/>
        </w:rPr>
      </w:pPr>
      <w:r>
        <w:rPr>
          <w:b/>
          <w:sz w:val="44"/>
          <w:szCs w:val="44"/>
        </w:rPr>
        <w:t>第</w:t>
      </w:r>
      <w:r>
        <w:rPr>
          <w:rFonts w:hint="eastAsia"/>
          <w:b/>
          <w:sz w:val="44"/>
          <w:szCs w:val="44"/>
        </w:rPr>
        <w:t xml:space="preserve">三节 </w:t>
      </w:r>
      <w:r>
        <w:rPr>
          <w:b/>
          <w:sz w:val="44"/>
          <w:szCs w:val="44"/>
        </w:rPr>
        <w:t>合同</w:t>
      </w:r>
      <w:r>
        <w:rPr>
          <w:rFonts w:hint="eastAsia"/>
          <w:b/>
          <w:sz w:val="44"/>
          <w:szCs w:val="44"/>
        </w:rPr>
        <w:t>条款专用部分</w:t>
      </w:r>
    </w:p>
    <w:p w14:paraId="47D16EAE">
      <w:pPr>
        <w:jc w:val="center"/>
        <w:rPr>
          <w:b/>
          <w:sz w:val="44"/>
          <w:szCs w:val="44"/>
        </w:rPr>
      </w:pPr>
    </w:p>
    <w:p w14:paraId="488FF1E3">
      <w:r>
        <w:rPr>
          <w:sz w:val="28"/>
        </w:rPr>
        <w:br w:type="page"/>
      </w:r>
    </w:p>
    <w:p w14:paraId="553F61C9">
      <w:pPr>
        <w:pStyle w:val="359"/>
        <w:jc w:val="center"/>
        <w:rPr>
          <w:sz w:val="28"/>
          <w:szCs w:val="28"/>
        </w:rPr>
      </w:pPr>
      <w:bookmarkStart w:id="1584" w:name="_Toc142385684"/>
      <w:r>
        <w:rPr>
          <w:rFonts w:hint="eastAsia"/>
          <w:sz w:val="28"/>
          <w:szCs w:val="28"/>
        </w:rPr>
        <w:t>专用合同条款</w:t>
      </w:r>
      <w:bookmarkEnd w:id="1584"/>
    </w:p>
    <w:p w14:paraId="7B97516E">
      <w:pPr>
        <w:pStyle w:val="548"/>
        <w:spacing w:before="120" w:after="120"/>
        <w:rPr>
          <w:rFonts w:cs="仿宋_GB2312"/>
        </w:rPr>
      </w:pPr>
      <w:bookmarkStart w:id="1585" w:name="_Toc241459659"/>
      <w:bookmarkStart w:id="1586" w:name="_Toc342296418"/>
      <w:bookmarkStart w:id="1587" w:name="_Toc448758547"/>
      <w:bookmarkStart w:id="1588" w:name="_Toc129798397"/>
      <w:bookmarkStart w:id="1589" w:name="_Toc142385685"/>
      <w:bookmarkStart w:id="1590" w:name="_Toc448758447"/>
      <w:bookmarkStart w:id="1591" w:name="_Toc469660042"/>
      <w:bookmarkStart w:id="1592" w:name="_Toc442365639"/>
      <w:bookmarkStart w:id="1593" w:name="_Toc132619146"/>
      <w:bookmarkStart w:id="1594" w:name="_Toc109914462"/>
      <w:r>
        <w:rPr>
          <w:rFonts w:cs="仿宋_GB2312"/>
        </w:rPr>
        <w:t>1. 一般约定</w:t>
      </w:r>
      <w:bookmarkEnd w:id="1585"/>
      <w:bookmarkEnd w:id="1586"/>
      <w:bookmarkEnd w:id="1587"/>
      <w:bookmarkEnd w:id="1588"/>
      <w:bookmarkEnd w:id="1589"/>
      <w:bookmarkEnd w:id="1590"/>
      <w:bookmarkEnd w:id="1591"/>
      <w:bookmarkEnd w:id="1592"/>
      <w:bookmarkEnd w:id="1593"/>
      <w:bookmarkEnd w:id="1594"/>
    </w:p>
    <w:p w14:paraId="771BDB00">
      <w:pPr>
        <w:pStyle w:val="512"/>
        <w:spacing w:before="120" w:after="120"/>
      </w:pPr>
      <w:bookmarkStart w:id="1595" w:name="_Toc129798398"/>
      <w:bookmarkStart w:id="1596" w:name="_Toc179632630"/>
      <w:bookmarkStart w:id="1597" w:name="_Toc144974580"/>
      <w:bookmarkStart w:id="1598" w:name="_Toc241459660"/>
      <w:bookmarkStart w:id="1599" w:name="_Toc132619147"/>
      <w:bookmarkStart w:id="1600" w:name="_Toc142385686"/>
      <w:bookmarkStart w:id="1601" w:name="_Toc109914463"/>
      <w:bookmarkStart w:id="1602" w:name="_Toc152042390"/>
      <w:bookmarkStart w:id="1603" w:name="_Toc342296419"/>
      <w:bookmarkStart w:id="1604" w:name="_Toc152045612"/>
      <w:r>
        <w:t>1.1 词语定义</w:t>
      </w:r>
      <w:bookmarkEnd w:id="1595"/>
      <w:bookmarkEnd w:id="1596"/>
      <w:bookmarkEnd w:id="1597"/>
      <w:bookmarkEnd w:id="1598"/>
      <w:bookmarkEnd w:id="1599"/>
      <w:bookmarkEnd w:id="1600"/>
      <w:bookmarkEnd w:id="1601"/>
      <w:bookmarkEnd w:id="1602"/>
      <w:bookmarkEnd w:id="1603"/>
      <w:bookmarkEnd w:id="1604"/>
    </w:p>
    <w:p w14:paraId="02AD7A87">
      <w:pPr>
        <w:spacing w:line="400" w:lineRule="exact"/>
        <w:ind w:firstLine="420" w:firstLineChars="200"/>
        <w:rPr>
          <w:rFonts w:eastAsia="Cambria"/>
          <w:szCs w:val="21"/>
        </w:rPr>
      </w:pPr>
      <w:r>
        <w:rPr>
          <w:rFonts w:eastAsia="Cambria"/>
          <w:szCs w:val="21"/>
        </w:rPr>
        <w:t>1.1.2</w:t>
      </w:r>
      <w:r>
        <w:rPr>
          <w:rFonts w:hint="eastAsia" w:ascii="宋体" w:hAnsi="宋体" w:cs="宋体"/>
          <w:szCs w:val="21"/>
        </w:rPr>
        <w:t>合同当事人和人员</w:t>
      </w:r>
    </w:p>
    <w:p w14:paraId="54423355">
      <w:pPr>
        <w:spacing w:line="400" w:lineRule="exact"/>
        <w:ind w:firstLine="420" w:firstLineChars="200"/>
        <w:jc w:val="left"/>
        <w:rPr>
          <w:szCs w:val="21"/>
        </w:rPr>
      </w:pPr>
      <w:r>
        <w:rPr>
          <w:szCs w:val="21"/>
        </w:rPr>
        <w:t>1.1.2.2发包人：</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rPr>
        <w:t>。</w:t>
      </w:r>
    </w:p>
    <w:p w14:paraId="0AB816C1">
      <w:pPr>
        <w:spacing w:line="400" w:lineRule="exact"/>
        <w:ind w:firstLine="420" w:firstLineChars="200"/>
        <w:jc w:val="left"/>
        <w:rPr>
          <w:szCs w:val="21"/>
        </w:rPr>
      </w:pPr>
      <w:r>
        <w:rPr>
          <w:szCs w:val="21"/>
        </w:rPr>
        <w:t>1.1.2.4发包人代表：指发包人指定的派驻施工场地（现场）的全权代表。</w:t>
      </w:r>
    </w:p>
    <w:p w14:paraId="534DB08C">
      <w:pPr>
        <w:spacing w:line="400" w:lineRule="exact"/>
        <w:ind w:firstLine="420" w:firstLineChars="200"/>
        <w:jc w:val="left"/>
        <w:rPr>
          <w:szCs w:val="21"/>
        </w:rPr>
      </w:pPr>
      <w:r>
        <w:rPr>
          <w:szCs w:val="21"/>
        </w:rPr>
        <w:t>姓    名：</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w:t>
      </w:r>
    </w:p>
    <w:p w14:paraId="667ABACE">
      <w:pPr>
        <w:spacing w:line="400" w:lineRule="exact"/>
        <w:ind w:firstLine="420" w:firstLineChars="200"/>
        <w:jc w:val="left"/>
        <w:rPr>
          <w:szCs w:val="21"/>
        </w:rPr>
      </w:pPr>
      <w:r>
        <w:rPr>
          <w:szCs w:val="21"/>
        </w:rPr>
        <w:t>职    称：</w:t>
      </w:r>
      <w:r>
        <w:rPr>
          <w:szCs w:val="21"/>
          <w:u w:val="single"/>
        </w:rPr>
        <w:t xml:space="preserve">     </w:t>
      </w:r>
      <w:r>
        <w:rPr>
          <w:rFonts w:hint="eastAsia"/>
          <w:szCs w:val="21"/>
          <w:u w:val="single"/>
        </w:rPr>
        <w:t xml:space="preserve">      </w:t>
      </w:r>
      <w:r>
        <w:rPr>
          <w:szCs w:val="21"/>
          <w:u w:val="single"/>
        </w:rPr>
        <w:t xml:space="preserve">                                    </w:t>
      </w:r>
      <w:r>
        <w:rPr>
          <w:szCs w:val="21"/>
        </w:rPr>
        <w:t>。</w:t>
      </w:r>
    </w:p>
    <w:p w14:paraId="0D5D69C6">
      <w:pPr>
        <w:spacing w:line="400" w:lineRule="exact"/>
        <w:ind w:firstLine="420" w:firstLineChars="200"/>
        <w:jc w:val="left"/>
        <w:rPr>
          <w:szCs w:val="21"/>
        </w:rPr>
      </w:pPr>
      <w:r>
        <w:rPr>
          <w:szCs w:val="21"/>
        </w:rPr>
        <w:t>联系电话：</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w:t>
      </w:r>
    </w:p>
    <w:p w14:paraId="53AF8AD9">
      <w:pPr>
        <w:spacing w:line="400" w:lineRule="exact"/>
        <w:ind w:firstLine="420" w:firstLineChars="200"/>
        <w:jc w:val="left"/>
        <w:rPr>
          <w:szCs w:val="21"/>
        </w:rPr>
      </w:pPr>
      <w:r>
        <w:rPr>
          <w:szCs w:val="21"/>
        </w:rPr>
        <w:t>电子信箱：</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w:t>
      </w:r>
    </w:p>
    <w:p w14:paraId="106E9056">
      <w:pPr>
        <w:spacing w:line="400" w:lineRule="exact"/>
        <w:ind w:firstLine="420" w:firstLineChars="200"/>
        <w:jc w:val="left"/>
        <w:rPr>
          <w:szCs w:val="21"/>
        </w:rPr>
      </w:pPr>
      <w:r>
        <w:rPr>
          <w:szCs w:val="21"/>
        </w:rPr>
        <w:t>通信地址：</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w:t>
      </w:r>
    </w:p>
    <w:p w14:paraId="7CA3DD20">
      <w:pPr>
        <w:spacing w:line="400" w:lineRule="exact"/>
        <w:ind w:firstLine="420" w:firstLineChars="200"/>
        <w:jc w:val="left"/>
        <w:rPr>
          <w:szCs w:val="21"/>
        </w:rPr>
      </w:pPr>
      <w:r>
        <w:rPr>
          <w:szCs w:val="21"/>
        </w:rPr>
        <w:t>1.1.2.6监理人：</w:t>
      </w:r>
    </w:p>
    <w:p w14:paraId="35670312">
      <w:pPr>
        <w:spacing w:line="400" w:lineRule="exact"/>
        <w:ind w:firstLine="420" w:firstLineChars="200"/>
        <w:jc w:val="left"/>
        <w:rPr>
          <w:szCs w:val="21"/>
        </w:rPr>
      </w:pPr>
      <w:r>
        <w:rPr>
          <w:rFonts w:hint="eastAsia"/>
          <w:szCs w:val="21"/>
        </w:rPr>
        <w:t>名</w:t>
      </w:r>
      <w:r>
        <w:rPr>
          <w:szCs w:val="21"/>
        </w:rPr>
        <w:t xml:space="preserve">    称：</w:t>
      </w:r>
      <w:r>
        <w:rPr>
          <w:szCs w:val="21"/>
          <w:u w:val="single"/>
        </w:rPr>
        <w:t></w:t>
      </w:r>
      <w:r>
        <w:rPr>
          <w:rFonts w:hint="eastAsia"/>
          <w:szCs w:val="21"/>
          <w:u w:val="single"/>
        </w:rPr>
        <w:t xml:space="preserve">                  </w:t>
      </w:r>
      <w:r>
        <w:rPr>
          <w:szCs w:val="21"/>
        </w:rPr>
        <w:t>；</w:t>
      </w:r>
    </w:p>
    <w:p w14:paraId="4BED997D">
      <w:pPr>
        <w:spacing w:line="400" w:lineRule="exact"/>
        <w:ind w:firstLine="420" w:firstLineChars="200"/>
        <w:jc w:val="left"/>
        <w:rPr>
          <w:szCs w:val="21"/>
        </w:rPr>
      </w:pPr>
      <w:r>
        <w:rPr>
          <w:rFonts w:hint="eastAsia"/>
          <w:szCs w:val="21"/>
        </w:rPr>
        <w:t>资质类别和等级：</w:t>
      </w:r>
      <w:r>
        <w:rPr>
          <w:rFonts w:hint="eastAsia"/>
          <w:szCs w:val="21"/>
          <w:u w:val="single"/>
        </w:rPr>
        <w:t xml:space="preserve">               </w:t>
      </w:r>
      <w:r>
        <w:rPr>
          <w:szCs w:val="21"/>
          <w:u w:val="single"/>
        </w:rPr>
        <w:t></w:t>
      </w:r>
      <w:r>
        <w:rPr>
          <w:szCs w:val="21"/>
        </w:rPr>
        <w:t>；</w:t>
      </w:r>
    </w:p>
    <w:p w14:paraId="752622FA">
      <w:pPr>
        <w:spacing w:line="400" w:lineRule="exact"/>
        <w:ind w:firstLine="420" w:firstLineChars="200"/>
        <w:jc w:val="left"/>
        <w:rPr>
          <w:szCs w:val="21"/>
        </w:rPr>
      </w:pPr>
      <w:r>
        <w:rPr>
          <w:rFonts w:hint="eastAsia"/>
          <w:szCs w:val="21"/>
        </w:rPr>
        <w:t>联系电话：</w:t>
      </w:r>
      <w:r>
        <w:rPr>
          <w:szCs w:val="21"/>
          <w:u w:val="single"/>
        </w:rPr>
        <w:t xml:space="preserve"> </w:t>
      </w:r>
      <w:r>
        <w:rPr>
          <w:rFonts w:hint="eastAsia"/>
          <w:szCs w:val="21"/>
          <w:u w:val="single"/>
        </w:rPr>
        <w:t xml:space="preserve"> </w:t>
      </w:r>
      <w:r>
        <w:rPr>
          <w:szCs w:val="21"/>
          <w:u w:val="single"/>
        </w:rPr>
        <w:t xml:space="preserve">        </w:t>
      </w:r>
      <w:r>
        <w:rPr>
          <w:szCs w:val="21"/>
        </w:rPr>
        <w:t>；</w:t>
      </w:r>
    </w:p>
    <w:p w14:paraId="5318D777">
      <w:pPr>
        <w:spacing w:line="400" w:lineRule="exact"/>
        <w:ind w:firstLine="420" w:firstLineChars="200"/>
        <w:jc w:val="left"/>
        <w:rPr>
          <w:szCs w:val="21"/>
        </w:rPr>
      </w:pPr>
      <w:r>
        <w:rPr>
          <w:rFonts w:hint="eastAsia"/>
          <w:szCs w:val="21"/>
        </w:rPr>
        <w:t>电子信箱：</w:t>
      </w:r>
      <w:r>
        <w:rPr>
          <w:szCs w:val="21"/>
          <w:u w:val="single"/>
        </w:rPr>
        <w:t xml:space="preserve"> </w:t>
      </w:r>
      <w:r>
        <w:rPr>
          <w:rFonts w:hint="eastAsia"/>
          <w:szCs w:val="21"/>
          <w:u w:val="single"/>
        </w:rPr>
        <w:t xml:space="preserve"> </w:t>
      </w:r>
      <w:r>
        <w:rPr>
          <w:szCs w:val="21"/>
          <w:u w:val="single"/>
        </w:rPr>
        <w:t xml:space="preserve">          </w:t>
      </w:r>
      <w:r>
        <w:rPr>
          <w:szCs w:val="21"/>
        </w:rPr>
        <w:t>；</w:t>
      </w:r>
    </w:p>
    <w:p w14:paraId="7B0ED9CD">
      <w:pPr>
        <w:spacing w:line="400" w:lineRule="exact"/>
        <w:ind w:firstLine="420" w:firstLineChars="200"/>
        <w:jc w:val="left"/>
        <w:rPr>
          <w:szCs w:val="21"/>
        </w:rPr>
      </w:pPr>
      <w:r>
        <w:rPr>
          <w:rFonts w:hint="eastAsia"/>
          <w:szCs w:val="21"/>
        </w:rPr>
        <w:t xml:space="preserve">通信地址：  </w:t>
      </w:r>
      <w:r>
        <w:rPr>
          <w:szCs w:val="21"/>
          <w:u w:val="single"/>
        </w:rPr>
        <w:t xml:space="preserve"> </w:t>
      </w:r>
      <w:r>
        <w:rPr>
          <w:rFonts w:hint="eastAsia"/>
          <w:szCs w:val="21"/>
          <w:u w:val="single"/>
        </w:rPr>
        <w:t xml:space="preserve"> </w:t>
      </w:r>
      <w:r>
        <w:rPr>
          <w:szCs w:val="21"/>
          <w:u w:val="single"/>
        </w:rPr>
        <w:t xml:space="preserve">          </w:t>
      </w:r>
      <w:r>
        <w:rPr>
          <w:szCs w:val="21"/>
        </w:rPr>
        <w:t>。</w:t>
      </w:r>
    </w:p>
    <w:p w14:paraId="03C68B0E">
      <w:pPr>
        <w:spacing w:line="400" w:lineRule="exact"/>
        <w:ind w:firstLine="420" w:firstLineChars="200"/>
        <w:jc w:val="left"/>
        <w:rPr>
          <w:szCs w:val="21"/>
        </w:rPr>
      </w:pPr>
      <w:r>
        <w:rPr>
          <w:szCs w:val="21"/>
        </w:rPr>
        <w:t>1.1.2.8 设计人：</w:t>
      </w:r>
    </w:p>
    <w:p w14:paraId="72D15C0B">
      <w:pPr>
        <w:spacing w:line="400" w:lineRule="exact"/>
        <w:ind w:firstLine="420" w:firstLineChars="200"/>
        <w:jc w:val="left"/>
        <w:rPr>
          <w:szCs w:val="21"/>
        </w:rPr>
      </w:pPr>
      <w:r>
        <w:rPr>
          <w:rFonts w:hint="eastAsia"/>
          <w:szCs w:val="21"/>
        </w:rPr>
        <w:t>名</w:t>
      </w:r>
      <w:r>
        <w:rPr>
          <w:rFonts w:ascii="Calibri" w:hAnsi="Calibri" w:cs="Calibri"/>
          <w:szCs w:val="21"/>
        </w:rPr>
        <w:t>   </w:t>
      </w:r>
      <w:r>
        <w:rPr>
          <w:rFonts w:hint="eastAsia"/>
          <w:szCs w:val="21"/>
        </w:rPr>
        <w:t xml:space="preserve"> 称：    </w:t>
      </w:r>
      <w:r>
        <w:rPr>
          <w:szCs w:val="21"/>
          <w:u w:val="single"/>
        </w:rPr>
        <w:t xml:space="preserve"> </w:t>
      </w:r>
      <w:r>
        <w:rPr>
          <w:rFonts w:hint="eastAsia"/>
          <w:szCs w:val="21"/>
          <w:u w:val="single"/>
        </w:rPr>
        <w:t xml:space="preserve"> / </w:t>
      </w:r>
      <w:r>
        <w:rPr>
          <w:rFonts w:hint="eastAsia"/>
          <w:szCs w:val="21"/>
        </w:rPr>
        <w:t>；</w:t>
      </w:r>
    </w:p>
    <w:p w14:paraId="64C50888">
      <w:pPr>
        <w:spacing w:line="400" w:lineRule="exact"/>
        <w:ind w:firstLine="420" w:firstLineChars="200"/>
        <w:jc w:val="left"/>
        <w:rPr>
          <w:szCs w:val="21"/>
        </w:rPr>
      </w:pPr>
      <w:r>
        <w:rPr>
          <w:rFonts w:hint="eastAsia"/>
          <w:szCs w:val="21"/>
        </w:rPr>
        <w:t xml:space="preserve">资质类别和等级： </w:t>
      </w:r>
      <w:r>
        <w:rPr>
          <w:szCs w:val="21"/>
          <w:u w:val="single"/>
        </w:rPr>
        <w:t xml:space="preserve"> </w:t>
      </w:r>
      <w:r>
        <w:rPr>
          <w:rFonts w:hint="eastAsia"/>
          <w:szCs w:val="21"/>
          <w:u w:val="single"/>
        </w:rPr>
        <w:t xml:space="preserve"> / </w:t>
      </w:r>
      <w:r>
        <w:rPr>
          <w:rFonts w:hint="eastAsia"/>
          <w:szCs w:val="21"/>
        </w:rPr>
        <w:t>；</w:t>
      </w:r>
    </w:p>
    <w:p w14:paraId="75E53107">
      <w:pPr>
        <w:spacing w:line="400" w:lineRule="exact"/>
        <w:ind w:firstLine="420" w:firstLineChars="200"/>
        <w:jc w:val="left"/>
        <w:rPr>
          <w:szCs w:val="21"/>
        </w:rPr>
      </w:pPr>
      <w:r>
        <w:rPr>
          <w:rFonts w:hint="eastAsia"/>
          <w:szCs w:val="21"/>
        </w:rPr>
        <w:t xml:space="preserve">联系电话： </w:t>
      </w:r>
      <w:r>
        <w:rPr>
          <w:szCs w:val="21"/>
          <w:u w:val="single"/>
        </w:rPr>
        <w:t xml:space="preserve"> </w:t>
      </w:r>
      <w:r>
        <w:rPr>
          <w:rFonts w:hint="eastAsia"/>
          <w:szCs w:val="21"/>
          <w:u w:val="single"/>
        </w:rPr>
        <w:t xml:space="preserve"> / </w:t>
      </w:r>
      <w:r>
        <w:rPr>
          <w:rFonts w:hint="eastAsia"/>
          <w:szCs w:val="21"/>
        </w:rPr>
        <w:t>；</w:t>
      </w:r>
    </w:p>
    <w:p w14:paraId="7496E1C2">
      <w:pPr>
        <w:spacing w:line="400" w:lineRule="exact"/>
        <w:ind w:firstLine="420" w:firstLineChars="200"/>
        <w:jc w:val="left"/>
        <w:rPr>
          <w:szCs w:val="21"/>
        </w:rPr>
      </w:pPr>
      <w:r>
        <w:rPr>
          <w:rFonts w:hint="eastAsia"/>
          <w:szCs w:val="21"/>
        </w:rPr>
        <w:t xml:space="preserve">电子信箱： </w:t>
      </w:r>
      <w:r>
        <w:rPr>
          <w:szCs w:val="21"/>
          <w:u w:val="single"/>
        </w:rPr>
        <w:t xml:space="preserve"> </w:t>
      </w:r>
      <w:r>
        <w:rPr>
          <w:rFonts w:hint="eastAsia"/>
          <w:szCs w:val="21"/>
          <w:u w:val="single"/>
        </w:rPr>
        <w:t xml:space="preserve"> / </w:t>
      </w:r>
      <w:r>
        <w:rPr>
          <w:rFonts w:hint="eastAsia"/>
          <w:szCs w:val="21"/>
        </w:rPr>
        <w:t>；</w:t>
      </w:r>
    </w:p>
    <w:p w14:paraId="5B5FD85F">
      <w:pPr>
        <w:spacing w:line="400" w:lineRule="exact"/>
        <w:ind w:firstLine="420" w:firstLineChars="200"/>
        <w:jc w:val="left"/>
        <w:rPr>
          <w:szCs w:val="21"/>
          <w:u w:val="single"/>
        </w:rPr>
      </w:pPr>
      <w:r>
        <w:rPr>
          <w:rFonts w:hint="eastAsia"/>
          <w:szCs w:val="21"/>
        </w:rPr>
        <w:t xml:space="preserve">通信地址： </w:t>
      </w:r>
      <w:r>
        <w:rPr>
          <w:szCs w:val="21"/>
          <w:u w:val="single"/>
        </w:rPr>
        <w:t xml:space="preserve"> </w:t>
      </w:r>
      <w:r>
        <w:rPr>
          <w:rFonts w:hint="eastAsia"/>
          <w:szCs w:val="21"/>
          <w:u w:val="single"/>
        </w:rPr>
        <w:t xml:space="preserve"> / </w:t>
      </w:r>
      <w:r>
        <w:rPr>
          <w:rFonts w:hint="eastAsia"/>
          <w:szCs w:val="21"/>
        </w:rPr>
        <w:t>。</w:t>
      </w:r>
    </w:p>
    <w:p w14:paraId="06FC88F6">
      <w:pPr>
        <w:spacing w:line="400" w:lineRule="exact"/>
        <w:ind w:firstLine="420" w:firstLineChars="200"/>
        <w:jc w:val="left"/>
        <w:rPr>
          <w:szCs w:val="21"/>
        </w:rPr>
      </w:pPr>
      <w:r>
        <w:rPr>
          <w:rFonts w:hint="eastAsia"/>
          <w:szCs w:val="21"/>
        </w:rPr>
        <w:t>1.1.2.9承包人：</w:t>
      </w:r>
    </w:p>
    <w:p w14:paraId="211EEDAE">
      <w:pPr>
        <w:spacing w:line="400" w:lineRule="exact"/>
        <w:ind w:firstLine="420" w:firstLineChars="200"/>
        <w:jc w:val="left"/>
        <w:rPr>
          <w:szCs w:val="21"/>
        </w:rPr>
      </w:pPr>
      <w:r>
        <w:rPr>
          <w:rFonts w:hint="eastAsia"/>
          <w:szCs w:val="21"/>
        </w:rPr>
        <w:t>承包人项目经理：</w:t>
      </w:r>
    </w:p>
    <w:p w14:paraId="3A90FB69">
      <w:pPr>
        <w:spacing w:line="400" w:lineRule="exact"/>
        <w:ind w:firstLine="420" w:firstLineChars="200"/>
        <w:jc w:val="left"/>
        <w:rPr>
          <w:szCs w:val="21"/>
        </w:rPr>
      </w:pPr>
      <w:r>
        <w:rPr>
          <w:rFonts w:hint="eastAsia"/>
          <w:szCs w:val="21"/>
        </w:rPr>
        <w:t>姓</w:t>
      </w:r>
      <w:r>
        <w:rPr>
          <w:szCs w:val="21"/>
        </w:rPr>
        <w:t xml:space="preserve">    名：</w:t>
      </w:r>
      <w:r>
        <w:rPr>
          <w:rFonts w:hint="eastAsia"/>
          <w:szCs w:val="21"/>
          <w:u w:val="single"/>
        </w:rPr>
        <w:t xml:space="preserve">      </w:t>
      </w:r>
      <w:r>
        <w:rPr>
          <w:szCs w:val="21"/>
        </w:rPr>
        <w:t>；</w:t>
      </w:r>
    </w:p>
    <w:p w14:paraId="6709C4C2">
      <w:pPr>
        <w:spacing w:line="400" w:lineRule="exact"/>
        <w:ind w:firstLine="420" w:firstLineChars="200"/>
        <w:jc w:val="left"/>
        <w:rPr>
          <w:szCs w:val="21"/>
        </w:rPr>
      </w:pPr>
      <w:r>
        <w:rPr>
          <w:rFonts w:hint="eastAsia"/>
          <w:szCs w:val="21"/>
        </w:rPr>
        <w:t>身份证号：</w:t>
      </w:r>
      <w:r>
        <w:rPr>
          <w:szCs w:val="21"/>
          <w:u w:val="single"/>
        </w:rPr>
        <w:t xml:space="preserve">              </w:t>
      </w:r>
      <w:r>
        <w:rPr>
          <w:szCs w:val="21"/>
        </w:rPr>
        <w:t>；</w:t>
      </w:r>
    </w:p>
    <w:p w14:paraId="7CCE299A">
      <w:pPr>
        <w:spacing w:line="400" w:lineRule="exact"/>
        <w:ind w:firstLine="420" w:firstLineChars="200"/>
        <w:jc w:val="left"/>
        <w:rPr>
          <w:szCs w:val="21"/>
        </w:rPr>
      </w:pPr>
      <w:r>
        <w:rPr>
          <w:rFonts w:hint="eastAsia"/>
          <w:szCs w:val="21"/>
        </w:rPr>
        <w:t>建造师执业资格等级：</w:t>
      </w:r>
      <w:r>
        <w:rPr>
          <w:rFonts w:hint="eastAsia"/>
          <w:szCs w:val="21"/>
          <w:u w:val="single"/>
        </w:rPr>
        <w:t xml:space="preserve">          </w:t>
      </w:r>
      <w:r>
        <w:rPr>
          <w:szCs w:val="21"/>
        </w:rPr>
        <w:t>；</w:t>
      </w:r>
    </w:p>
    <w:p w14:paraId="0C1F0511">
      <w:pPr>
        <w:spacing w:line="400" w:lineRule="exact"/>
        <w:ind w:firstLine="420" w:firstLineChars="200"/>
        <w:jc w:val="left"/>
        <w:rPr>
          <w:szCs w:val="21"/>
        </w:rPr>
      </w:pPr>
      <w:r>
        <w:rPr>
          <w:rFonts w:hint="eastAsia"/>
          <w:szCs w:val="21"/>
        </w:rPr>
        <w:t>建造师注册证书号：</w:t>
      </w:r>
      <w:r>
        <w:rPr>
          <w:rFonts w:hint="eastAsia"/>
          <w:szCs w:val="21"/>
          <w:u w:val="single"/>
        </w:rPr>
        <w:t xml:space="preserve">             </w:t>
      </w:r>
      <w:r>
        <w:rPr>
          <w:szCs w:val="21"/>
        </w:rPr>
        <w:t>；</w:t>
      </w:r>
    </w:p>
    <w:p w14:paraId="1D120411">
      <w:pPr>
        <w:spacing w:line="400" w:lineRule="exact"/>
        <w:ind w:firstLine="420" w:firstLineChars="200"/>
        <w:jc w:val="left"/>
        <w:rPr>
          <w:szCs w:val="21"/>
        </w:rPr>
      </w:pPr>
      <w:r>
        <w:rPr>
          <w:rFonts w:hint="eastAsia"/>
          <w:szCs w:val="21"/>
        </w:rPr>
        <w:t>建造师执业印章号：</w:t>
      </w:r>
      <w:r>
        <w:rPr>
          <w:rFonts w:hint="eastAsia"/>
          <w:szCs w:val="21"/>
          <w:u w:val="single"/>
        </w:rPr>
        <w:t xml:space="preserve">             </w:t>
      </w:r>
      <w:r>
        <w:rPr>
          <w:szCs w:val="21"/>
        </w:rPr>
        <w:t>；</w:t>
      </w:r>
    </w:p>
    <w:p w14:paraId="5732BE11">
      <w:pPr>
        <w:spacing w:line="400" w:lineRule="exact"/>
        <w:ind w:firstLine="420" w:firstLineChars="200"/>
        <w:jc w:val="left"/>
        <w:rPr>
          <w:szCs w:val="21"/>
        </w:rPr>
      </w:pPr>
      <w:r>
        <w:rPr>
          <w:rFonts w:hint="eastAsia"/>
          <w:szCs w:val="21"/>
        </w:rPr>
        <w:t>安全生产考核合格证书号：</w:t>
      </w:r>
      <w:r>
        <w:rPr>
          <w:szCs w:val="21"/>
          <w:u w:val="single"/>
        </w:rPr>
        <w:t xml:space="preserve">               </w:t>
      </w:r>
      <w:r>
        <w:rPr>
          <w:szCs w:val="21"/>
        </w:rPr>
        <w:t>；</w:t>
      </w:r>
    </w:p>
    <w:p w14:paraId="50B26D5D">
      <w:pPr>
        <w:spacing w:line="400" w:lineRule="exact"/>
        <w:ind w:firstLine="420" w:firstLineChars="200"/>
        <w:jc w:val="left"/>
        <w:rPr>
          <w:szCs w:val="21"/>
        </w:rPr>
      </w:pPr>
      <w:r>
        <w:rPr>
          <w:rFonts w:hint="eastAsia"/>
          <w:szCs w:val="21"/>
        </w:rPr>
        <w:t>联系电话：</w:t>
      </w:r>
      <w:r>
        <w:rPr>
          <w:szCs w:val="21"/>
          <w:u w:val="single"/>
        </w:rPr>
        <w:t xml:space="preserve">               </w:t>
      </w:r>
      <w:r>
        <w:rPr>
          <w:szCs w:val="21"/>
        </w:rPr>
        <w:t>；</w:t>
      </w:r>
    </w:p>
    <w:p w14:paraId="681A64CC">
      <w:pPr>
        <w:spacing w:line="400" w:lineRule="exact"/>
        <w:ind w:firstLine="420" w:firstLineChars="200"/>
        <w:jc w:val="left"/>
        <w:rPr>
          <w:szCs w:val="21"/>
        </w:rPr>
      </w:pPr>
      <w:r>
        <w:rPr>
          <w:rFonts w:hint="eastAsia"/>
          <w:szCs w:val="21"/>
        </w:rPr>
        <w:t>电子信箱：</w:t>
      </w:r>
      <w:r>
        <w:rPr>
          <w:szCs w:val="21"/>
          <w:u w:val="single"/>
        </w:rPr>
        <w:t xml:space="preserve">                   </w:t>
      </w:r>
      <w:r>
        <w:rPr>
          <w:szCs w:val="21"/>
        </w:rPr>
        <w:t>；</w:t>
      </w:r>
    </w:p>
    <w:p w14:paraId="5799C20C">
      <w:pPr>
        <w:spacing w:line="400" w:lineRule="exact"/>
        <w:ind w:firstLine="420" w:firstLineChars="200"/>
        <w:jc w:val="left"/>
        <w:rPr>
          <w:szCs w:val="21"/>
        </w:rPr>
      </w:pPr>
      <w:r>
        <w:rPr>
          <w:rFonts w:hint="eastAsia"/>
          <w:szCs w:val="21"/>
        </w:rPr>
        <w:t>通信地址：</w:t>
      </w:r>
      <w:r>
        <w:rPr>
          <w:rFonts w:hint="eastAsia"/>
          <w:szCs w:val="21"/>
          <w:u w:val="single"/>
        </w:rPr>
        <w:t xml:space="preserve">                      </w:t>
      </w:r>
      <w:r>
        <w:rPr>
          <w:szCs w:val="21"/>
        </w:rPr>
        <w:t>；</w:t>
      </w:r>
    </w:p>
    <w:p w14:paraId="40B61B54">
      <w:pPr>
        <w:spacing w:line="400" w:lineRule="exact"/>
        <w:ind w:firstLine="420" w:firstLineChars="200"/>
        <w:jc w:val="left"/>
        <w:rPr>
          <w:szCs w:val="21"/>
        </w:rPr>
      </w:pPr>
      <w:r>
        <w:rPr>
          <w:rFonts w:hint="eastAsia"/>
          <w:szCs w:val="21"/>
        </w:rPr>
        <w:t>承包人对项目经理的授权范围如下：</w:t>
      </w:r>
      <w:r>
        <w:rPr>
          <w:rFonts w:hint="eastAsia"/>
          <w:szCs w:val="21"/>
          <w:u w:val="single"/>
        </w:rPr>
        <w:t>严格规范施工，确保安全生产，按期完成并交付合格产品，参与项目招标、投标和合同签订，组建项目管理班子，指挥项目建设的生产经营活动</w:t>
      </w:r>
      <w:r>
        <w:rPr>
          <w:szCs w:val="21"/>
        </w:rPr>
        <w:t>。</w:t>
      </w:r>
    </w:p>
    <w:p w14:paraId="25433E9B">
      <w:pPr>
        <w:spacing w:line="400" w:lineRule="exact"/>
        <w:ind w:firstLine="420" w:firstLineChars="200"/>
        <w:jc w:val="left"/>
        <w:rPr>
          <w:szCs w:val="21"/>
        </w:rPr>
      </w:pPr>
      <w:r>
        <w:rPr>
          <w:rFonts w:hint="eastAsia"/>
          <w:szCs w:val="21"/>
        </w:rPr>
        <w:t>关于项目经理每月在施工现场的时间要求：</w:t>
      </w:r>
      <w:r>
        <w:rPr>
          <w:rFonts w:hint="eastAsia"/>
          <w:szCs w:val="21"/>
          <w:u w:val="single"/>
        </w:rPr>
        <w:t>不得少于</w:t>
      </w:r>
      <w:r>
        <w:rPr>
          <w:szCs w:val="21"/>
          <w:u w:val="single"/>
        </w:rPr>
        <w:t>22</w:t>
      </w:r>
      <w:r>
        <w:rPr>
          <w:rFonts w:hint="eastAsia"/>
          <w:szCs w:val="21"/>
          <w:u w:val="single"/>
        </w:rPr>
        <w:t>天，在监理人向承包人颁发（出具）工程接收证书前，项目经理不得同时担任其他项目的项目经理，项目经理确需离开施工现场，应事先通知监理人，并取得发包人的书面同意</w:t>
      </w:r>
      <w:r>
        <w:rPr>
          <w:szCs w:val="21"/>
        </w:rPr>
        <w:t>。</w:t>
      </w:r>
    </w:p>
    <w:p w14:paraId="1FC59907">
      <w:pPr>
        <w:spacing w:line="400" w:lineRule="exact"/>
        <w:ind w:firstLine="420" w:firstLineChars="200"/>
        <w:jc w:val="left"/>
        <w:rPr>
          <w:szCs w:val="21"/>
        </w:rPr>
      </w:pPr>
      <w:r>
        <w:rPr>
          <w:rFonts w:hint="eastAsia"/>
          <w:szCs w:val="21"/>
        </w:rPr>
        <w:t>承包人未提交劳动合同以及没有为项目经理缴纳社会保险证明的违约责任：</w:t>
      </w:r>
      <w:r>
        <w:rPr>
          <w:rFonts w:hint="eastAsia"/>
          <w:szCs w:val="21"/>
          <w:u w:val="single"/>
        </w:rPr>
        <w:t>承包人支付发包人合同价款3%违约金，并立即改正，拒不改正解除劳动合同</w:t>
      </w:r>
      <w:r>
        <w:rPr>
          <w:szCs w:val="21"/>
        </w:rPr>
        <w:t>。</w:t>
      </w:r>
    </w:p>
    <w:p w14:paraId="7A8C576A">
      <w:pPr>
        <w:spacing w:line="400" w:lineRule="exact"/>
        <w:ind w:firstLine="420" w:firstLineChars="200"/>
        <w:jc w:val="left"/>
        <w:rPr>
          <w:szCs w:val="21"/>
        </w:rPr>
      </w:pPr>
      <w:r>
        <w:rPr>
          <w:rFonts w:hint="eastAsia"/>
          <w:szCs w:val="21"/>
        </w:rPr>
        <w:t>项目经理未经批准，擅自离开施工现场的违约责任：</w:t>
      </w:r>
      <w:r>
        <w:rPr>
          <w:szCs w:val="21"/>
          <w:u w:val="single"/>
        </w:rPr>
        <w:t xml:space="preserve"> </w:t>
      </w:r>
      <w:r>
        <w:rPr>
          <w:rFonts w:hint="eastAsia"/>
          <w:szCs w:val="21"/>
          <w:u w:val="single"/>
        </w:rPr>
        <w:t>项目经理未按要求驻场、每月在施工现场天数未达到22天的，每少于1天，承包人支付违约金10000元</w:t>
      </w:r>
      <w:r>
        <w:rPr>
          <w:szCs w:val="21"/>
        </w:rPr>
        <w:t>。</w:t>
      </w:r>
    </w:p>
    <w:p w14:paraId="75026E59">
      <w:pPr>
        <w:spacing w:line="400" w:lineRule="exact"/>
        <w:ind w:firstLine="420" w:firstLineChars="200"/>
        <w:jc w:val="left"/>
        <w:rPr>
          <w:szCs w:val="21"/>
        </w:rPr>
      </w:pPr>
      <w:r>
        <w:rPr>
          <w:szCs w:val="21"/>
        </w:rPr>
        <w:t>3.2.3 承包人擅自更换项目经理的违约责任：</w:t>
      </w:r>
      <w:r>
        <w:rPr>
          <w:rFonts w:hint="eastAsia"/>
          <w:szCs w:val="21"/>
          <w:u w:val="single"/>
        </w:rPr>
        <w:t>解除合同；双倍返还中标人的履约保证金；赔偿对发包人造成的损失</w:t>
      </w:r>
      <w:r>
        <w:rPr>
          <w:szCs w:val="21"/>
          <w:u w:val="single"/>
        </w:rPr>
        <w:t xml:space="preserve"> </w:t>
      </w:r>
      <w:r>
        <w:rPr>
          <w:szCs w:val="21"/>
        </w:rPr>
        <w:t>。</w:t>
      </w:r>
    </w:p>
    <w:p w14:paraId="79503B73">
      <w:pPr>
        <w:spacing w:line="400" w:lineRule="exact"/>
        <w:ind w:firstLine="420" w:firstLineChars="200"/>
        <w:jc w:val="left"/>
        <w:rPr>
          <w:szCs w:val="21"/>
        </w:rPr>
      </w:pPr>
      <w:r>
        <w:rPr>
          <w:szCs w:val="21"/>
        </w:rPr>
        <w:t>1.1.2.9专业分包人：指根据合同条款第15.8.1项的约定，由发包人和承包人以招标方式选择的分包人。</w:t>
      </w:r>
    </w:p>
    <w:p w14:paraId="16059301">
      <w:pPr>
        <w:spacing w:line="400" w:lineRule="exact"/>
        <w:ind w:firstLine="420" w:firstLineChars="200"/>
        <w:jc w:val="left"/>
        <w:rPr>
          <w:szCs w:val="21"/>
        </w:rPr>
      </w:pPr>
      <w:r>
        <w:rPr>
          <w:szCs w:val="21"/>
        </w:rPr>
        <w:t>1.1.2.10专项供应商：指根据合同条款第15.8.1项的约定，由发包人和承包人以招标方式选择的供应商。</w:t>
      </w:r>
    </w:p>
    <w:p w14:paraId="6EE55A50">
      <w:pPr>
        <w:spacing w:line="400" w:lineRule="exact"/>
        <w:ind w:firstLine="420" w:firstLineChars="200"/>
        <w:jc w:val="left"/>
        <w:rPr>
          <w:szCs w:val="21"/>
          <w:u w:val="single"/>
        </w:rPr>
      </w:pPr>
      <w:r>
        <w:rPr>
          <w:szCs w:val="21"/>
        </w:rPr>
        <w:t>1.1.2.11独立承包人：指与发包人直接订立工程承包合同，负责实施与工程有关的其他工作的当事人。</w:t>
      </w:r>
    </w:p>
    <w:p w14:paraId="6FC69DCE">
      <w:pPr>
        <w:spacing w:line="400" w:lineRule="exact"/>
        <w:ind w:firstLine="420" w:firstLineChars="200"/>
        <w:jc w:val="left"/>
        <w:rPr>
          <w:rFonts w:eastAsia="Cambria"/>
          <w:szCs w:val="21"/>
        </w:rPr>
      </w:pPr>
      <w:r>
        <w:rPr>
          <w:rFonts w:eastAsia="Cambria"/>
          <w:szCs w:val="21"/>
        </w:rPr>
        <w:t>1.1.3</w:t>
      </w:r>
      <w:r>
        <w:rPr>
          <w:rFonts w:hint="eastAsia" w:ascii="宋体" w:hAnsi="宋体" w:cs="宋体"/>
          <w:szCs w:val="21"/>
        </w:rPr>
        <w:t>工程和设备</w:t>
      </w:r>
    </w:p>
    <w:p w14:paraId="31A0D3A9">
      <w:pPr>
        <w:spacing w:line="400" w:lineRule="exact"/>
        <w:ind w:firstLine="420" w:firstLineChars="200"/>
        <w:jc w:val="left"/>
        <w:rPr>
          <w:szCs w:val="21"/>
        </w:rPr>
      </w:pPr>
      <w:r>
        <w:rPr>
          <w:rFonts w:hint="eastAsia"/>
          <w:szCs w:val="21"/>
        </w:rPr>
        <w:t>1.1.3.2永久工程：指按合同约定建造并移交给发包人的工程，包括工程设备       。</w:t>
      </w:r>
    </w:p>
    <w:p w14:paraId="01E4BC8F">
      <w:pPr>
        <w:spacing w:line="400" w:lineRule="exact"/>
        <w:ind w:firstLine="420" w:firstLineChars="200"/>
        <w:jc w:val="left"/>
        <w:rPr>
          <w:szCs w:val="21"/>
        </w:rPr>
      </w:pPr>
      <w:r>
        <w:rPr>
          <w:rFonts w:hint="eastAsia"/>
          <w:szCs w:val="21"/>
        </w:rPr>
        <w:t>1.1.3.3临时工程：承包人为完成永久工程所修建的临时性工程，并在本工程竣工后或在发包人要求时，承包人需予以全部拆除的工程。包括临时性围挡、施工照明工程等    。</w:t>
      </w:r>
    </w:p>
    <w:p w14:paraId="3F227C56">
      <w:pPr>
        <w:spacing w:line="400" w:lineRule="exact"/>
        <w:ind w:firstLine="420" w:firstLineChars="200"/>
        <w:jc w:val="left"/>
        <w:rPr>
          <w:szCs w:val="21"/>
        </w:rPr>
      </w:pPr>
      <w:r>
        <w:rPr>
          <w:szCs w:val="21"/>
        </w:rPr>
        <w:t>1.1.3.4单位工程：指具有相对独立的设计文件，能够独立组织施工并能形成独立使用功能的永久工程的组成部分。</w:t>
      </w:r>
    </w:p>
    <w:p w14:paraId="2908C68A">
      <w:pPr>
        <w:spacing w:line="400" w:lineRule="exact"/>
        <w:ind w:firstLine="420" w:firstLineChars="200"/>
        <w:jc w:val="left"/>
        <w:rPr>
          <w:szCs w:val="21"/>
        </w:rPr>
      </w:pPr>
      <w:r>
        <w:rPr>
          <w:rFonts w:hint="eastAsia"/>
          <w:szCs w:val="21"/>
        </w:rPr>
        <w:t>1.1.3.10永久占地：指为实施本合同工程而需要的一切永久占用的土地，包括道路两侧路权范围内的用地  。</w:t>
      </w:r>
    </w:p>
    <w:p w14:paraId="50B557B3">
      <w:pPr>
        <w:spacing w:line="400" w:lineRule="exact"/>
        <w:ind w:firstLine="420" w:firstLineChars="200"/>
        <w:jc w:val="left"/>
        <w:rPr>
          <w:szCs w:val="21"/>
        </w:rPr>
      </w:pPr>
      <w:r>
        <w:rPr>
          <w:rFonts w:hint="eastAsia"/>
          <w:szCs w:val="21"/>
        </w:rPr>
        <w:t>1.1.3.11临时占地：指为实施本合同工程而需要的一切临时占用的土地，包括施工所用的现场临时出入通道，以及生产(办公)、生活等临时设施用地等  。</w:t>
      </w:r>
    </w:p>
    <w:p w14:paraId="57F25760">
      <w:pPr>
        <w:spacing w:line="400" w:lineRule="exact"/>
        <w:ind w:firstLine="420" w:firstLineChars="200"/>
        <w:jc w:val="left"/>
        <w:rPr>
          <w:rFonts w:eastAsia="Cambria"/>
          <w:szCs w:val="21"/>
        </w:rPr>
      </w:pPr>
      <w:r>
        <w:rPr>
          <w:rFonts w:eastAsia="Cambria"/>
          <w:szCs w:val="21"/>
        </w:rPr>
        <w:t>1.1.4</w:t>
      </w:r>
      <w:r>
        <w:rPr>
          <w:rFonts w:hint="eastAsia" w:ascii="宋体" w:hAnsi="宋体" w:cs="宋体"/>
          <w:szCs w:val="21"/>
        </w:rPr>
        <w:t>日期</w:t>
      </w:r>
    </w:p>
    <w:p w14:paraId="070EE68E">
      <w:pPr>
        <w:spacing w:line="400" w:lineRule="exact"/>
        <w:ind w:firstLine="420" w:firstLineChars="200"/>
        <w:jc w:val="left"/>
        <w:rPr>
          <w:szCs w:val="21"/>
          <w:u w:val="single"/>
        </w:rPr>
      </w:pPr>
      <w:r>
        <w:rPr>
          <w:szCs w:val="21"/>
        </w:rPr>
        <w:t>1.1.4.5缺陷责任期期限：</w:t>
      </w:r>
      <w:r>
        <w:rPr>
          <w:szCs w:val="21"/>
          <w:u w:val="single"/>
        </w:rPr>
        <w:t xml:space="preserve"> 24 </w:t>
      </w:r>
      <w:r>
        <w:rPr>
          <w:szCs w:val="21"/>
        </w:rPr>
        <w:t>个月，</w:t>
      </w:r>
      <w:r>
        <w:rPr>
          <w:rFonts w:hint="eastAsia"/>
          <w:szCs w:val="21"/>
        </w:rPr>
        <w:t>涉及防水施工项目为</w:t>
      </w:r>
      <w:r>
        <w:rPr>
          <w:rFonts w:hint="eastAsia"/>
          <w:szCs w:val="21"/>
          <w:u w:val="single"/>
        </w:rPr>
        <w:t xml:space="preserve">     5     </w:t>
      </w:r>
      <w:r>
        <w:rPr>
          <w:rFonts w:hint="eastAsia"/>
          <w:szCs w:val="21"/>
        </w:rPr>
        <w:t>年</w:t>
      </w:r>
      <w:r>
        <w:rPr>
          <w:szCs w:val="21"/>
        </w:rPr>
        <w:t>。</w:t>
      </w:r>
    </w:p>
    <w:p w14:paraId="61AF7F8B">
      <w:pPr>
        <w:spacing w:line="400" w:lineRule="exact"/>
        <w:ind w:firstLine="420" w:firstLineChars="200"/>
        <w:jc w:val="left"/>
        <w:rPr>
          <w:szCs w:val="21"/>
        </w:rPr>
      </w:pPr>
      <w:r>
        <w:rPr>
          <w:szCs w:val="21"/>
        </w:rPr>
        <w:t>1.1.4.8保修期：是根据现行有关法律规定，在合同条款第19.7款中约定的由承包人负责对合同约定的保修范围内发生的质量问题履行保修义务并对造成的损失承担赔偿责任的期限。</w:t>
      </w:r>
    </w:p>
    <w:p w14:paraId="24BCECE9">
      <w:pPr>
        <w:spacing w:line="400" w:lineRule="exact"/>
        <w:ind w:firstLine="420" w:firstLineChars="200"/>
        <w:jc w:val="left"/>
        <w:rPr>
          <w:rFonts w:eastAsia="Cambria"/>
          <w:szCs w:val="21"/>
        </w:rPr>
      </w:pPr>
      <w:r>
        <w:rPr>
          <w:rFonts w:eastAsia="Cambria"/>
          <w:szCs w:val="21"/>
        </w:rPr>
        <w:t>1.1.6</w:t>
      </w:r>
      <w:r>
        <w:rPr>
          <w:rFonts w:hint="eastAsia" w:ascii="宋体" w:hAnsi="宋体" w:cs="宋体"/>
          <w:szCs w:val="21"/>
        </w:rPr>
        <w:t>其他</w:t>
      </w:r>
    </w:p>
    <w:p w14:paraId="7ED97252">
      <w:pPr>
        <w:spacing w:line="400" w:lineRule="exact"/>
        <w:ind w:firstLine="420" w:firstLineChars="200"/>
        <w:rPr>
          <w:szCs w:val="21"/>
        </w:rPr>
      </w:pPr>
      <w:r>
        <w:rPr>
          <w:szCs w:val="21"/>
        </w:rPr>
        <w:t>1.1.6.2材料：指构成或将构成永久工程组成部分的各类物品(工程设备除外)，包括合同中可能约定的承包人仅负责供应的材料。</w:t>
      </w:r>
    </w:p>
    <w:p w14:paraId="77039F29">
      <w:pPr>
        <w:spacing w:line="400" w:lineRule="exact"/>
        <w:ind w:firstLine="420" w:firstLineChars="200"/>
        <w:rPr>
          <w:szCs w:val="21"/>
        </w:rPr>
      </w:pPr>
      <w:r>
        <w:rPr>
          <w:szCs w:val="21"/>
        </w:rPr>
        <w:t>1.1.6.3争议评审组：是由发包人和承包人共同聘请的人员组成的独立、公正的第三方临时性组织，一般由一名或者三名合同管理和（或）工程管理专家组成。争议评审组负责对发包人和（或）承包人提请进行评审的本合同项下的争议进行评审并在规定的期限内给出评审意见，合同双方在规定的期限内均未对评审意见提出异议时，评审意见对合同双方有最终约束力。发包人和承包人应当分别与接受聘请的争议评审专家签订聘用协议，就评审的争议范围、评审意见效力等必要事项做出约定。</w:t>
      </w:r>
    </w:p>
    <w:p w14:paraId="60FDCCF9">
      <w:pPr>
        <w:spacing w:line="400" w:lineRule="exact"/>
        <w:ind w:firstLine="420" w:firstLineChars="200"/>
        <w:rPr>
          <w:szCs w:val="21"/>
        </w:rPr>
      </w:pPr>
      <w:r>
        <w:rPr>
          <w:szCs w:val="21"/>
        </w:rPr>
        <w:t>1.1.6.4 除另有特别指明外，专用合同条款中使用的措辞“合同条款”指通用合同条款和（或）专用合同条款。</w:t>
      </w:r>
    </w:p>
    <w:p w14:paraId="03AD47A6">
      <w:pPr>
        <w:pStyle w:val="512"/>
        <w:spacing w:before="120" w:after="120"/>
      </w:pPr>
      <w:bookmarkStart w:id="1605" w:name="_Toc142385687"/>
      <w:bookmarkStart w:id="1606" w:name="_Toc241459661"/>
      <w:bookmarkStart w:id="1607" w:name="_Toc342296420"/>
      <w:bookmarkStart w:id="1608" w:name="_Toc132619148"/>
      <w:bookmarkStart w:id="1609" w:name="_Toc179632633"/>
      <w:bookmarkStart w:id="1610" w:name="_Toc144974583"/>
      <w:bookmarkStart w:id="1611" w:name="_Toc152045615"/>
      <w:bookmarkStart w:id="1612" w:name="_Toc129798399"/>
      <w:bookmarkStart w:id="1613" w:name="_Toc152042393"/>
      <w:bookmarkStart w:id="1614" w:name="_Toc109914464"/>
      <w:r>
        <w:t>1.4 合同文件的优先顺序</w:t>
      </w:r>
      <w:bookmarkEnd w:id="1605"/>
      <w:bookmarkEnd w:id="1606"/>
      <w:bookmarkEnd w:id="1607"/>
      <w:bookmarkEnd w:id="1608"/>
      <w:bookmarkEnd w:id="1609"/>
      <w:bookmarkEnd w:id="1610"/>
      <w:bookmarkEnd w:id="1611"/>
      <w:bookmarkEnd w:id="1612"/>
      <w:bookmarkEnd w:id="1613"/>
      <w:bookmarkEnd w:id="1614"/>
    </w:p>
    <w:p w14:paraId="29A260F4">
      <w:pPr>
        <w:spacing w:line="400" w:lineRule="exact"/>
        <w:ind w:firstLine="482"/>
        <w:rPr>
          <w:szCs w:val="21"/>
        </w:rPr>
      </w:pPr>
      <w:r>
        <w:rPr>
          <w:szCs w:val="21"/>
        </w:rPr>
        <w:t>合同文件的优先解释顺序如下：</w:t>
      </w:r>
    </w:p>
    <w:p w14:paraId="556E4C94">
      <w:pPr>
        <w:spacing w:line="400" w:lineRule="exact"/>
        <w:ind w:firstLine="482"/>
        <w:rPr>
          <w:szCs w:val="21"/>
        </w:rPr>
      </w:pPr>
      <w:r>
        <w:rPr>
          <w:szCs w:val="21"/>
        </w:rPr>
        <w:t>（1）合同协议书；</w:t>
      </w:r>
    </w:p>
    <w:p w14:paraId="037C9EBD">
      <w:pPr>
        <w:spacing w:line="400" w:lineRule="exact"/>
        <w:ind w:firstLine="482"/>
        <w:rPr>
          <w:szCs w:val="21"/>
        </w:rPr>
      </w:pPr>
      <w:r>
        <w:rPr>
          <w:szCs w:val="21"/>
        </w:rPr>
        <w:t>（2）中标通知书；</w:t>
      </w:r>
    </w:p>
    <w:p w14:paraId="5EE26B63">
      <w:pPr>
        <w:spacing w:line="400" w:lineRule="exact"/>
        <w:ind w:firstLine="482"/>
        <w:rPr>
          <w:szCs w:val="21"/>
        </w:rPr>
      </w:pPr>
      <w:r>
        <w:rPr>
          <w:szCs w:val="21"/>
        </w:rPr>
        <w:t>（3）投标函及投标函附录；</w:t>
      </w:r>
    </w:p>
    <w:p w14:paraId="2F3E8DAE">
      <w:pPr>
        <w:spacing w:line="400" w:lineRule="exact"/>
        <w:ind w:firstLine="482"/>
        <w:rPr>
          <w:szCs w:val="21"/>
        </w:rPr>
      </w:pPr>
      <w:r>
        <w:rPr>
          <w:szCs w:val="21"/>
        </w:rPr>
        <w:t>（4）专用合同条款；</w:t>
      </w:r>
    </w:p>
    <w:p w14:paraId="0DCE2873">
      <w:pPr>
        <w:spacing w:line="400" w:lineRule="exact"/>
        <w:ind w:firstLine="482"/>
        <w:rPr>
          <w:szCs w:val="21"/>
        </w:rPr>
      </w:pPr>
      <w:r>
        <w:rPr>
          <w:szCs w:val="21"/>
        </w:rPr>
        <w:t>（5）通用合同条款；</w:t>
      </w:r>
    </w:p>
    <w:p w14:paraId="38F28E42">
      <w:pPr>
        <w:spacing w:line="400" w:lineRule="exact"/>
        <w:ind w:firstLine="482"/>
        <w:rPr>
          <w:szCs w:val="21"/>
        </w:rPr>
      </w:pPr>
      <w:r>
        <w:rPr>
          <w:szCs w:val="21"/>
        </w:rPr>
        <w:t>（6）</w:t>
      </w:r>
      <w:r>
        <w:rPr>
          <w:u w:val="single"/>
        </w:rPr>
        <w:t xml:space="preserve">已标价工程量清单    </w:t>
      </w:r>
      <w:r>
        <w:t>；</w:t>
      </w:r>
    </w:p>
    <w:p w14:paraId="4C484295">
      <w:pPr>
        <w:spacing w:line="400" w:lineRule="exact"/>
        <w:ind w:firstLine="482"/>
        <w:rPr>
          <w:szCs w:val="21"/>
        </w:rPr>
      </w:pPr>
      <w:r>
        <w:rPr>
          <w:szCs w:val="21"/>
        </w:rPr>
        <w:t>（7）</w:t>
      </w:r>
      <w:r>
        <w:rPr>
          <w:u w:val="single"/>
        </w:rPr>
        <w:t xml:space="preserve">技术标准和要求      </w:t>
      </w:r>
      <w:r>
        <w:t>；</w:t>
      </w:r>
    </w:p>
    <w:p w14:paraId="0B2F2859">
      <w:pPr>
        <w:spacing w:line="400" w:lineRule="exact"/>
        <w:ind w:firstLine="482"/>
        <w:rPr>
          <w:szCs w:val="21"/>
        </w:rPr>
      </w:pPr>
      <w:r>
        <w:rPr>
          <w:szCs w:val="21"/>
        </w:rPr>
        <w:t>（8）</w:t>
      </w:r>
      <w:r>
        <w:rPr>
          <w:u w:val="single"/>
        </w:rPr>
        <w:t>图纸</w:t>
      </w:r>
      <w:r>
        <w:rPr>
          <w:rFonts w:hint="eastAsia"/>
          <w:u w:val="single"/>
        </w:rPr>
        <w:t>（含效果图）</w:t>
      </w:r>
      <w:r>
        <w:rPr>
          <w:u w:val="single"/>
        </w:rPr>
        <w:t xml:space="preserve">    </w:t>
      </w:r>
      <w:r>
        <w:t>；</w:t>
      </w:r>
    </w:p>
    <w:p w14:paraId="2B2B861F">
      <w:pPr>
        <w:spacing w:line="400" w:lineRule="exact"/>
        <w:ind w:firstLine="480"/>
      </w:pPr>
      <w:r>
        <w:t>（9）</w:t>
      </w:r>
      <w:r>
        <w:rPr>
          <w:u w:val="single"/>
        </w:rPr>
        <w:t xml:space="preserve">施工组织设计        </w:t>
      </w:r>
      <w:r>
        <w:t>。</w:t>
      </w:r>
    </w:p>
    <w:p w14:paraId="3FC5180C">
      <w:pPr>
        <w:spacing w:line="400" w:lineRule="exact"/>
        <w:ind w:firstLine="480"/>
      </w:pPr>
      <w:r>
        <w:t>（说明：（6）、（7）、（8）填空内容分别限于技术标准和要求、图纸、已标价工程量清单三者之一。）</w:t>
      </w:r>
    </w:p>
    <w:p w14:paraId="07385476">
      <w:pPr>
        <w:spacing w:line="400" w:lineRule="exact"/>
        <w:ind w:firstLine="420" w:firstLineChars="200"/>
      </w:pPr>
      <w:r>
        <w:t>合同协议书中约定采用总价合同形式的，</w:t>
      </w:r>
      <w:r>
        <w:rPr>
          <w:szCs w:val="21"/>
        </w:rPr>
        <w:t>除非合同另有约定，</w:t>
      </w:r>
      <w:r>
        <w:t>已标价工程量清单中的各项工程量对合同双方不具合同约束力。</w:t>
      </w:r>
    </w:p>
    <w:p w14:paraId="170CED04">
      <w:pPr>
        <w:spacing w:line="400" w:lineRule="exact"/>
        <w:ind w:firstLine="420" w:firstLineChars="200"/>
      </w:pPr>
      <w:r>
        <w:t>图纸与技术标准和要求之间有矛盾或者不一致的，以其中要求较严格的标准为准。</w:t>
      </w:r>
    </w:p>
    <w:p w14:paraId="65ED6421">
      <w:pPr>
        <w:spacing w:line="400" w:lineRule="exact"/>
        <w:ind w:firstLine="420" w:firstLineChars="200"/>
      </w:pPr>
      <w:r>
        <w:t>合同双方在合同履行过程中签订的补充协议亦构成合同文件的组成部分，其解释顺序视其内容与其他合同文件的相互关系而定。</w:t>
      </w:r>
    </w:p>
    <w:p w14:paraId="5F27303C">
      <w:pPr>
        <w:pStyle w:val="512"/>
        <w:spacing w:before="120" w:after="120"/>
      </w:pPr>
      <w:bookmarkStart w:id="1615" w:name="_Toc144974584"/>
      <w:bookmarkStart w:id="1616" w:name="_Toc342296421"/>
      <w:bookmarkStart w:id="1617" w:name="_Toc152042394"/>
      <w:bookmarkStart w:id="1618" w:name="_Toc142385688"/>
      <w:bookmarkStart w:id="1619" w:name="_Toc241459662"/>
      <w:bookmarkStart w:id="1620" w:name="_Toc129798400"/>
      <w:bookmarkStart w:id="1621" w:name="_Toc109914465"/>
      <w:bookmarkStart w:id="1622" w:name="_Toc179632634"/>
      <w:bookmarkStart w:id="1623" w:name="_Toc132619149"/>
      <w:bookmarkStart w:id="1624" w:name="_Toc152045616"/>
      <w:r>
        <w:t>1.5 合同协议书</w:t>
      </w:r>
      <w:bookmarkEnd w:id="1615"/>
      <w:bookmarkEnd w:id="1616"/>
      <w:bookmarkEnd w:id="1617"/>
      <w:bookmarkEnd w:id="1618"/>
      <w:bookmarkEnd w:id="1619"/>
      <w:bookmarkEnd w:id="1620"/>
      <w:bookmarkEnd w:id="1621"/>
      <w:bookmarkEnd w:id="1622"/>
      <w:bookmarkEnd w:id="1623"/>
      <w:bookmarkEnd w:id="1624"/>
    </w:p>
    <w:p w14:paraId="7D725D5D">
      <w:pPr>
        <w:spacing w:line="400" w:lineRule="exact"/>
        <w:ind w:firstLine="420" w:firstLineChars="200"/>
        <w:rPr>
          <w:szCs w:val="21"/>
          <w:u w:val="single"/>
        </w:rPr>
      </w:pPr>
      <w:r>
        <w:rPr>
          <w:szCs w:val="21"/>
        </w:rPr>
        <w:t>合同生效的条件：</w:t>
      </w:r>
      <w:r>
        <w:rPr>
          <w:szCs w:val="21"/>
          <w:u w:val="single"/>
        </w:rPr>
        <w:t xml:space="preserve"> </w:t>
      </w:r>
      <w:r>
        <w:rPr>
          <w:rFonts w:hint="eastAsia"/>
          <w:szCs w:val="21"/>
          <w:u w:val="single"/>
        </w:rPr>
        <w:t>自发包人和承包人的法定代表人或其委托代理人在合同协议书上签字并盖单位章后</w:t>
      </w:r>
      <w:r>
        <w:rPr>
          <w:szCs w:val="21"/>
        </w:rPr>
        <w:t>。</w:t>
      </w:r>
    </w:p>
    <w:p w14:paraId="2774A462">
      <w:pPr>
        <w:pStyle w:val="512"/>
        <w:spacing w:before="120" w:after="120"/>
      </w:pPr>
      <w:bookmarkStart w:id="1625" w:name="_Toc142385689"/>
      <w:bookmarkStart w:id="1626" w:name="_Toc179632635"/>
      <w:bookmarkStart w:id="1627" w:name="_Toc152042395"/>
      <w:bookmarkStart w:id="1628" w:name="_Toc241459663"/>
      <w:bookmarkStart w:id="1629" w:name="_Toc144974585"/>
      <w:bookmarkStart w:id="1630" w:name="_Toc342296422"/>
      <w:bookmarkStart w:id="1631" w:name="_Toc152045617"/>
      <w:bookmarkStart w:id="1632" w:name="_Toc129798401"/>
      <w:bookmarkStart w:id="1633" w:name="_Toc132619150"/>
      <w:bookmarkStart w:id="1634" w:name="_Toc109914466"/>
      <w:r>
        <w:t>1.6 图纸和承包人文件</w:t>
      </w:r>
      <w:bookmarkEnd w:id="1625"/>
      <w:bookmarkEnd w:id="1626"/>
      <w:bookmarkEnd w:id="1627"/>
      <w:bookmarkEnd w:id="1628"/>
      <w:bookmarkEnd w:id="1629"/>
      <w:bookmarkEnd w:id="1630"/>
      <w:bookmarkEnd w:id="1631"/>
      <w:bookmarkEnd w:id="1632"/>
      <w:bookmarkEnd w:id="1633"/>
      <w:bookmarkEnd w:id="1634"/>
    </w:p>
    <w:p w14:paraId="40D31726">
      <w:pPr>
        <w:spacing w:line="400" w:lineRule="exact"/>
        <w:ind w:firstLine="420" w:firstLineChars="200"/>
        <w:jc w:val="left"/>
        <w:rPr>
          <w:rFonts w:eastAsia="Cambria"/>
          <w:szCs w:val="21"/>
        </w:rPr>
      </w:pPr>
      <w:r>
        <w:rPr>
          <w:rFonts w:eastAsia="Cambria"/>
          <w:szCs w:val="21"/>
        </w:rPr>
        <w:t>1.6.1</w:t>
      </w:r>
      <w:r>
        <w:rPr>
          <w:rFonts w:hint="eastAsia" w:ascii="宋体" w:hAnsi="宋体" w:cs="宋体"/>
          <w:szCs w:val="21"/>
        </w:rPr>
        <w:t>图纸的提供</w:t>
      </w:r>
    </w:p>
    <w:p w14:paraId="7D2BD495">
      <w:pPr>
        <w:spacing w:line="400" w:lineRule="exact"/>
        <w:ind w:firstLine="315" w:firstLineChars="150"/>
        <w:rPr>
          <w:szCs w:val="21"/>
        </w:rPr>
      </w:pPr>
      <w:r>
        <w:rPr>
          <w:szCs w:val="21"/>
        </w:rPr>
        <w:t>（1） 发包人按照合同条款本项的约定向承包人提供图纸。承包人需要增加图纸套数的，发包人应代为复制，复制费用由承包人承担。</w:t>
      </w:r>
    </w:p>
    <w:p w14:paraId="158758C9">
      <w:pPr>
        <w:spacing w:line="400" w:lineRule="exact"/>
        <w:ind w:firstLine="315" w:firstLineChars="150"/>
        <w:rPr>
          <w:szCs w:val="21"/>
        </w:rPr>
      </w:pPr>
      <w:r>
        <w:rPr>
          <w:szCs w:val="21"/>
        </w:rPr>
        <w:t>（2） 在监理人批准合同条款第10.1款约定的合同进度计划或者合同条款10.2款约定的合同进度计划修改后7天内,承包人应当根据合同进度计划和本项约定的图纸提供期限和数量，编制或者修改图纸供应计划并报送监理人，其中应当载明承包人对各区段最新版本图纸(包括合同条款第1.6.3项约定的图纸修改图)的最迟需求时间，监理人应当在收到图纸供应计划后7天内批复或提出修改意见，否则该图纸供应计划视为得到批准。经监理人批准的最新的图纸供应计划对合同双方有合同约束力，作为发包人或者监理人向承包人提供图纸的主要依据。发包人或者监理人不按照图纸供应计划提供图纸而导致承包人费用增加和（或）工期延误的，由发包人承担赔偿责任。承包人未按照本目约定的时间向监理人提交图纸供应计划,致使发包人或者监理人未能在合理的时间内提供相应图纸或者承包人未按照图纸供应计划组织施工所造成的费用增加和（或）工期延误由承包人承担。</w:t>
      </w:r>
    </w:p>
    <w:p w14:paraId="0465C5DB">
      <w:pPr>
        <w:spacing w:line="400" w:lineRule="exact"/>
        <w:ind w:firstLine="315" w:firstLineChars="150"/>
        <w:rPr>
          <w:szCs w:val="21"/>
        </w:rPr>
      </w:pPr>
      <w:r>
        <w:rPr>
          <w:szCs w:val="21"/>
        </w:rPr>
        <w:t>（3）发包人提供图纸的期限：</w:t>
      </w:r>
      <w:r>
        <w:rPr>
          <w:szCs w:val="21"/>
          <w:u w:val="single"/>
        </w:rPr>
        <w:t xml:space="preserve">      开工前10日内                      </w:t>
      </w:r>
      <w:r>
        <w:rPr>
          <w:szCs w:val="21"/>
        </w:rPr>
        <w:t>。</w:t>
      </w:r>
    </w:p>
    <w:p w14:paraId="4F6403D3">
      <w:pPr>
        <w:spacing w:line="400" w:lineRule="exact"/>
        <w:ind w:firstLine="315" w:firstLineChars="150"/>
        <w:rPr>
          <w:szCs w:val="21"/>
        </w:rPr>
      </w:pPr>
      <w:r>
        <w:rPr>
          <w:szCs w:val="21"/>
        </w:rPr>
        <w:t>（4）发包人提供图纸的数量：</w:t>
      </w:r>
      <w:r>
        <w:rPr>
          <w:szCs w:val="21"/>
          <w:u w:val="single"/>
        </w:rPr>
        <w:t xml:space="preserve">      1套电子版</w:t>
      </w:r>
      <w:r>
        <w:rPr>
          <w:rFonts w:hint="eastAsia"/>
          <w:szCs w:val="21"/>
          <w:u w:val="single"/>
        </w:rPr>
        <w:t xml:space="preserve">                     </w:t>
      </w:r>
      <w:r>
        <w:rPr>
          <w:szCs w:val="21"/>
          <w:u w:val="single"/>
        </w:rPr>
        <w:t xml:space="preserve">     </w:t>
      </w:r>
      <w:r>
        <w:rPr>
          <w:szCs w:val="21"/>
        </w:rPr>
        <w:t>。</w:t>
      </w:r>
    </w:p>
    <w:p w14:paraId="4AF3A85E">
      <w:pPr>
        <w:spacing w:line="400" w:lineRule="exact"/>
        <w:ind w:firstLine="420" w:firstLineChars="200"/>
        <w:jc w:val="left"/>
        <w:rPr>
          <w:rFonts w:eastAsia="Cambria"/>
          <w:szCs w:val="21"/>
        </w:rPr>
      </w:pPr>
      <w:r>
        <w:rPr>
          <w:rFonts w:eastAsia="Cambria"/>
          <w:szCs w:val="21"/>
        </w:rPr>
        <w:t xml:space="preserve">1.6.2 </w:t>
      </w:r>
      <w:r>
        <w:rPr>
          <w:rFonts w:hint="eastAsia" w:ascii="宋体" w:hAnsi="宋体" w:cs="宋体"/>
          <w:szCs w:val="21"/>
        </w:rPr>
        <w:t>承包人提供的文件</w:t>
      </w:r>
    </w:p>
    <w:p w14:paraId="008EFB83">
      <w:pPr>
        <w:spacing w:line="400" w:lineRule="exact"/>
        <w:ind w:firstLine="315" w:firstLineChars="150"/>
        <w:rPr>
          <w:szCs w:val="21"/>
          <w:u w:val="single"/>
        </w:rPr>
      </w:pPr>
      <w:r>
        <w:rPr>
          <w:szCs w:val="21"/>
        </w:rPr>
        <w:t>（1）本项约定的其他应由承包人提供的文件，包括必要的加工图和大样图，均不是合同计量与支付的依据文件。由承包人提供的文件范围：</w:t>
      </w:r>
      <w:r>
        <w:rPr>
          <w:szCs w:val="21"/>
          <w:u w:val="single"/>
        </w:rPr>
        <w:t xml:space="preserve">A:根据本项目实际情况调整后的施工组织设计、分包计划、分包及材料设备招标采购计划等。承包人所提交的施工组织设计不能低于承包人在投标施工方案内所说明的所有工程内容和承诺的标准。因承包人提交的施工方案不能通过监理工程师审查而造成工期延误，承包人自行承担。B: 承包人应按照监理人同意的格式和详细程度，提交工程进度计划，并获得监理人的批准。该进度计划不得对随投标文件提交的施工组织设计中相应内容做出实质性变动。C:工程竣工图纸，工程验收资料 </w:t>
      </w:r>
      <w:r>
        <w:rPr>
          <w:szCs w:val="21"/>
        </w:rPr>
        <w:t>。</w:t>
      </w:r>
    </w:p>
    <w:p w14:paraId="08539082">
      <w:pPr>
        <w:spacing w:line="400" w:lineRule="exact"/>
        <w:ind w:firstLine="315" w:firstLineChars="150"/>
        <w:rPr>
          <w:szCs w:val="21"/>
          <w:u w:val="single"/>
        </w:rPr>
      </w:pPr>
      <w:r>
        <w:rPr>
          <w:szCs w:val="21"/>
        </w:rPr>
        <w:t>（2）承包人提供文件的期限：</w:t>
      </w:r>
      <w:r>
        <w:rPr>
          <w:szCs w:val="21"/>
          <w:u w:val="single"/>
        </w:rPr>
        <w:t xml:space="preserve">  </w:t>
      </w:r>
      <w:r>
        <w:rPr>
          <w:u w:val="single"/>
        </w:rPr>
        <w:t>合同签订后10日内</w:t>
      </w:r>
      <w:r>
        <w:rPr>
          <w:szCs w:val="21"/>
          <w:u w:val="single"/>
        </w:rPr>
        <w:t>；竣工验收完成后10个日内</w:t>
      </w:r>
      <w:r>
        <w:rPr>
          <w:szCs w:val="21"/>
        </w:rPr>
        <w:t>。</w:t>
      </w:r>
    </w:p>
    <w:p w14:paraId="08DB7C62">
      <w:pPr>
        <w:spacing w:line="400" w:lineRule="exact"/>
        <w:ind w:firstLine="315" w:firstLineChars="150"/>
        <w:rPr>
          <w:szCs w:val="21"/>
          <w:u w:val="single"/>
        </w:rPr>
      </w:pPr>
      <w:r>
        <w:rPr>
          <w:szCs w:val="21"/>
        </w:rPr>
        <w:t>（3）承包人提供文件的数量：</w:t>
      </w:r>
      <w:r>
        <w:rPr>
          <w:szCs w:val="21"/>
          <w:u w:val="single"/>
        </w:rPr>
        <w:t xml:space="preserve">  </w:t>
      </w:r>
      <w:r>
        <w:rPr>
          <w:rFonts w:hint="eastAsia"/>
          <w:szCs w:val="21"/>
          <w:u w:val="single"/>
        </w:rPr>
        <w:t xml:space="preserve"> </w:t>
      </w:r>
      <w:r>
        <w:rPr>
          <w:szCs w:val="21"/>
          <w:u w:val="single"/>
        </w:rPr>
        <w:t xml:space="preserve">一式三份  </w:t>
      </w:r>
      <w:r>
        <w:rPr>
          <w:szCs w:val="21"/>
        </w:rPr>
        <w:t>。</w:t>
      </w:r>
    </w:p>
    <w:p w14:paraId="673F8092">
      <w:pPr>
        <w:spacing w:line="400" w:lineRule="exact"/>
        <w:ind w:firstLine="315" w:firstLineChars="150"/>
        <w:rPr>
          <w:szCs w:val="21"/>
        </w:rPr>
      </w:pPr>
      <w:r>
        <w:rPr>
          <w:szCs w:val="21"/>
        </w:rPr>
        <w:t>（4）监理人批复承包人提供文件的期限：</w:t>
      </w:r>
      <w:r>
        <w:rPr>
          <w:szCs w:val="21"/>
          <w:u w:val="single"/>
        </w:rPr>
        <w:t xml:space="preserve">  收到承包人提供的文件后7日内   </w:t>
      </w:r>
      <w:r>
        <w:rPr>
          <w:szCs w:val="21"/>
        </w:rPr>
        <w:t>。</w:t>
      </w:r>
    </w:p>
    <w:p w14:paraId="0A3455BE">
      <w:pPr>
        <w:spacing w:line="400" w:lineRule="exact"/>
        <w:ind w:firstLine="315" w:firstLineChars="150"/>
        <w:rPr>
          <w:szCs w:val="21"/>
          <w:u w:val="single"/>
        </w:rPr>
      </w:pPr>
      <w:r>
        <w:rPr>
          <w:szCs w:val="21"/>
        </w:rPr>
        <w:t>（5）其他约定：</w:t>
      </w:r>
      <w:r>
        <w:rPr>
          <w:szCs w:val="21"/>
          <w:u w:val="single"/>
        </w:rPr>
        <w:t xml:space="preserve"> </w:t>
      </w:r>
      <w:r>
        <w:rPr>
          <w:u w:val="single"/>
        </w:rPr>
        <w:t>承包人应当在合同履行期间，每月25日提供当月工程统计报表及下月计划报表，其相应费用已包含在合同价款中</w:t>
      </w:r>
      <w:r>
        <w:rPr>
          <w:szCs w:val="21"/>
        </w:rPr>
        <w:t>。</w:t>
      </w:r>
    </w:p>
    <w:p w14:paraId="14CA1D03">
      <w:pPr>
        <w:pStyle w:val="512"/>
        <w:spacing w:before="120" w:after="120"/>
      </w:pPr>
      <w:bookmarkStart w:id="1635" w:name="_Toc144974586"/>
      <w:bookmarkStart w:id="1636" w:name="_Toc129798402"/>
      <w:bookmarkStart w:id="1637" w:name="_Toc241459664"/>
      <w:bookmarkStart w:id="1638" w:name="_Toc109914467"/>
      <w:bookmarkStart w:id="1639" w:name="_Toc152045618"/>
      <w:bookmarkStart w:id="1640" w:name="_Toc179632636"/>
      <w:bookmarkStart w:id="1641" w:name="_Toc142385690"/>
      <w:bookmarkStart w:id="1642" w:name="_Toc152042396"/>
      <w:bookmarkStart w:id="1643" w:name="_Toc132619151"/>
      <w:bookmarkStart w:id="1644" w:name="_Toc342296423"/>
      <w:r>
        <w:t>1.7 联 络</w:t>
      </w:r>
      <w:bookmarkEnd w:id="1635"/>
      <w:bookmarkEnd w:id="1636"/>
      <w:bookmarkEnd w:id="1637"/>
      <w:bookmarkEnd w:id="1638"/>
      <w:bookmarkEnd w:id="1639"/>
      <w:bookmarkEnd w:id="1640"/>
      <w:bookmarkEnd w:id="1641"/>
      <w:bookmarkEnd w:id="1642"/>
      <w:bookmarkEnd w:id="1643"/>
      <w:bookmarkEnd w:id="1644"/>
    </w:p>
    <w:p w14:paraId="28C7BE67">
      <w:pPr>
        <w:spacing w:line="400" w:lineRule="exact"/>
        <w:ind w:firstLine="420" w:firstLineChars="200"/>
        <w:jc w:val="left"/>
        <w:rPr>
          <w:rFonts w:eastAsia="Cambria"/>
          <w:szCs w:val="21"/>
        </w:rPr>
      </w:pPr>
      <w:r>
        <w:rPr>
          <w:rFonts w:eastAsia="Cambria"/>
          <w:szCs w:val="21"/>
        </w:rPr>
        <w:t>1.7.2</w:t>
      </w:r>
      <w:r>
        <w:rPr>
          <w:rFonts w:hint="eastAsia" w:ascii="宋体" w:hAnsi="宋体" w:cs="宋体"/>
          <w:szCs w:val="21"/>
        </w:rPr>
        <w:t>联络来往函件的送达和接收</w:t>
      </w:r>
    </w:p>
    <w:p w14:paraId="11E045BF">
      <w:pPr>
        <w:spacing w:line="400" w:lineRule="exact"/>
        <w:ind w:firstLine="315" w:firstLineChars="150"/>
        <w:rPr>
          <w:szCs w:val="21"/>
        </w:rPr>
      </w:pPr>
      <w:r>
        <w:rPr>
          <w:szCs w:val="21"/>
        </w:rPr>
        <w:t>（1）联络来往信函的送达期限：合同约定了发出期限的，送达期限为合同约定的发出期限后的24小时内；合同约定了通知、提供或者报送期限的，通知、提供或者报送期限即为送达期限。</w:t>
      </w:r>
    </w:p>
    <w:p w14:paraId="63E05912">
      <w:pPr>
        <w:spacing w:line="400" w:lineRule="exact"/>
        <w:ind w:firstLine="315" w:firstLineChars="150"/>
        <w:rPr>
          <w:szCs w:val="21"/>
        </w:rPr>
      </w:pPr>
      <w:r>
        <w:rPr>
          <w:szCs w:val="21"/>
        </w:rPr>
        <w:t>（2）发包人指定的接收地点：</w:t>
      </w:r>
      <w:r>
        <w:rPr>
          <w:szCs w:val="21"/>
          <w:u w:val="single"/>
        </w:rPr>
        <w:t xml:space="preserve">  </w:t>
      </w:r>
      <w:r>
        <w:rPr>
          <w:rFonts w:hint="eastAsia"/>
          <w:szCs w:val="21"/>
          <w:u w:val="single"/>
        </w:rPr>
        <w:t xml:space="preserve"> </w:t>
      </w:r>
      <w:r>
        <w:rPr>
          <w:szCs w:val="21"/>
          <w:u w:val="single"/>
        </w:rPr>
        <w:t xml:space="preserve">              </w:t>
      </w:r>
      <w:r>
        <w:rPr>
          <w:szCs w:val="21"/>
        </w:rPr>
        <w:t>。</w:t>
      </w:r>
    </w:p>
    <w:p w14:paraId="30C5F995">
      <w:pPr>
        <w:spacing w:line="400" w:lineRule="exact"/>
        <w:ind w:firstLine="315" w:firstLineChars="150"/>
        <w:rPr>
          <w:szCs w:val="21"/>
        </w:rPr>
      </w:pPr>
      <w:r>
        <w:rPr>
          <w:szCs w:val="21"/>
        </w:rPr>
        <w:t>（3）发包人指定的接收人为：</w:t>
      </w:r>
      <w:r>
        <w:rPr>
          <w:szCs w:val="21"/>
          <w:u w:val="single"/>
        </w:rPr>
        <w:t xml:space="preserve">  </w:t>
      </w:r>
      <w:r>
        <w:rPr>
          <w:rFonts w:hint="eastAsia"/>
          <w:szCs w:val="21"/>
          <w:u w:val="single"/>
        </w:rPr>
        <w:t xml:space="preserve">   </w:t>
      </w:r>
      <w:r>
        <w:rPr>
          <w:szCs w:val="21"/>
          <w:u w:val="single"/>
        </w:rPr>
        <w:t xml:space="preserve">   </w:t>
      </w:r>
      <w:r>
        <w:rPr>
          <w:szCs w:val="21"/>
        </w:rPr>
        <w:t>。</w:t>
      </w:r>
    </w:p>
    <w:p w14:paraId="36048E24">
      <w:pPr>
        <w:spacing w:line="400" w:lineRule="exact"/>
        <w:ind w:firstLine="315" w:firstLineChars="150"/>
        <w:rPr>
          <w:szCs w:val="21"/>
        </w:rPr>
      </w:pPr>
      <w:r>
        <w:rPr>
          <w:szCs w:val="21"/>
        </w:rPr>
        <w:t>（4）监理人指定的接收地点：</w:t>
      </w:r>
      <w:r>
        <w:rPr>
          <w:szCs w:val="21"/>
          <w:u w:val="single"/>
        </w:rPr>
        <w:t xml:space="preserve">   按发包人要求  </w:t>
      </w:r>
      <w:r>
        <w:rPr>
          <w:szCs w:val="21"/>
        </w:rPr>
        <w:t>。</w:t>
      </w:r>
    </w:p>
    <w:p w14:paraId="67CDB9B7">
      <w:pPr>
        <w:spacing w:line="400" w:lineRule="exact"/>
        <w:ind w:firstLine="315" w:firstLineChars="150"/>
        <w:rPr>
          <w:szCs w:val="21"/>
        </w:rPr>
      </w:pPr>
      <w:r>
        <w:rPr>
          <w:szCs w:val="21"/>
        </w:rPr>
        <w:t>（5）监理人指定的接收人为：</w:t>
      </w:r>
      <w:r>
        <w:rPr>
          <w:szCs w:val="21"/>
          <w:u w:val="single"/>
        </w:rPr>
        <w:t xml:space="preserve">   按发包人要求  </w:t>
      </w:r>
      <w:r>
        <w:rPr>
          <w:szCs w:val="21"/>
        </w:rPr>
        <w:t>。</w:t>
      </w:r>
    </w:p>
    <w:p w14:paraId="5A5A9BFD">
      <w:pPr>
        <w:spacing w:line="400" w:lineRule="exact"/>
        <w:ind w:firstLine="315" w:firstLineChars="150"/>
        <w:rPr>
          <w:szCs w:val="21"/>
        </w:rPr>
      </w:pPr>
      <w:r>
        <w:rPr>
          <w:szCs w:val="21"/>
        </w:rPr>
        <w:t>（6）承包人指定的接收人为合同协议书中载明的承包人项目经理本人或者项目经理的授权代表。承包人应在收到开工通知后7天内，按照合同条款第4.5.4项的约定，将授权代表其接收来往信函的项目经理的授权代表姓名和授权范围通知监理人。除合同另有约定外，承包人施工场地管理机构的办公地点即为承包人指定的接收地点。</w:t>
      </w:r>
    </w:p>
    <w:p w14:paraId="611F1213">
      <w:pPr>
        <w:spacing w:line="400" w:lineRule="exact"/>
        <w:ind w:firstLine="315" w:firstLineChars="150"/>
        <w:rPr>
          <w:szCs w:val="21"/>
        </w:rPr>
      </w:pPr>
      <w:r>
        <w:rPr>
          <w:szCs w:val="21"/>
        </w:rPr>
        <w:t>（7）发包人（包括监理人）和承包人中任何一方指定的接收人或者接收地点发生变动，应当在实际变动前提前至少一个工作日以书面方式通知另一方。发包人（包括监理人）和承包人应当确保其各自指定的接收人在法定的和（或）符合合同约定的工作时间内始终工作在指定的接收地点，指定接收人离开工作岗位而无法及时签收来往信函构成拒不签收。</w:t>
      </w:r>
    </w:p>
    <w:p w14:paraId="00054297">
      <w:pPr>
        <w:spacing w:line="400" w:lineRule="exact"/>
        <w:ind w:firstLine="315" w:firstLineChars="150"/>
      </w:pPr>
      <w:r>
        <w:rPr>
          <w:szCs w:val="21"/>
        </w:rPr>
        <w:t>（8）发包人（包括监理人）和承包人中任何一方均应当及时签收另一方送达其指定接收地点的来往信函，拒不签收的，送达信函的一方可以采用挂号或者公证方式送达，由此所造成的直接的和间接的费用增加（包括被迫采用特殊送达方式所发生的费用）和（或）延误的工期由拒绝签收一方承担。</w:t>
      </w:r>
    </w:p>
    <w:p w14:paraId="64D84C9B">
      <w:pPr>
        <w:pStyle w:val="548"/>
        <w:spacing w:before="120" w:after="120"/>
        <w:rPr>
          <w:rFonts w:cs="仿宋_GB2312"/>
        </w:rPr>
      </w:pPr>
      <w:bookmarkStart w:id="1645" w:name="_Toc448758548"/>
      <w:bookmarkStart w:id="1646" w:name="_Toc442365640"/>
      <w:bookmarkStart w:id="1647" w:name="_Toc448758448"/>
      <w:bookmarkStart w:id="1648" w:name="_Toc179632642"/>
      <w:bookmarkStart w:id="1649" w:name="_Toc129798403"/>
      <w:bookmarkStart w:id="1650" w:name="_Toc142385691"/>
      <w:bookmarkStart w:id="1651" w:name="_Toc469660043"/>
      <w:bookmarkStart w:id="1652" w:name="_Toc152045624"/>
      <w:bookmarkStart w:id="1653" w:name="_Toc241459665"/>
      <w:bookmarkStart w:id="1654" w:name="_Toc132619152"/>
      <w:bookmarkStart w:id="1655" w:name="_Toc109914468"/>
      <w:bookmarkStart w:id="1656" w:name="_Toc144974592"/>
      <w:bookmarkStart w:id="1657" w:name="_Toc152042402"/>
      <w:bookmarkStart w:id="1658" w:name="_Toc342296424"/>
      <w:r>
        <w:rPr>
          <w:rFonts w:cs="仿宋_GB2312"/>
        </w:rPr>
        <w:t>2. 发包人义务</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14:paraId="58FFC787">
      <w:pPr>
        <w:pStyle w:val="512"/>
        <w:spacing w:before="120" w:after="120"/>
      </w:pPr>
      <w:bookmarkStart w:id="1659" w:name="_Toc142385692"/>
      <w:bookmarkStart w:id="1660" w:name="_Toc152045627"/>
      <w:bookmarkStart w:id="1661" w:name="_Toc132619153"/>
      <w:bookmarkStart w:id="1662" w:name="_Toc144974595"/>
      <w:bookmarkStart w:id="1663" w:name="_Toc342296425"/>
      <w:bookmarkStart w:id="1664" w:name="_Toc179632645"/>
      <w:bookmarkStart w:id="1665" w:name="_Toc109914469"/>
      <w:bookmarkStart w:id="1666" w:name="_Toc129798404"/>
      <w:bookmarkStart w:id="1667" w:name="_Toc241459666"/>
      <w:bookmarkStart w:id="1668" w:name="_Toc152042405"/>
      <w:r>
        <w:t>2.3 提供施工场地</w:t>
      </w:r>
      <w:bookmarkEnd w:id="1659"/>
      <w:bookmarkEnd w:id="1660"/>
      <w:bookmarkEnd w:id="1661"/>
      <w:bookmarkEnd w:id="1662"/>
      <w:bookmarkEnd w:id="1663"/>
      <w:bookmarkEnd w:id="1664"/>
      <w:bookmarkEnd w:id="1665"/>
      <w:bookmarkEnd w:id="1666"/>
      <w:bookmarkEnd w:id="1667"/>
      <w:bookmarkEnd w:id="1668"/>
    </w:p>
    <w:p w14:paraId="679658FD">
      <w:pPr>
        <w:spacing w:line="400" w:lineRule="exact"/>
        <w:ind w:firstLine="420" w:firstLineChars="200"/>
        <w:rPr>
          <w:szCs w:val="21"/>
        </w:rPr>
      </w:pPr>
      <w:r>
        <w:rPr>
          <w:szCs w:val="21"/>
        </w:rPr>
        <w:t>施工场地应当在监理人发出的开工通知中载明的开工日期前</w:t>
      </w:r>
      <w:r>
        <w:rPr>
          <w:szCs w:val="21"/>
          <w:u w:val="single"/>
        </w:rPr>
        <w:t xml:space="preserve">  7  </w:t>
      </w:r>
      <w:r>
        <w:rPr>
          <w:szCs w:val="21"/>
        </w:rPr>
        <w:t>天具备施工条件并移交给承包人，发包人最迟应当在移交施工场地的同时向承包人提供施工场地内地下管线和地下设施等有关资料，并保证资料的真实、准确和完整。</w:t>
      </w:r>
    </w:p>
    <w:p w14:paraId="0DE0BEAD">
      <w:pPr>
        <w:pStyle w:val="512"/>
        <w:spacing w:before="120" w:after="120"/>
      </w:pPr>
      <w:bookmarkStart w:id="1669" w:name="_Toc152042407"/>
      <w:bookmarkStart w:id="1670" w:name="_Toc241459667"/>
      <w:bookmarkStart w:id="1671" w:name="_Toc342296426"/>
      <w:bookmarkStart w:id="1672" w:name="_Toc132619154"/>
      <w:bookmarkStart w:id="1673" w:name="_Toc144974597"/>
      <w:bookmarkStart w:id="1674" w:name="_Toc129798405"/>
      <w:bookmarkStart w:id="1675" w:name="_Toc179632647"/>
      <w:bookmarkStart w:id="1676" w:name="_Toc142385693"/>
      <w:bookmarkStart w:id="1677" w:name="_Toc152045629"/>
      <w:bookmarkStart w:id="1678" w:name="_Toc109914470"/>
      <w:r>
        <w:t>2.5 组织设计交底</w:t>
      </w:r>
      <w:bookmarkEnd w:id="1669"/>
      <w:bookmarkEnd w:id="1670"/>
      <w:bookmarkEnd w:id="1671"/>
      <w:bookmarkEnd w:id="1672"/>
      <w:bookmarkEnd w:id="1673"/>
      <w:bookmarkEnd w:id="1674"/>
      <w:bookmarkEnd w:id="1675"/>
      <w:bookmarkEnd w:id="1676"/>
      <w:bookmarkEnd w:id="1677"/>
      <w:bookmarkEnd w:id="1678"/>
    </w:p>
    <w:p w14:paraId="01FFA162">
      <w:pPr>
        <w:spacing w:line="400" w:lineRule="exact"/>
        <w:ind w:firstLine="420" w:firstLineChars="200"/>
        <w:rPr>
          <w:szCs w:val="21"/>
        </w:rPr>
      </w:pPr>
      <w:bookmarkStart w:id="1679" w:name="_Toc152045630"/>
      <w:bookmarkStart w:id="1680" w:name="_Toc144974598"/>
      <w:bookmarkStart w:id="1681" w:name="_Toc152042408"/>
      <w:bookmarkStart w:id="1682" w:name="_Toc179632648"/>
      <w:r>
        <w:rPr>
          <w:szCs w:val="21"/>
        </w:rPr>
        <w:t>发包人应当在合同条款11.1.1项约定的开工日期前组织设计人向承包人进行合同工程总体设计交底（包括图纸会审）。发包人还应按照合同进度计划中载明的阶段性设计交底时间组织和安排阶段工程设计交底（包括图纸会审）。承包人可以书面方式通过监理人向发包人申请增加紧急的设计交底，发包人在认为确有必要且条件许可时，应当尽快组织这类设计交底。</w:t>
      </w:r>
    </w:p>
    <w:bookmarkEnd w:id="1679"/>
    <w:bookmarkEnd w:id="1680"/>
    <w:bookmarkEnd w:id="1681"/>
    <w:bookmarkEnd w:id="1682"/>
    <w:p w14:paraId="46DED85C">
      <w:pPr>
        <w:pStyle w:val="512"/>
        <w:spacing w:before="120" w:after="120"/>
      </w:pPr>
      <w:bookmarkStart w:id="1683" w:name="_Toc144974600"/>
      <w:bookmarkStart w:id="1684" w:name="_Toc342296427"/>
      <w:bookmarkStart w:id="1685" w:name="_Toc132619155"/>
      <w:bookmarkStart w:id="1686" w:name="_Toc179632650"/>
      <w:bookmarkStart w:id="1687" w:name="_Toc129798406"/>
      <w:bookmarkStart w:id="1688" w:name="_Toc109914471"/>
      <w:bookmarkStart w:id="1689" w:name="_Toc241459668"/>
      <w:bookmarkStart w:id="1690" w:name="_Toc142385694"/>
      <w:bookmarkStart w:id="1691" w:name="_Toc152042410"/>
      <w:bookmarkStart w:id="1692" w:name="_Toc152045632"/>
      <w:r>
        <w:t>2.8 其他义务</w:t>
      </w:r>
      <w:bookmarkEnd w:id="1683"/>
      <w:bookmarkEnd w:id="1684"/>
      <w:bookmarkEnd w:id="1685"/>
      <w:bookmarkEnd w:id="1686"/>
      <w:bookmarkEnd w:id="1687"/>
      <w:bookmarkEnd w:id="1688"/>
      <w:bookmarkEnd w:id="1689"/>
      <w:bookmarkEnd w:id="1690"/>
      <w:bookmarkEnd w:id="1691"/>
      <w:bookmarkEnd w:id="1692"/>
    </w:p>
    <w:p w14:paraId="6E1F1E42">
      <w:pPr>
        <w:spacing w:line="400" w:lineRule="exact"/>
        <w:ind w:firstLine="315" w:firstLineChars="150"/>
        <w:rPr>
          <w:szCs w:val="21"/>
        </w:rPr>
      </w:pPr>
      <w:r>
        <w:rPr>
          <w:szCs w:val="21"/>
        </w:rPr>
        <w:t>（</w:t>
      </w:r>
      <w:r>
        <w:rPr>
          <w:rFonts w:hint="eastAsia"/>
          <w:szCs w:val="21"/>
        </w:rPr>
        <w:t>1</w:t>
      </w:r>
      <w:r>
        <w:rPr>
          <w:szCs w:val="21"/>
        </w:rPr>
        <w:t>）按有关规定及时办理工程质量监督手续。</w:t>
      </w:r>
    </w:p>
    <w:p w14:paraId="3AD8BCD8">
      <w:pPr>
        <w:spacing w:line="400" w:lineRule="exact"/>
        <w:ind w:firstLine="315" w:firstLineChars="150"/>
        <w:rPr>
          <w:szCs w:val="21"/>
        </w:rPr>
      </w:pPr>
      <w:r>
        <w:rPr>
          <w:szCs w:val="21"/>
        </w:rPr>
        <w:t>（</w:t>
      </w:r>
      <w:r>
        <w:rPr>
          <w:rFonts w:hint="eastAsia"/>
          <w:szCs w:val="21"/>
        </w:rPr>
        <w:t>2</w:t>
      </w:r>
      <w:r>
        <w:rPr>
          <w:szCs w:val="21"/>
        </w:rPr>
        <w:t>）根据建设行政主管部门和（或）城市建设档案管理机构的规定，收集、整理、立卷、归档工程资料，并按规定时间向建设行政主管部门或者城市建设档案管理机构移交规定的工程档案。</w:t>
      </w:r>
    </w:p>
    <w:p w14:paraId="27D16F7B">
      <w:pPr>
        <w:spacing w:line="400" w:lineRule="exact"/>
        <w:ind w:firstLine="315" w:firstLineChars="150"/>
        <w:rPr>
          <w:szCs w:val="21"/>
        </w:rPr>
      </w:pPr>
      <w:r>
        <w:rPr>
          <w:szCs w:val="21"/>
        </w:rPr>
        <w:t>（</w:t>
      </w:r>
      <w:r>
        <w:rPr>
          <w:rFonts w:hint="eastAsia"/>
          <w:szCs w:val="21"/>
        </w:rPr>
        <w:t>3</w:t>
      </w:r>
      <w:r>
        <w:rPr>
          <w:szCs w:val="21"/>
        </w:rPr>
        <w:t>）批准和确认：按合同约定应当由监理人或者发包人回复、批复、批准、确认或提出修改意见的承包人的要求、请求、申请和报批等，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t>
      </w:r>
    </w:p>
    <w:p w14:paraId="28AE8053">
      <w:pPr>
        <w:pStyle w:val="548"/>
        <w:spacing w:before="120" w:after="120"/>
        <w:rPr>
          <w:rFonts w:cs="仿宋_GB2312"/>
        </w:rPr>
      </w:pPr>
      <w:bookmarkStart w:id="1693" w:name="_Toc142385695"/>
      <w:bookmarkStart w:id="1694" w:name="_Toc448758449"/>
      <w:bookmarkStart w:id="1695" w:name="_Toc342296428"/>
      <w:bookmarkStart w:id="1696" w:name="_Toc129798407"/>
      <w:bookmarkStart w:id="1697" w:name="_Toc241459669"/>
      <w:bookmarkStart w:id="1698" w:name="_Toc109914472"/>
      <w:bookmarkStart w:id="1699" w:name="_Toc442365641"/>
      <w:bookmarkStart w:id="1700" w:name="_Toc144974601"/>
      <w:bookmarkStart w:id="1701" w:name="_Toc132619156"/>
      <w:bookmarkStart w:id="1702" w:name="_Toc469660044"/>
      <w:bookmarkStart w:id="1703" w:name="_Toc179632651"/>
      <w:bookmarkStart w:id="1704" w:name="_Toc152045633"/>
      <w:bookmarkStart w:id="1705" w:name="_Toc448758549"/>
      <w:bookmarkStart w:id="1706" w:name="_Toc152042411"/>
      <w:r>
        <w:rPr>
          <w:rFonts w:cs="仿宋_GB2312"/>
        </w:rPr>
        <w:t>3. 监理人</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14:paraId="497DC44C">
      <w:pPr>
        <w:pStyle w:val="512"/>
        <w:spacing w:before="120" w:after="120"/>
      </w:pPr>
      <w:bookmarkStart w:id="1707" w:name="_Toc179632652"/>
      <w:bookmarkStart w:id="1708" w:name="_Toc132619157"/>
      <w:bookmarkStart w:id="1709" w:name="_Toc152045634"/>
      <w:bookmarkStart w:id="1710" w:name="_Toc342296429"/>
      <w:bookmarkStart w:id="1711" w:name="_Toc241459670"/>
      <w:bookmarkStart w:id="1712" w:name="_Toc152042412"/>
      <w:bookmarkStart w:id="1713" w:name="_Toc144974602"/>
      <w:bookmarkStart w:id="1714" w:name="_Toc142385696"/>
      <w:bookmarkStart w:id="1715" w:name="_Toc109914473"/>
      <w:bookmarkStart w:id="1716" w:name="_Toc129798408"/>
      <w:r>
        <w:t>3.1 监理人的职责和权力</w:t>
      </w:r>
      <w:bookmarkEnd w:id="1707"/>
      <w:bookmarkEnd w:id="1708"/>
      <w:bookmarkEnd w:id="1709"/>
      <w:bookmarkEnd w:id="1710"/>
      <w:bookmarkEnd w:id="1711"/>
      <w:bookmarkEnd w:id="1712"/>
      <w:bookmarkEnd w:id="1713"/>
      <w:bookmarkEnd w:id="1714"/>
      <w:bookmarkEnd w:id="1715"/>
      <w:bookmarkEnd w:id="1716"/>
    </w:p>
    <w:p w14:paraId="78E070C5">
      <w:pPr>
        <w:spacing w:line="400" w:lineRule="exact"/>
        <w:ind w:firstLine="420" w:firstLineChars="200"/>
        <w:rPr>
          <w:szCs w:val="21"/>
        </w:rPr>
      </w:pPr>
      <w:r>
        <w:rPr>
          <w:szCs w:val="21"/>
        </w:rPr>
        <w:t>3.1.1须经发包人批准行使的权力：</w:t>
      </w:r>
    </w:p>
    <w:p w14:paraId="55533B9D">
      <w:pPr>
        <w:spacing w:line="400" w:lineRule="exact"/>
        <w:rPr>
          <w:szCs w:val="21"/>
          <w:u w:val="single"/>
        </w:rPr>
      </w:pPr>
      <w:r>
        <w:rPr>
          <w:szCs w:val="21"/>
          <w:u w:val="single"/>
        </w:rPr>
        <w:t>（1）发布开工令、停工令、复工令；</w:t>
      </w:r>
    </w:p>
    <w:p w14:paraId="7522CE39">
      <w:pPr>
        <w:spacing w:line="400" w:lineRule="exact"/>
        <w:rPr>
          <w:szCs w:val="21"/>
          <w:u w:val="single"/>
        </w:rPr>
      </w:pPr>
      <w:r>
        <w:rPr>
          <w:szCs w:val="21"/>
          <w:u w:val="single"/>
        </w:rPr>
        <w:t>（2）凡涉影响工程造价的调整及涉及施工工期的延长等变化，须经发包人审核批准；</w:t>
      </w:r>
    </w:p>
    <w:p w14:paraId="534E58E4">
      <w:pPr>
        <w:spacing w:line="400" w:lineRule="exact"/>
        <w:rPr>
          <w:szCs w:val="21"/>
        </w:rPr>
      </w:pPr>
      <w:r>
        <w:rPr>
          <w:szCs w:val="21"/>
          <w:u w:val="single"/>
        </w:rPr>
        <w:t>（3）对承包人合同规定的义务建议变更等。</w:t>
      </w:r>
    </w:p>
    <w:p w14:paraId="7FB50A27">
      <w:pPr>
        <w:spacing w:line="400" w:lineRule="exact"/>
        <w:rPr>
          <w:szCs w:val="21"/>
        </w:rPr>
      </w:pPr>
      <w:r>
        <w:rPr>
          <w:szCs w:val="21"/>
        </w:rPr>
        <w:t>不管通用合同条款第3.1.1项如何约定，</w:t>
      </w:r>
      <w:r>
        <w:t>监理人履行须经发包人批准行使的权力时，应当向承包人出示其行使该权力已经取得发包人批准的文件或者其他合法有效的证明</w:t>
      </w:r>
      <w:r>
        <w:rPr>
          <w:szCs w:val="21"/>
        </w:rPr>
        <w:t>。</w:t>
      </w:r>
    </w:p>
    <w:p w14:paraId="5F536683">
      <w:pPr>
        <w:pStyle w:val="512"/>
        <w:spacing w:before="120" w:after="120"/>
      </w:pPr>
      <w:bookmarkStart w:id="1717" w:name="_Toc241459671"/>
      <w:bookmarkStart w:id="1718" w:name="_Toc129798409"/>
      <w:bookmarkStart w:id="1719" w:name="_Toc144974604"/>
      <w:bookmarkStart w:id="1720" w:name="_Toc132619158"/>
      <w:bookmarkStart w:id="1721" w:name="_Toc179632654"/>
      <w:bookmarkStart w:id="1722" w:name="_Toc152045636"/>
      <w:bookmarkStart w:id="1723" w:name="_Toc142385697"/>
      <w:bookmarkStart w:id="1724" w:name="_Toc342296430"/>
      <w:bookmarkStart w:id="1725" w:name="_Toc109914474"/>
      <w:bookmarkStart w:id="1726" w:name="_Toc152042414"/>
      <w:r>
        <w:t>3.3 监理人员</w:t>
      </w:r>
      <w:bookmarkEnd w:id="1717"/>
      <w:bookmarkEnd w:id="1718"/>
      <w:bookmarkEnd w:id="1719"/>
      <w:bookmarkEnd w:id="1720"/>
      <w:bookmarkEnd w:id="1721"/>
      <w:bookmarkEnd w:id="1722"/>
      <w:bookmarkEnd w:id="1723"/>
      <w:bookmarkEnd w:id="1724"/>
      <w:bookmarkEnd w:id="1725"/>
      <w:bookmarkEnd w:id="1726"/>
    </w:p>
    <w:p w14:paraId="1D90A29B">
      <w:pPr>
        <w:spacing w:line="400" w:lineRule="exact"/>
        <w:ind w:firstLine="420" w:firstLineChars="200"/>
      </w:pPr>
      <w:r>
        <w:rPr>
          <w:szCs w:val="21"/>
        </w:rPr>
        <w:t>3.3.4 总监理工程师不应将第3.5款约定应由总监理工程师作出确定的权力授权或者委托给其他监理人员。</w:t>
      </w:r>
    </w:p>
    <w:p w14:paraId="50BAE72E">
      <w:pPr>
        <w:pStyle w:val="512"/>
        <w:spacing w:before="120" w:after="120"/>
      </w:pPr>
      <w:bookmarkStart w:id="1727" w:name="_Toc129798410"/>
      <w:bookmarkStart w:id="1728" w:name="_Toc142385698"/>
      <w:bookmarkStart w:id="1729" w:name="_Toc241459672"/>
      <w:bookmarkStart w:id="1730" w:name="_Toc144974605"/>
      <w:bookmarkStart w:id="1731" w:name="_Toc132619159"/>
      <w:bookmarkStart w:id="1732" w:name="_Toc152045637"/>
      <w:bookmarkStart w:id="1733" w:name="_Toc152042415"/>
      <w:bookmarkStart w:id="1734" w:name="_Toc342296431"/>
      <w:bookmarkStart w:id="1735" w:name="_Toc179632655"/>
      <w:bookmarkStart w:id="1736" w:name="_Toc109914475"/>
      <w:r>
        <w:t>3.4 监理人的指示</w:t>
      </w:r>
      <w:bookmarkEnd w:id="1727"/>
      <w:bookmarkEnd w:id="1728"/>
      <w:bookmarkEnd w:id="1729"/>
      <w:bookmarkEnd w:id="1730"/>
      <w:bookmarkEnd w:id="1731"/>
      <w:bookmarkEnd w:id="1732"/>
      <w:bookmarkEnd w:id="1733"/>
      <w:bookmarkEnd w:id="1734"/>
      <w:bookmarkEnd w:id="1735"/>
      <w:bookmarkEnd w:id="1736"/>
    </w:p>
    <w:p w14:paraId="2D43A581">
      <w:pPr>
        <w:spacing w:line="400" w:lineRule="exact"/>
        <w:ind w:firstLine="420" w:firstLineChars="200"/>
      </w:pPr>
      <w:r>
        <w:rPr>
          <w:szCs w:val="21"/>
        </w:rPr>
        <w:t>3.4.4除通用合同条款已有的专门约定外，承包人只能从总监理工程师或按第3.3.1项授权的监理人员处取得指示，发包人应当通过监理人向承包人发出指示。</w:t>
      </w:r>
      <w:bookmarkStart w:id="1737" w:name="_Toc152042417"/>
      <w:bookmarkStart w:id="1738" w:name="_Toc179632657"/>
      <w:bookmarkStart w:id="1739" w:name="_Toc152045639"/>
      <w:bookmarkStart w:id="1740" w:name="_Toc144974607"/>
    </w:p>
    <w:p w14:paraId="17311EE2">
      <w:pPr>
        <w:pStyle w:val="512"/>
        <w:spacing w:before="120" w:after="120"/>
      </w:pPr>
      <w:bookmarkStart w:id="1741" w:name="_Toc241459673"/>
      <w:bookmarkStart w:id="1742" w:name="_Toc142385699"/>
      <w:bookmarkStart w:id="1743" w:name="_Toc342296432"/>
      <w:bookmarkStart w:id="1744" w:name="_Toc132619160"/>
      <w:bookmarkStart w:id="1745" w:name="_Toc109914476"/>
      <w:bookmarkStart w:id="1746" w:name="_Toc129798411"/>
      <w:r>
        <w:t>3.6 监理人的宽恕</w:t>
      </w:r>
      <w:bookmarkEnd w:id="1741"/>
      <w:bookmarkEnd w:id="1742"/>
      <w:bookmarkEnd w:id="1743"/>
      <w:bookmarkEnd w:id="1744"/>
      <w:bookmarkEnd w:id="1745"/>
      <w:bookmarkEnd w:id="1746"/>
    </w:p>
    <w:p w14:paraId="527A6F7C">
      <w:pPr>
        <w:spacing w:line="400" w:lineRule="exact"/>
        <w:ind w:firstLine="420" w:firstLineChars="200"/>
      </w:pPr>
      <w:r>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p>
    <w:p w14:paraId="3E13C868">
      <w:pPr>
        <w:pStyle w:val="548"/>
        <w:spacing w:before="120" w:after="120"/>
        <w:rPr>
          <w:rFonts w:cs="仿宋_GB2312"/>
        </w:rPr>
      </w:pPr>
      <w:bookmarkStart w:id="1747" w:name="_Toc448758450"/>
      <w:bookmarkStart w:id="1748" w:name="_Toc241459674"/>
      <w:bookmarkStart w:id="1749" w:name="_Toc342296433"/>
      <w:bookmarkStart w:id="1750" w:name="_Toc109914477"/>
      <w:bookmarkStart w:id="1751" w:name="_Toc469660045"/>
      <w:bookmarkStart w:id="1752" w:name="_Toc142385700"/>
      <w:bookmarkStart w:id="1753" w:name="_Toc129798412"/>
      <w:bookmarkStart w:id="1754" w:name="_Toc132619161"/>
      <w:bookmarkStart w:id="1755" w:name="_Toc442365642"/>
      <w:bookmarkStart w:id="1756" w:name="_Toc448758550"/>
      <w:r>
        <w:rPr>
          <w:rFonts w:cs="仿宋_GB2312"/>
        </w:rPr>
        <w:t>4. 承包人</w:t>
      </w:r>
      <w:bookmarkEnd w:id="1737"/>
      <w:bookmarkEnd w:id="1738"/>
      <w:bookmarkEnd w:id="1739"/>
      <w:bookmarkEnd w:id="1740"/>
      <w:bookmarkEnd w:id="1747"/>
      <w:bookmarkEnd w:id="1748"/>
      <w:bookmarkEnd w:id="1749"/>
      <w:bookmarkEnd w:id="1750"/>
      <w:bookmarkEnd w:id="1751"/>
      <w:bookmarkEnd w:id="1752"/>
      <w:bookmarkEnd w:id="1753"/>
      <w:bookmarkEnd w:id="1754"/>
      <w:bookmarkEnd w:id="1755"/>
      <w:bookmarkEnd w:id="1756"/>
    </w:p>
    <w:p w14:paraId="17FC07E3">
      <w:pPr>
        <w:pStyle w:val="512"/>
        <w:spacing w:before="120" w:after="120"/>
      </w:pPr>
      <w:bookmarkStart w:id="1757" w:name="_Toc241459675"/>
      <w:bookmarkStart w:id="1758" w:name="_Toc342296434"/>
      <w:bookmarkStart w:id="1759" w:name="_Toc109914478"/>
      <w:bookmarkStart w:id="1760" w:name="_Toc132619162"/>
      <w:bookmarkStart w:id="1761" w:name="_Toc152042418"/>
      <w:bookmarkStart w:id="1762" w:name="_Toc129798413"/>
      <w:bookmarkStart w:id="1763" w:name="_Toc152045640"/>
      <w:bookmarkStart w:id="1764" w:name="_Toc144974608"/>
      <w:bookmarkStart w:id="1765" w:name="_Toc142385701"/>
      <w:bookmarkStart w:id="1766" w:name="_Toc179632658"/>
      <w:r>
        <w:t>4.1 承包人的一般义务</w:t>
      </w:r>
      <w:bookmarkEnd w:id="1757"/>
      <w:bookmarkEnd w:id="1758"/>
      <w:bookmarkEnd w:id="1759"/>
      <w:bookmarkEnd w:id="1760"/>
      <w:bookmarkEnd w:id="1761"/>
      <w:bookmarkEnd w:id="1762"/>
      <w:bookmarkEnd w:id="1763"/>
      <w:bookmarkEnd w:id="1764"/>
      <w:bookmarkEnd w:id="1765"/>
      <w:bookmarkEnd w:id="1766"/>
    </w:p>
    <w:p w14:paraId="3AC75B98">
      <w:pPr>
        <w:spacing w:line="400" w:lineRule="exact"/>
        <w:ind w:firstLine="420" w:firstLineChars="200"/>
        <w:rPr>
          <w:szCs w:val="21"/>
        </w:rPr>
      </w:pPr>
      <w:r>
        <w:rPr>
          <w:szCs w:val="21"/>
        </w:rPr>
        <w:t>4.1.3除专用合同条款第5.2款约定由发包人提供的材料和工程设备和第6.2款约定由发包人提供的施工设备和临时设施外，承包人应负责提供为完成合同工作所需的劳务、材料、施工设备、工程设备和其他物品，并按合同约定负责临时设施的设计、建造、运行、维护、管理和拆除。</w:t>
      </w:r>
    </w:p>
    <w:p w14:paraId="0D119EAE">
      <w:pPr>
        <w:spacing w:line="400" w:lineRule="exact"/>
        <w:ind w:firstLine="420" w:firstLineChars="200"/>
        <w:rPr>
          <w:rFonts w:eastAsia="Cambria"/>
          <w:szCs w:val="21"/>
        </w:rPr>
      </w:pPr>
      <w:r>
        <w:rPr>
          <w:rFonts w:eastAsia="Cambria"/>
          <w:szCs w:val="21"/>
        </w:rPr>
        <w:t>4.1.8</w:t>
      </w:r>
      <w:r>
        <w:rPr>
          <w:rFonts w:hint="eastAsia" w:ascii="宋体" w:hAnsi="宋体" w:cs="宋体"/>
          <w:szCs w:val="21"/>
        </w:rPr>
        <w:t>为他人提供方便</w:t>
      </w:r>
    </w:p>
    <w:p w14:paraId="78011F1F">
      <w:pPr>
        <w:spacing w:line="400" w:lineRule="exact"/>
        <w:ind w:firstLine="315" w:firstLineChars="150"/>
        <w:rPr>
          <w:szCs w:val="21"/>
        </w:rPr>
      </w:pPr>
      <w:r>
        <w:rPr>
          <w:szCs w:val="21"/>
        </w:rPr>
        <w:t>（1）承包人应当对在施工场地或者附近实施与合同工程有关的其他工作的独立承包人履行管理、协调、配合、照管和服务义务，由此发生的费用被认为已经包括在承包人的签约合同价（投标总报价）中，具体工作内容和要求包括：</w:t>
      </w:r>
      <w:r>
        <w:rPr>
          <w:szCs w:val="21"/>
          <w:u w:val="single"/>
        </w:rPr>
        <w:t>为其他独立承包人在使用施工用地、道路和其他公用设施等方面提供方便</w:t>
      </w:r>
      <w:r>
        <w:rPr>
          <w:rFonts w:hint="eastAsia"/>
          <w:szCs w:val="21"/>
          <w:u w:val="single"/>
        </w:rPr>
        <w:t>，避免对邻近的公共设施产生干扰。承包人占用或使用他人的施工场地，影响他人作业或生活的，应承担相应责任；</w:t>
      </w:r>
      <w:r>
        <w:rPr>
          <w:szCs w:val="21"/>
        </w:rPr>
        <w:t>。</w:t>
      </w:r>
    </w:p>
    <w:p w14:paraId="5E13E504">
      <w:pPr>
        <w:spacing w:line="400" w:lineRule="exact"/>
        <w:ind w:firstLine="315" w:firstLineChars="150"/>
        <w:rPr>
          <w:szCs w:val="21"/>
        </w:rPr>
      </w:pPr>
      <w:r>
        <w:rPr>
          <w:szCs w:val="21"/>
        </w:rPr>
        <w:t>（2）承包人还应按监理人指示为独立承包人以外的他人在施工场地或者附近实施与合同工程有关的其他工作提供可能的条件，可能发生费用由监理人按第3.5款商定或者确定。</w:t>
      </w:r>
    </w:p>
    <w:p w14:paraId="3C45B4ED">
      <w:pPr>
        <w:spacing w:line="400" w:lineRule="exact"/>
        <w:ind w:firstLine="420" w:firstLineChars="200"/>
        <w:rPr>
          <w:rFonts w:eastAsia="Cambria"/>
          <w:szCs w:val="21"/>
        </w:rPr>
      </w:pPr>
      <w:r>
        <w:rPr>
          <w:rFonts w:eastAsia="Cambria"/>
          <w:szCs w:val="21"/>
        </w:rPr>
        <w:t>4.1.10</w:t>
      </w:r>
      <w:r>
        <w:rPr>
          <w:rFonts w:hint="eastAsia" w:ascii="宋体" w:hAnsi="宋体" w:cs="宋体"/>
          <w:szCs w:val="21"/>
        </w:rPr>
        <w:t>其他义务</w:t>
      </w:r>
      <w:r>
        <w:rPr>
          <w:rFonts w:eastAsia="Cambria"/>
          <w:szCs w:val="21"/>
        </w:rPr>
        <w:t xml:space="preserve">  </w:t>
      </w:r>
    </w:p>
    <w:p w14:paraId="593AC635">
      <w:pPr>
        <w:spacing w:line="400" w:lineRule="exact"/>
        <w:ind w:firstLine="315" w:firstLineChars="150"/>
        <w:rPr>
          <w:szCs w:val="21"/>
          <w:u w:val="single"/>
        </w:rPr>
      </w:pPr>
      <w:r>
        <w:rPr>
          <w:szCs w:val="21"/>
        </w:rPr>
        <w:t>（1）根据发包人委托，在其设计资质等级和业务允许的范围内，完成施工图设计或与工程配套的设计，经监理人确认后使用，发包人承担由此发生的费用和合理利润</w:t>
      </w:r>
      <w:r>
        <w:rPr>
          <w:rFonts w:hint="eastAsia"/>
          <w:szCs w:val="21"/>
        </w:rPr>
        <w:t>,</w:t>
      </w:r>
      <w:r>
        <w:rPr>
          <w:szCs w:val="21"/>
        </w:rPr>
        <w:t>由此发生的费用被认为已经包括在承包人的签约合同价（投标总报价）中。由承包人承担的施工图设计或与工程配套的设计工作内容</w:t>
      </w:r>
      <w:r>
        <w:rPr>
          <w:szCs w:val="21"/>
          <w:u w:val="single"/>
        </w:rPr>
        <w:t xml:space="preserve"> </w:t>
      </w:r>
      <w:r>
        <w:rPr>
          <w:rFonts w:hint="eastAsia"/>
          <w:szCs w:val="21"/>
          <w:u w:val="single"/>
        </w:rPr>
        <w:t xml:space="preserve"> </w:t>
      </w:r>
      <w:r>
        <w:rPr>
          <w:szCs w:val="21"/>
          <w:u w:val="single"/>
        </w:rPr>
        <w:t>/</w:t>
      </w:r>
      <w:r>
        <w:rPr>
          <w:rFonts w:hint="eastAsia"/>
          <w:szCs w:val="21"/>
          <w:u w:val="single"/>
        </w:rPr>
        <w:t xml:space="preserve">  </w:t>
      </w:r>
      <w:r>
        <w:rPr>
          <w:szCs w:val="21"/>
        </w:rPr>
        <w:t>。</w:t>
      </w:r>
    </w:p>
    <w:p w14:paraId="3ED2BE7D">
      <w:pPr>
        <w:spacing w:line="400" w:lineRule="exact"/>
        <w:ind w:firstLine="315" w:firstLineChars="150"/>
        <w:rPr>
          <w:szCs w:val="21"/>
        </w:rPr>
      </w:pPr>
      <w:r>
        <w:rPr>
          <w:szCs w:val="21"/>
        </w:rPr>
        <w:t>（2）承包人应履行合同约定的其他义务以及下述义务</w:t>
      </w:r>
      <w:r>
        <w:t>：</w:t>
      </w:r>
    </w:p>
    <w:p w14:paraId="35E29614">
      <w:pPr>
        <w:numPr>
          <w:ilvl w:val="0"/>
          <w:numId w:val="7"/>
        </w:numPr>
        <w:spacing w:line="400" w:lineRule="exact"/>
        <w:rPr>
          <w:szCs w:val="21"/>
          <w:u w:val="single"/>
        </w:rPr>
      </w:pPr>
      <w:r>
        <w:rPr>
          <w:szCs w:val="21"/>
          <w:u w:val="single"/>
        </w:rPr>
        <w:t>承担施工安全保卫工作及夜间施工照明的责任：由承包人负责并承担由此发生的费用。</w:t>
      </w:r>
    </w:p>
    <w:p w14:paraId="50A460D8">
      <w:pPr>
        <w:numPr>
          <w:ilvl w:val="0"/>
          <w:numId w:val="7"/>
        </w:numPr>
        <w:spacing w:line="400" w:lineRule="exact"/>
        <w:rPr>
          <w:szCs w:val="21"/>
          <w:u w:val="single"/>
        </w:rPr>
      </w:pPr>
      <w:r>
        <w:rPr>
          <w:szCs w:val="21"/>
          <w:u w:val="single"/>
        </w:rPr>
        <w:t>需承包人办理的有关施工场地交通、环卫和施工噪声管理等手续：按北京市有关规定办理，承包人负责处理并承担费用。</w:t>
      </w:r>
    </w:p>
    <w:p w14:paraId="4D2427AB">
      <w:pPr>
        <w:numPr>
          <w:ilvl w:val="0"/>
          <w:numId w:val="7"/>
        </w:numPr>
        <w:spacing w:line="400" w:lineRule="exact"/>
        <w:rPr>
          <w:szCs w:val="21"/>
          <w:u w:val="single"/>
        </w:rPr>
      </w:pPr>
      <w:r>
        <w:rPr>
          <w:szCs w:val="21"/>
          <w:u w:val="single"/>
        </w:rPr>
        <w:t>施工场地清洁卫生的要求：对施工生产和生活垃圾应及时清运，承包人承担由此发生的费用。</w:t>
      </w:r>
    </w:p>
    <w:p w14:paraId="7F12A5DB">
      <w:pPr>
        <w:spacing w:line="400" w:lineRule="exact"/>
        <w:ind w:firstLine="420" w:firstLineChars="200"/>
        <w:rPr>
          <w:szCs w:val="21"/>
          <w:u w:val="single"/>
        </w:rPr>
      </w:pPr>
      <w:r>
        <w:rPr>
          <w:szCs w:val="21"/>
          <w:u w:val="single"/>
        </w:rPr>
        <w:t>在施工期间，</w:t>
      </w:r>
      <w:r>
        <w:rPr>
          <w:rFonts w:hint="eastAsia"/>
          <w:szCs w:val="21"/>
          <w:u w:val="single"/>
        </w:rPr>
        <w:t>发包人负责提供水电并承担水电费，</w:t>
      </w:r>
      <w:r>
        <w:rPr>
          <w:szCs w:val="21"/>
          <w:u w:val="single"/>
        </w:rPr>
        <w:t>承包人施工用水电费</w:t>
      </w:r>
      <w:r>
        <w:rPr>
          <w:rFonts w:hint="eastAsia"/>
          <w:szCs w:val="21"/>
          <w:u w:val="single"/>
        </w:rPr>
        <w:t>无需缴纳，结算时应当扣除施工单位单独报送的工程水电费，且承包人应遵守节约用水、用电相关规定。</w:t>
      </w:r>
    </w:p>
    <w:p w14:paraId="0971C17E">
      <w:pPr>
        <w:spacing w:line="400" w:lineRule="exact"/>
        <w:ind w:firstLine="420" w:firstLineChars="200"/>
        <w:rPr>
          <w:szCs w:val="21"/>
          <w:u w:val="single"/>
        </w:rPr>
      </w:pPr>
      <w:r>
        <w:rPr>
          <w:rFonts w:hint="eastAsia"/>
          <w:szCs w:val="21"/>
          <w:u w:val="single"/>
        </w:rPr>
        <w:t>投标过程中承包人已综合考虑搬运施工场地内设施费用，如家具家电等的移位费用，承包人在投标报价时已一并考虑在报价中。</w:t>
      </w:r>
    </w:p>
    <w:p w14:paraId="6C18A6DC">
      <w:pPr>
        <w:spacing w:line="400" w:lineRule="exact"/>
        <w:ind w:firstLine="420" w:firstLineChars="200"/>
        <w:rPr>
          <w:szCs w:val="21"/>
          <w:u w:val="single"/>
        </w:rPr>
      </w:pPr>
      <w:r>
        <w:rPr>
          <w:rFonts w:hint="eastAsia"/>
          <w:szCs w:val="21"/>
          <w:u w:val="single"/>
        </w:rPr>
        <w:t>承包人在施工范围内进行拆除工作时，需对现场所需拆除的材料及设备提前向发包人报备，涉及学校资产、可回收利用的资源，承包人应妥善保管，并应交由发包人进行处置，承包人不得擅自变卖。对于其余经发包人查看后不可回收，且不涉及学校资产的设备、物品等，承包人负责对其进行运输和消纳，并在报价中进行体现。拆除的数量作为结算拆除工程量，实际拆除的可回收材料较原资源不足的，需像甲方说明理由，否则应按实际损失金额赔偿。</w:t>
      </w:r>
    </w:p>
    <w:p w14:paraId="08C62695">
      <w:pPr>
        <w:spacing w:line="400" w:lineRule="exact"/>
        <w:ind w:firstLine="420" w:firstLineChars="200"/>
        <w:rPr>
          <w:szCs w:val="21"/>
          <w:u w:val="single"/>
        </w:rPr>
      </w:pPr>
      <w:r>
        <w:rPr>
          <w:rFonts w:hint="eastAsia"/>
          <w:szCs w:val="21"/>
          <w:u w:val="single"/>
        </w:rPr>
        <w:t>施工期间施工单位须配备合格造价人员，如在施工过程中发生洽商项，所有经济类洽商在实施前需及时报发包人协商，发包人批准后方可实施，否则所有经济增项不予承认。如有暂估价材料项目，投标文件按招标清单之中给定暂估材料价填报。</w:t>
      </w:r>
    </w:p>
    <w:p w14:paraId="34C2E1E5">
      <w:pPr>
        <w:pStyle w:val="512"/>
        <w:spacing w:before="120" w:after="120"/>
      </w:pPr>
      <w:bookmarkStart w:id="1767" w:name="_Toc129798414"/>
      <w:bookmarkStart w:id="1768" w:name="_Toc142385702"/>
      <w:bookmarkStart w:id="1769" w:name="_Toc132619163"/>
      <w:bookmarkStart w:id="1770" w:name="_Toc109914479"/>
      <w:bookmarkStart w:id="1771" w:name="_Toc241459676"/>
      <w:bookmarkStart w:id="1772" w:name="_Toc342296435"/>
      <w:bookmarkStart w:id="1773" w:name="_Toc152045642"/>
      <w:bookmarkStart w:id="1774" w:name="_Toc179632660"/>
      <w:bookmarkStart w:id="1775" w:name="_Toc152042420"/>
      <w:bookmarkStart w:id="1776" w:name="_Toc144974610"/>
      <w:r>
        <w:t>4.2 履约担保</w:t>
      </w:r>
      <w:bookmarkEnd w:id="1767"/>
      <w:bookmarkEnd w:id="1768"/>
      <w:bookmarkEnd w:id="1769"/>
      <w:bookmarkEnd w:id="1770"/>
      <w:bookmarkEnd w:id="1771"/>
      <w:bookmarkEnd w:id="1772"/>
      <w:r>
        <w:t xml:space="preserve"> </w:t>
      </w:r>
    </w:p>
    <w:p w14:paraId="3360D7C6">
      <w:pPr>
        <w:spacing w:line="400" w:lineRule="exact"/>
        <w:ind w:firstLine="420" w:firstLineChars="200"/>
        <w:rPr>
          <w:rFonts w:eastAsia="Cambria"/>
          <w:szCs w:val="21"/>
        </w:rPr>
      </w:pPr>
      <w:r>
        <w:rPr>
          <w:rFonts w:eastAsia="Cambria"/>
          <w:szCs w:val="21"/>
        </w:rPr>
        <w:t xml:space="preserve">4.2.1 </w:t>
      </w:r>
      <w:r>
        <w:rPr>
          <w:rFonts w:hint="eastAsia" w:ascii="宋体" w:hAnsi="宋体" w:cs="宋体"/>
          <w:szCs w:val="21"/>
        </w:rPr>
        <w:t>履约担保的格式和金额</w:t>
      </w:r>
    </w:p>
    <w:p w14:paraId="254288A5">
      <w:pPr>
        <w:spacing w:line="400" w:lineRule="exact"/>
        <w:ind w:firstLine="420" w:firstLineChars="200"/>
        <w:rPr>
          <w:szCs w:val="21"/>
        </w:rPr>
      </w:pPr>
      <w:r>
        <w:rPr>
          <w:szCs w:val="21"/>
        </w:rPr>
        <w:t>承包人应在签订合同前，按照发包人在招标文件中规定的格式或者其他经过发包人认可的格式向发包人递交一份履约担保。经过发包人事先书面认可的其他格式的履约担保，其担保条款的实质性内容应当与发包人在招标文件中规定的格式内容保持一致。履约担保的金额为</w:t>
      </w:r>
      <w:r>
        <w:rPr>
          <w:szCs w:val="21"/>
          <w:u w:val="single"/>
        </w:rPr>
        <w:t xml:space="preserve">      </w:t>
      </w:r>
      <w:r>
        <w:rPr>
          <w:rFonts w:hint="eastAsia"/>
          <w:szCs w:val="21"/>
          <w:u w:val="single"/>
        </w:rPr>
        <w:t>/</w:t>
      </w:r>
      <w:r>
        <w:rPr>
          <w:szCs w:val="21"/>
          <w:u w:val="single"/>
        </w:rPr>
        <w:t xml:space="preserve">      </w:t>
      </w:r>
      <w:r>
        <w:rPr>
          <w:szCs w:val="21"/>
        </w:rPr>
        <w:t>。履约担保是本合同的附件。</w:t>
      </w:r>
    </w:p>
    <w:p w14:paraId="0480E0E3">
      <w:pPr>
        <w:spacing w:line="400" w:lineRule="exact"/>
        <w:ind w:firstLine="420" w:firstLineChars="200"/>
        <w:rPr>
          <w:rFonts w:eastAsia="Cambria"/>
          <w:szCs w:val="21"/>
        </w:rPr>
      </w:pPr>
      <w:r>
        <w:rPr>
          <w:rFonts w:eastAsia="Cambria"/>
          <w:szCs w:val="21"/>
        </w:rPr>
        <w:t xml:space="preserve">4.2.2 </w:t>
      </w:r>
      <w:r>
        <w:rPr>
          <w:rFonts w:hint="eastAsia" w:ascii="宋体" w:hAnsi="宋体" w:cs="宋体"/>
          <w:szCs w:val="21"/>
        </w:rPr>
        <w:t>履约担保的有效期</w:t>
      </w:r>
    </w:p>
    <w:p w14:paraId="5F4007C1">
      <w:pPr>
        <w:spacing w:line="400" w:lineRule="exact"/>
        <w:ind w:firstLine="420" w:firstLineChars="200"/>
        <w:rPr>
          <w:szCs w:val="21"/>
        </w:rPr>
      </w:pPr>
      <w:r>
        <w:rPr>
          <w:szCs w:val="21"/>
        </w:rPr>
        <w:t>履约担保的有效期应当自本合同生效之日起至发包人签认并由监理人向承包人出具工程接收证书之日止。如果承包人无法获得一份不带具体截止日期的担保，履约担保中应当有“变更工程竣工日期的，保证期间按照变更后的竣工日期做相应调整”或类似约定的条款。</w:t>
      </w:r>
    </w:p>
    <w:p w14:paraId="36766628">
      <w:pPr>
        <w:spacing w:line="400" w:lineRule="exact"/>
        <w:ind w:firstLine="420" w:firstLineChars="200"/>
        <w:rPr>
          <w:rFonts w:eastAsia="Cambria"/>
          <w:szCs w:val="21"/>
        </w:rPr>
      </w:pPr>
      <w:r>
        <w:rPr>
          <w:rFonts w:eastAsia="Cambria"/>
          <w:szCs w:val="21"/>
        </w:rPr>
        <w:t xml:space="preserve">4.2.3 </w:t>
      </w:r>
      <w:r>
        <w:rPr>
          <w:rFonts w:hint="eastAsia" w:ascii="宋体" w:hAnsi="宋体" w:cs="宋体"/>
          <w:szCs w:val="21"/>
        </w:rPr>
        <w:t>履约担保的退还</w:t>
      </w:r>
    </w:p>
    <w:p w14:paraId="7739EDB6">
      <w:pPr>
        <w:spacing w:line="400" w:lineRule="exact"/>
        <w:ind w:firstLine="420" w:firstLineChars="200"/>
        <w:rPr>
          <w:szCs w:val="21"/>
        </w:rPr>
      </w:pPr>
      <w:r>
        <w:rPr>
          <w:szCs w:val="21"/>
        </w:rPr>
        <w:t>履约担保应在监理人向承包人颁发（出具）工程接收证书之日后28天内退还给承包人。发包人不承担承包人与履约担保有关的任何利息或其它类似的费用或者收益。</w:t>
      </w:r>
    </w:p>
    <w:p w14:paraId="04614F83">
      <w:pPr>
        <w:spacing w:line="400" w:lineRule="exact"/>
        <w:ind w:firstLine="420" w:firstLineChars="200"/>
        <w:rPr>
          <w:rFonts w:eastAsia="Cambria"/>
          <w:szCs w:val="21"/>
        </w:rPr>
      </w:pPr>
      <w:r>
        <w:rPr>
          <w:rFonts w:eastAsia="Cambria"/>
          <w:szCs w:val="21"/>
        </w:rPr>
        <w:t xml:space="preserve">4.2.4 </w:t>
      </w:r>
      <w:r>
        <w:rPr>
          <w:rFonts w:hint="eastAsia" w:ascii="宋体" w:hAnsi="宋体" w:cs="宋体"/>
          <w:szCs w:val="21"/>
        </w:rPr>
        <w:t>通知义务</w:t>
      </w:r>
    </w:p>
    <w:p w14:paraId="243419C0">
      <w:pPr>
        <w:spacing w:line="400" w:lineRule="exact"/>
        <w:ind w:firstLine="420" w:firstLineChars="200"/>
        <w:rPr>
          <w:szCs w:val="21"/>
        </w:rPr>
      </w:pPr>
      <w:r>
        <w:rPr>
          <w:szCs w:val="21"/>
        </w:rPr>
        <w:t>不管履约担保条款中如何约定，发包人根据担保条款提出索赔或兑现要求28天前，应通知承包人并说明导致此类索赔或兑现的违约性质或原因。相应地，不管专用合同条款2.8(1)目约定的支付担保条款中如何约定，承包人根据担保条款提出索赔或兑现要求28天前，也应通知发包人并说明导致此类索赔或兑现的违约性质或原因。但是，本项约定的通知不应理解为是在任何意义上寻求承包人或者发包人的同意。</w:t>
      </w:r>
    </w:p>
    <w:p w14:paraId="7DCCA753">
      <w:pPr>
        <w:pStyle w:val="512"/>
        <w:spacing w:before="120" w:after="120"/>
      </w:pPr>
      <w:bookmarkStart w:id="1777" w:name="_Toc142385703"/>
      <w:bookmarkStart w:id="1778" w:name="_Toc129798415"/>
      <w:bookmarkStart w:id="1779" w:name="_Toc342296436"/>
      <w:bookmarkStart w:id="1780" w:name="_Toc109914480"/>
      <w:bookmarkStart w:id="1781" w:name="_Toc132619164"/>
      <w:bookmarkStart w:id="1782" w:name="_Toc241459677"/>
      <w:r>
        <w:t>4.3 分包</w:t>
      </w:r>
      <w:bookmarkEnd w:id="1773"/>
      <w:bookmarkEnd w:id="1774"/>
      <w:bookmarkEnd w:id="1775"/>
      <w:bookmarkEnd w:id="1776"/>
      <w:bookmarkEnd w:id="1777"/>
      <w:bookmarkEnd w:id="1778"/>
      <w:bookmarkEnd w:id="1779"/>
      <w:bookmarkEnd w:id="1780"/>
      <w:bookmarkEnd w:id="1781"/>
      <w:bookmarkEnd w:id="1782"/>
      <w:r>
        <w:t xml:space="preserve"> </w:t>
      </w:r>
    </w:p>
    <w:p w14:paraId="2F3C0D6B">
      <w:pPr>
        <w:spacing w:line="400" w:lineRule="exact"/>
        <w:ind w:firstLine="420" w:firstLineChars="200"/>
        <w:rPr>
          <w:szCs w:val="21"/>
        </w:rPr>
      </w:pPr>
      <w:r>
        <w:rPr>
          <w:szCs w:val="21"/>
        </w:rPr>
        <w:t>4.3.2发包人同意承包人分包的非主体、非关键性工作见投标函附录。除通用合同条款第4.3款的约定外，分包还应遵循以下约定：</w:t>
      </w:r>
    </w:p>
    <w:p w14:paraId="2DDB9BDD">
      <w:pPr>
        <w:spacing w:line="400" w:lineRule="exact"/>
        <w:ind w:firstLine="315" w:firstLineChars="150"/>
        <w:rPr>
          <w:szCs w:val="21"/>
        </w:rPr>
      </w:pPr>
      <w:r>
        <w:rPr>
          <w:szCs w:val="21"/>
        </w:rPr>
        <w:t>（1）除投标函附录中约定的分包内容外，经过发包人和监理人同意，承包人可以将其他非主体、非关键性工作分包给第三人，但分包人应当经过发包人和监理人审批。发包人和监理人有权拒绝承包人的分包请求和承包人选择的分包人。</w:t>
      </w:r>
    </w:p>
    <w:p w14:paraId="5CF72687">
      <w:pPr>
        <w:spacing w:line="400" w:lineRule="exact"/>
        <w:ind w:firstLine="315" w:firstLineChars="150"/>
        <w:rPr>
          <w:szCs w:val="21"/>
        </w:rPr>
      </w:pPr>
      <w:r>
        <w:rPr>
          <w:szCs w:val="21"/>
        </w:rPr>
        <w:t>（2）发包人在工程量清单中给定暂估价的专业工程，包括从暂列金额开支的专业工程，</w:t>
      </w:r>
      <w:r>
        <w:t>达到依法应当招标的规模标准的，以及虽未达到规定的规模标准但合同中约定采用分包方式或者招标方式实施的，应</w:t>
      </w:r>
      <w:r>
        <w:rPr>
          <w:szCs w:val="21"/>
        </w:rPr>
        <w:t>由发包人和承包人以招标方式确定专业分包人。</w:t>
      </w:r>
      <w:r>
        <w:t>除项目审批部门有特别核准外，暂估价的专业工程的招标应当采用与施工总承包同样的招标方式。</w:t>
      </w:r>
    </w:p>
    <w:p w14:paraId="108E008F">
      <w:pPr>
        <w:spacing w:line="400" w:lineRule="exact"/>
        <w:ind w:firstLine="315" w:firstLineChars="150"/>
        <w:rPr>
          <w:szCs w:val="21"/>
        </w:rPr>
      </w:pPr>
      <w:r>
        <w:rPr>
          <w:szCs w:val="21"/>
        </w:rPr>
        <w:t>（3）在相关分包合同签订并报送有关建设行政主管部门备案后7天内，承包人应当将一份副本提交给监理人，承包人应保障分包工作不得再次分包。</w:t>
      </w:r>
    </w:p>
    <w:p w14:paraId="32B81690">
      <w:pPr>
        <w:spacing w:line="400" w:lineRule="exact"/>
        <w:ind w:firstLine="315" w:firstLineChars="150"/>
        <w:rPr>
          <w:szCs w:val="21"/>
        </w:rPr>
      </w:pPr>
      <w:r>
        <w:rPr>
          <w:szCs w:val="21"/>
        </w:rPr>
        <w:t>（4）分包工程价款由承包人与分包人（包括专业分包人）结算。未经承包人同意，发包人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w:t>
      </w:r>
    </w:p>
    <w:p w14:paraId="5B465705">
      <w:pPr>
        <w:spacing w:line="400" w:lineRule="exact"/>
        <w:ind w:firstLine="315" w:firstLineChars="150"/>
        <w:rPr>
          <w:szCs w:val="21"/>
        </w:rPr>
      </w:pPr>
      <w:bookmarkStart w:id="1783" w:name="_Toc179632662"/>
      <w:bookmarkStart w:id="1784" w:name="_Toc152045644"/>
      <w:bookmarkStart w:id="1785" w:name="_Toc152042422"/>
      <w:bookmarkStart w:id="1786" w:name="_Toc144974612"/>
      <w:r>
        <w:rPr>
          <w:szCs w:val="21"/>
        </w:rPr>
        <w:t>（5）未经发包人和监理人审批同意的分包工程和分包人，发包人有权拒绝验收分包工程和支付相应款项，由此引起的承包人费用增加和（或）延误的工期由承包人承担。</w:t>
      </w:r>
    </w:p>
    <w:p w14:paraId="34854A50">
      <w:pPr>
        <w:spacing w:line="400" w:lineRule="exact"/>
        <w:ind w:firstLine="315" w:firstLineChars="150"/>
        <w:rPr>
          <w:szCs w:val="21"/>
        </w:rPr>
      </w:pPr>
      <w:r>
        <w:rPr>
          <w:rFonts w:hint="eastAsia"/>
          <w:szCs w:val="21"/>
        </w:rPr>
        <w:t>（6）因分包人的原因导致工程违约或造成人身财产损害的，承包人应当承担连带责任。</w:t>
      </w:r>
    </w:p>
    <w:p w14:paraId="78809D53">
      <w:pPr>
        <w:pStyle w:val="512"/>
        <w:spacing w:before="120" w:after="120"/>
      </w:pPr>
      <w:bookmarkStart w:id="1787" w:name="_Toc132619165"/>
      <w:bookmarkStart w:id="1788" w:name="_Toc342296437"/>
      <w:bookmarkStart w:id="1789" w:name="_Toc129798416"/>
      <w:bookmarkStart w:id="1790" w:name="_Toc241459678"/>
      <w:bookmarkStart w:id="1791" w:name="_Toc142385704"/>
      <w:bookmarkStart w:id="1792" w:name="_Toc109914481"/>
      <w:r>
        <w:t>4.5 承包人项目经理</w:t>
      </w:r>
      <w:bookmarkEnd w:id="1783"/>
      <w:bookmarkEnd w:id="1784"/>
      <w:bookmarkEnd w:id="1785"/>
      <w:bookmarkEnd w:id="1786"/>
      <w:bookmarkEnd w:id="1787"/>
      <w:bookmarkEnd w:id="1788"/>
      <w:bookmarkEnd w:id="1789"/>
      <w:bookmarkEnd w:id="1790"/>
      <w:bookmarkEnd w:id="1791"/>
      <w:bookmarkEnd w:id="1792"/>
    </w:p>
    <w:p w14:paraId="7920772E">
      <w:pPr>
        <w:spacing w:line="400" w:lineRule="exact"/>
        <w:ind w:firstLine="420" w:firstLineChars="200"/>
      </w:pPr>
      <w:r>
        <w:rPr>
          <w:szCs w:val="21"/>
        </w:rPr>
        <w:t>4.5.1承包人项目经理必须与承包人投标时所承诺的人员一致，并在根据通用合同条款第11.1.1项确定的开工日期前到任。在监理人向承包人颁发（出具）工程接收证书前，项目经理不得同时兼任其他任何项目的项目经理。未经发包人书面许可，承包人不得更换项目经理。承包人项目经理的姓名、职称、身份证号、执业资格证书号、注册证书号、执业印章号、安全生产考核合格证书号等细节资料应当在合同协议书中载明。</w:t>
      </w:r>
    </w:p>
    <w:p w14:paraId="6D890DA1">
      <w:pPr>
        <w:pStyle w:val="512"/>
        <w:spacing w:before="120" w:after="120"/>
      </w:pPr>
      <w:bookmarkStart w:id="1793" w:name="_Toc152042428"/>
      <w:bookmarkStart w:id="1794" w:name="_Toc109914482"/>
      <w:bookmarkStart w:id="1795" w:name="_Toc179632668"/>
      <w:bookmarkStart w:id="1796" w:name="_Toc342296438"/>
      <w:bookmarkStart w:id="1797" w:name="_Toc144974618"/>
      <w:bookmarkStart w:id="1798" w:name="_Toc142385705"/>
      <w:bookmarkStart w:id="1799" w:name="_Toc129798417"/>
      <w:bookmarkStart w:id="1800" w:name="_Toc132619166"/>
      <w:bookmarkStart w:id="1801" w:name="_Toc152045650"/>
      <w:bookmarkStart w:id="1802" w:name="_Toc241459679"/>
      <w:r>
        <w:t>4.11 不利物质条件</w:t>
      </w:r>
      <w:bookmarkEnd w:id="1793"/>
      <w:bookmarkEnd w:id="1794"/>
      <w:bookmarkEnd w:id="1795"/>
      <w:bookmarkEnd w:id="1796"/>
      <w:bookmarkEnd w:id="1797"/>
      <w:bookmarkEnd w:id="1798"/>
      <w:bookmarkEnd w:id="1799"/>
      <w:bookmarkEnd w:id="1800"/>
      <w:bookmarkEnd w:id="1801"/>
      <w:bookmarkEnd w:id="1802"/>
    </w:p>
    <w:p w14:paraId="3DDCC550">
      <w:pPr>
        <w:spacing w:line="400" w:lineRule="exact"/>
        <w:ind w:firstLine="420" w:firstLineChars="200"/>
        <w:rPr>
          <w:szCs w:val="21"/>
          <w:u w:val="single"/>
        </w:rPr>
      </w:pPr>
      <w:bookmarkStart w:id="1803" w:name="_Toc144974619"/>
      <w:bookmarkStart w:id="1804" w:name="_Toc152042429"/>
      <w:bookmarkStart w:id="1805" w:name="_Toc179632669"/>
      <w:bookmarkStart w:id="1806" w:name="_Toc152045651"/>
      <w:r>
        <w:rPr>
          <w:szCs w:val="21"/>
        </w:rPr>
        <w:t>4.11.1不利物质条件的范围：</w:t>
      </w:r>
      <w:r>
        <w:rPr>
          <w:szCs w:val="21"/>
          <w:u w:val="single"/>
        </w:rPr>
        <w:t xml:space="preserve">执行通用合同条款。 </w:t>
      </w:r>
    </w:p>
    <w:p w14:paraId="598A5039">
      <w:pPr>
        <w:pStyle w:val="548"/>
        <w:spacing w:before="120" w:after="120"/>
        <w:rPr>
          <w:rFonts w:cs="仿宋_GB2312"/>
        </w:rPr>
      </w:pPr>
      <w:bookmarkStart w:id="1807" w:name="_Toc342296439"/>
      <w:bookmarkStart w:id="1808" w:name="_Toc132619167"/>
      <w:bookmarkStart w:id="1809" w:name="_Toc442365643"/>
      <w:bookmarkStart w:id="1810" w:name="_Toc241459680"/>
      <w:bookmarkStart w:id="1811" w:name="_Toc448758451"/>
      <w:bookmarkStart w:id="1812" w:name="_Toc448758551"/>
      <w:bookmarkStart w:id="1813" w:name="_Toc109914483"/>
      <w:bookmarkStart w:id="1814" w:name="_Toc129798418"/>
      <w:bookmarkStart w:id="1815" w:name="_Toc469660046"/>
      <w:bookmarkStart w:id="1816" w:name="_Toc142385706"/>
      <w:r>
        <w:rPr>
          <w:rFonts w:cs="仿宋_GB2312"/>
        </w:rPr>
        <w:t>5. 材料和工程设备</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p w14:paraId="2A348375">
      <w:pPr>
        <w:pStyle w:val="512"/>
        <w:spacing w:before="120" w:after="120"/>
      </w:pPr>
      <w:bookmarkStart w:id="1817" w:name="_Toc152042430"/>
      <w:bookmarkStart w:id="1818" w:name="_Toc129798419"/>
      <w:bookmarkStart w:id="1819" w:name="_Toc342296440"/>
      <w:bookmarkStart w:id="1820" w:name="_Toc241459681"/>
      <w:bookmarkStart w:id="1821" w:name="_Toc142385707"/>
      <w:bookmarkStart w:id="1822" w:name="_Toc109914484"/>
      <w:bookmarkStart w:id="1823" w:name="_Toc152045652"/>
      <w:bookmarkStart w:id="1824" w:name="_Toc132619168"/>
      <w:bookmarkStart w:id="1825" w:name="_Toc179632670"/>
      <w:bookmarkStart w:id="1826" w:name="_Toc144974620"/>
      <w:r>
        <w:t>5.1 承包人提供的材料和工程设备</w:t>
      </w:r>
      <w:bookmarkEnd w:id="1817"/>
      <w:bookmarkEnd w:id="1818"/>
      <w:bookmarkEnd w:id="1819"/>
      <w:bookmarkEnd w:id="1820"/>
      <w:bookmarkEnd w:id="1821"/>
      <w:bookmarkEnd w:id="1822"/>
      <w:bookmarkEnd w:id="1823"/>
      <w:bookmarkEnd w:id="1824"/>
      <w:bookmarkEnd w:id="1825"/>
      <w:bookmarkEnd w:id="1826"/>
    </w:p>
    <w:p w14:paraId="3BA3F6CC">
      <w:pPr>
        <w:spacing w:line="400" w:lineRule="exact"/>
        <w:ind w:firstLine="420" w:firstLineChars="200"/>
        <w:rPr>
          <w:szCs w:val="21"/>
        </w:rPr>
      </w:pPr>
      <w:r>
        <w:rPr>
          <w:szCs w:val="21"/>
        </w:rPr>
        <w:t>5.1.1除专用合同条款第5.2款约定由发包人提供的材料和工程设备外，由承包人提供的材料和工程设备均由承包人负责采购、运输和保管。但是，发包人在工程量清单中给定暂估价的材料和工程设备，包括从暂列金额开支的材料和工程设备，其中属于依法必须招标的范围并</w:t>
      </w:r>
      <w:r>
        <w:t>达到规定的规模标准的，以及虽不属于依法必须招标的范围但合同中约定采用招标方式采购的，应当按专用合同条款第15.8.1项的约定，</w:t>
      </w:r>
      <w:r>
        <w:rPr>
          <w:szCs w:val="21"/>
        </w:rPr>
        <w:t>由发包人和承包人以招标方式确定专项供应商。</w:t>
      </w:r>
    </w:p>
    <w:p w14:paraId="1C3FBB0A">
      <w:pPr>
        <w:spacing w:line="400" w:lineRule="exact"/>
        <w:ind w:firstLine="420" w:firstLineChars="200"/>
      </w:pPr>
      <w:r>
        <w:rPr>
          <w:szCs w:val="21"/>
        </w:rPr>
        <w:t>5.1.2 承包人将由其提供的材料和工程设备的供货人及品种、规格、数量和供货时间等报送监理人审批的期限：</w:t>
      </w:r>
      <w:r>
        <w:rPr>
          <w:szCs w:val="21"/>
          <w:u w:val="single"/>
        </w:rPr>
        <w:t>材料和工程设备采购前15日内。</w:t>
      </w:r>
    </w:p>
    <w:p w14:paraId="53F73AAF">
      <w:pPr>
        <w:pStyle w:val="512"/>
        <w:spacing w:before="120" w:after="120"/>
      </w:pPr>
      <w:bookmarkStart w:id="1827" w:name="_Toc109914485"/>
      <w:bookmarkStart w:id="1828" w:name="_Toc152045653"/>
      <w:bookmarkStart w:id="1829" w:name="_Toc144974621"/>
      <w:bookmarkStart w:id="1830" w:name="_Toc241459682"/>
      <w:bookmarkStart w:id="1831" w:name="_Toc179632671"/>
      <w:bookmarkStart w:id="1832" w:name="_Toc129798420"/>
      <w:bookmarkStart w:id="1833" w:name="_Toc342296441"/>
      <w:bookmarkStart w:id="1834" w:name="_Toc132619169"/>
      <w:bookmarkStart w:id="1835" w:name="_Toc152042431"/>
      <w:bookmarkStart w:id="1836" w:name="_Toc142385708"/>
      <w:r>
        <w:t>5.2 发包人提供的材料和工程设备</w:t>
      </w:r>
      <w:bookmarkEnd w:id="1827"/>
      <w:bookmarkEnd w:id="1828"/>
      <w:bookmarkEnd w:id="1829"/>
      <w:bookmarkEnd w:id="1830"/>
      <w:bookmarkEnd w:id="1831"/>
      <w:bookmarkEnd w:id="1832"/>
      <w:bookmarkEnd w:id="1833"/>
      <w:bookmarkEnd w:id="1834"/>
      <w:bookmarkEnd w:id="1835"/>
      <w:bookmarkEnd w:id="1836"/>
    </w:p>
    <w:p w14:paraId="4E93336D">
      <w:pPr>
        <w:spacing w:line="400" w:lineRule="exact"/>
        <w:ind w:firstLine="420" w:firstLineChars="200"/>
        <w:rPr>
          <w:szCs w:val="21"/>
        </w:rPr>
      </w:pPr>
      <w:r>
        <w:rPr>
          <w:szCs w:val="21"/>
        </w:rPr>
        <w:t xml:space="preserve">5.2.1由发包人提供的材料和工程设备验收后，由承包人负责接收、运输和保管。 </w:t>
      </w:r>
    </w:p>
    <w:p w14:paraId="0028AD00">
      <w:pPr>
        <w:pStyle w:val="548"/>
        <w:spacing w:before="120" w:after="120"/>
        <w:rPr>
          <w:rFonts w:cs="仿宋_GB2312"/>
        </w:rPr>
      </w:pPr>
      <w:bookmarkStart w:id="1837" w:name="_Toc442365644"/>
      <w:bookmarkStart w:id="1838" w:name="_Toc179632674"/>
      <w:bookmarkStart w:id="1839" w:name="_Toc152042434"/>
      <w:bookmarkStart w:id="1840" w:name="_Toc152045656"/>
      <w:bookmarkStart w:id="1841" w:name="_Toc241459683"/>
      <w:bookmarkStart w:id="1842" w:name="_Toc469660047"/>
      <w:bookmarkStart w:id="1843" w:name="_Toc132619170"/>
      <w:bookmarkStart w:id="1844" w:name="_Toc109914486"/>
      <w:bookmarkStart w:id="1845" w:name="_Toc448758552"/>
      <w:bookmarkStart w:id="1846" w:name="_Toc342296442"/>
      <w:bookmarkStart w:id="1847" w:name="_Toc448758452"/>
      <w:bookmarkStart w:id="1848" w:name="_Toc129798421"/>
      <w:bookmarkStart w:id="1849" w:name="_Toc142385709"/>
      <w:bookmarkStart w:id="1850" w:name="_Toc144974624"/>
      <w:r>
        <w:rPr>
          <w:rFonts w:cs="仿宋_GB2312"/>
        </w:rPr>
        <w:t>6. 施工设备和临时设施</w:t>
      </w:r>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p>
    <w:p w14:paraId="338188A8">
      <w:pPr>
        <w:pStyle w:val="512"/>
        <w:spacing w:before="120" w:after="120"/>
      </w:pPr>
      <w:bookmarkStart w:id="1851" w:name="_Toc152042435"/>
      <w:bookmarkStart w:id="1852" w:name="_Toc142385710"/>
      <w:bookmarkStart w:id="1853" w:name="_Toc179632675"/>
      <w:bookmarkStart w:id="1854" w:name="_Toc241459684"/>
      <w:bookmarkStart w:id="1855" w:name="_Toc152045657"/>
      <w:bookmarkStart w:id="1856" w:name="_Toc109914487"/>
      <w:bookmarkStart w:id="1857" w:name="_Toc132619171"/>
      <w:bookmarkStart w:id="1858" w:name="_Toc129798422"/>
      <w:bookmarkStart w:id="1859" w:name="_Toc342296443"/>
      <w:bookmarkStart w:id="1860" w:name="_Toc144974625"/>
      <w:r>
        <w:t>6.1 承包人提供的施工设备和临时设施</w:t>
      </w:r>
      <w:bookmarkEnd w:id="1851"/>
      <w:bookmarkEnd w:id="1852"/>
      <w:bookmarkEnd w:id="1853"/>
      <w:bookmarkEnd w:id="1854"/>
      <w:bookmarkEnd w:id="1855"/>
      <w:bookmarkEnd w:id="1856"/>
      <w:bookmarkEnd w:id="1857"/>
      <w:bookmarkEnd w:id="1858"/>
      <w:bookmarkEnd w:id="1859"/>
      <w:bookmarkEnd w:id="1860"/>
    </w:p>
    <w:p w14:paraId="0B645C98">
      <w:pPr>
        <w:spacing w:line="400" w:lineRule="exact"/>
        <w:ind w:firstLine="420" w:firstLineChars="200"/>
        <w:rPr>
          <w:szCs w:val="21"/>
        </w:rPr>
      </w:pPr>
      <w:r>
        <w:rPr>
          <w:szCs w:val="21"/>
        </w:rPr>
        <w:t>6.1.2发包人承担修建临时设施的费用的范围：</w:t>
      </w:r>
      <w:r>
        <w:rPr>
          <w:szCs w:val="21"/>
          <w:u w:val="single"/>
        </w:rPr>
        <w:t>施工现场不允许搭建临时设施</w:t>
      </w:r>
      <w:r>
        <w:rPr>
          <w:szCs w:val="21"/>
        </w:rPr>
        <w:t xml:space="preserve">。 </w:t>
      </w:r>
    </w:p>
    <w:p w14:paraId="2440E0A1">
      <w:pPr>
        <w:spacing w:line="400" w:lineRule="exact"/>
        <w:ind w:firstLine="420" w:firstLineChars="200"/>
        <w:rPr>
          <w:u w:val="single"/>
        </w:rPr>
      </w:pPr>
      <w:r>
        <w:t>需要发包人办理申请手续和承担相关费用的临时占地：</w:t>
      </w:r>
      <w:r>
        <w:rPr>
          <w:u w:val="single"/>
        </w:rPr>
        <w:t>进场材料设备的检验检测费</w:t>
      </w:r>
      <w:r>
        <w:t xml:space="preserve">。 </w:t>
      </w:r>
    </w:p>
    <w:p w14:paraId="67F636CF">
      <w:pPr>
        <w:pStyle w:val="512"/>
        <w:spacing w:before="120" w:after="120"/>
      </w:pPr>
      <w:bookmarkStart w:id="1861" w:name="_Toc142385711"/>
      <w:bookmarkStart w:id="1862" w:name="_Toc109914488"/>
      <w:bookmarkStart w:id="1863" w:name="_Toc342296444"/>
      <w:bookmarkStart w:id="1864" w:name="_Toc132619172"/>
      <w:bookmarkStart w:id="1865" w:name="_Toc144974626"/>
      <w:bookmarkStart w:id="1866" w:name="_Toc152045658"/>
      <w:bookmarkStart w:id="1867" w:name="_Toc152042436"/>
      <w:bookmarkStart w:id="1868" w:name="_Toc129798423"/>
      <w:bookmarkStart w:id="1869" w:name="_Toc179632676"/>
      <w:bookmarkStart w:id="1870" w:name="_Toc241459685"/>
      <w:r>
        <w:t>6.2 发包人提供的施工设备和临时设施</w:t>
      </w:r>
      <w:bookmarkEnd w:id="1861"/>
      <w:bookmarkEnd w:id="1862"/>
      <w:bookmarkEnd w:id="1863"/>
      <w:bookmarkEnd w:id="1864"/>
      <w:bookmarkEnd w:id="1865"/>
      <w:bookmarkEnd w:id="1866"/>
      <w:bookmarkEnd w:id="1867"/>
      <w:bookmarkEnd w:id="1868"/>
      <w:bookmarkEnd w:id="1869"/>
      <w:bookmarkEnd w:id="1870"/>
    </w:p>
    <w:p w14:paraId="6BA1977C">
      <w:pPr>
        <w:spacing w:line="400" w:lineRule="exact"/>
        <w:ind w:firstLine="420" w:firstLineChars="200"/>
        <w:rPr>
          <w:szCs w:val="21"/>
        </w:rPr>
      </w:pPr>
      <w:r>
        <w:rPr>
          <w:szCs w:val="21"/>
        </w:rPr>
        <w:t>发包人提供的施工设备和临时设施：</w:t>
      </w:r>
      <w:r>
        <w:rPr>
          <w:szCs w:val="21"/>
          <w:u w:val="single"/>
        </w:rPr>
        <w:t>不提供</w:t>
      </w:r>
      <w:r>
        <w:rPr>
          <w:szCs w:val="21"/>
        </w:rPr>
        <w:t>。</w:t>
      </w:r>
    </w:p>
    <w:p w14:paraId="313D6CA7">
      <w:pPr>
        <w:spacing w:line="400" w:lineRule="exact"/>
        <w:ind w:firstLine="420" w:firstLineChars="200"/>
        <w:rPr>
          <w:szCs w:val="21"/>
        </w:rPr>
      </w:pPr>
      <w:r>
        <w:rPr>
          <w:szCs w:val="21"/>
        </w:rPr>
        <w:t>发包人提供的施工设备和临时设施的运行、维护、拆除、清运费用的承担人：</w:t>
      </w:r>
      <w:r>
        <w:rPr>
          <w:szCs w:val="21"/>
          <w:u w:val="single"/>
        </w:rPr>
        <w:t xml:space="preserve"> / </w:t>
      </w:r>
      <w:r>
        <w:rPr>
          <w:szCs w:val="21"/>
        </w:rPr>
        <w:t>。</w:t>
      </w:r>
    </w:p>
    <w:p w14:paraId="1C7E1F35">
      <w:pPr>
        <w:pStyle w:val="512"/>
        <w:spacing w:before="120" w:after="120"/>
      </w:pPr>
      <w:bookmarkStart w:id="1871" w:name="_Toc152045660"/>
      <w:bookmarkStart w:id="1872" w:name="_Toc142385712"/>
      <w:bookmarkStart w:id="1873" w:name="_Toc109914489"/>
      <w:bookmarkStart w:id="1874" w:name="_Toc342296445"/>
      <w:bookmarkStart w:id="1875" w:name="_Toc241459686"/>
      <w:bookmarkStart w:id="1876" w:name="_Toc132619173"/>
      <w:bookmarkStart w:id="1877" w:name="_Toc152042438"/>
      <w:bookmarkStart w:id="1878" w:name="_Toc129798424"/>
      <w:bookmarkStart w:id="1879" w:name="_Toc144974628"/>
      <w:bookmarkStart w:id="1880" w:name="_Toc179632678"/>
      <w:r>
        <w:t>6.4 施工设备和临时设施专用于合同工程</w:t>
      </w:r>
      <w:bookmarkEnd w:id="1871"/>
      <w:bookmarkEnd w:id="1872"/>
      <w:bookmarkEnd w:id="1873"/>
      <w:bookmarkEnd w:id="1874"/>
      <w:bookmarkEnd w:id="1875"/>
      <w:bookmarkEnd w:id="1876"/>
      <w:bookmarkEnd w:id="1877"/>
      <w:bookmarkEnd w:id="1878"/>
      <w:bookmarkEnd w:id="1879"/>
      <w:bookmarkEnd w:id="1880"/>
    </w:p>
    <w:p w14:paraId="2D7FF43E">
      <w:pPr>
        <w:spacing w:line="400" w:lineRule="exact"/>
        <w:ind w:firstLine="420" w:firstLineChars="200"/>
        <w:rPr>
          <w:u w:val="single"/>
          <w:bdr w:val="single" w:color="auto" w:sz="4" w:space="0"/>
        </w:rPr>
      </w:pPr>
      <w:r>
        <w:rPr>
          <w:szCs w:val="21"/>
        </w:rPr>
        <w:t>6.4.1除为专用合同条款第4.1.8项约定的其他独立承包人和监理人指示的他人提供条件外,承包人运入施工场地的所有施工设备以及在施工场地建设的临时设施仅限于用于合同工程。</w:t>
      </w:r>
    </w:p>
    <w:p w14:paraId="20C9CD03">
      <w:pPr>
        <w:pStyle w:val="548"/>
        <w:spacing w:before="120" w:after="120"/>
        <w:rPr>
          <w:rFonts w:cs="仿宋_GB2312"/>
        </w:rPr>
      </w:pPr>
      <w:bookmarkStart w:id="1881" w:name="_Toc152042439"/>
      <w:bookmarkStart w:id="1882" w:name="_Toc152045661"/>
      <w:bookmarkStart w:id="1883" w:name="_Toc442365645"/>
      <w:bookmarkStart w:id="1884" w:name="_Toc241459687"/>
      <w:bookmarkStart w:id="1885" w:name="_Toc342296446"/>
      <w:bookmarkStart w:id="1886" w:name="_Toc144974629"/>
      <w:bookmarkStart w:id="1887" w:name="_Toc448758453"/>
      <w:bookmarkStart w:id="1888" w:name="_Toc179632679"/>
      <w:bookmarkStart w:id="1889" w:name="_Toc132619174"/>
      <w:bookmarkStart w:id="1890" w:name="_Toc129798425"/>
      <w:bookmarkStart w:id="1891" w:name="_Toc142385713"/>
      <w:bookmarkStart w:id="1892" w:name="_Toc109914490"/>
      <w:bookmarkStart w:id="1893" w:name="_Toc469660048"/>
      <w:bookmarkStart w:id="1894" w:name="_Toc448758553"/>
      <w:r>
        <w:rPr>
          <w:rFonts w:cs="仿宋_GB2312"/>
        </w:rPr>
        <w:t>7. 交通运输</w:t>
      </w:r>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p>
    <w:p w14:paraId="78CAA170">
      <w:pPr>
        <w:pStyle w:val="512"/>
        <w:spacing w:before="120" w:after="120"/>
      </w:pPr>
      <w:bookmarkStart w:id="1895" w:name="_Toc142385714"/>
      <w:bookmarkStart w:id="1896" w:name="_Toc342296447"/>
      <w:bookmarkStart w:id="1897" w:name="_Toc241459688"/>
      <w:bookmarkStart w:id="1898" w:name="_Toc109914491"/>
      <w:bookmarkStart w:id="1899" w:name="_Toc179632680"/>
      <w:bookmarkStart w:id="1900" w:name="_Toc152045662"/>
      <w:bookmarkStart w:id="1901" w:name="_Toc129798426"/>
      <w:bookmarkStart w:id="1902" w:name="_Toc152042440"/>
      <w:bookmarkStart w:id="1903" w:name="_Toc132619175"/>
      <w:bookmarkStart w:id="1904" w:name="_Toc144974630"/>
      <w:r>
        <w:t>7.1 道路通行权和场外设施</w:t>
      </w:r>
      <w:bookmarkEnd w:id="1895"/>
      <w:bookmarkEnd w:id="1896"/>
      <w:bookmarkEnd w:id="1897"/>
      <w:bookmarkEnd w:id="1898"/>
      <w:bookmarkEnd w:id="1899"/>
      <w:bookmarkEnd w:id="1900"/>
      <w:bookmarkEnd w:id="1901"/>
      <w:bookmarkEnd w:id="1902"/>
      <w:bookmarkEnd w:id="1903"/>
      <w:bookmarkEnd w:id="1904"/>
    </w:p>
    <w:p w14:paraId="10A02C1E">
      <w:pPr>
        <w:spacing w:line="400" w:lineRule="exact"/>
        <w:ind w:firstLine="420" w:firstLineChars="200"/>
        <w:rPr>
          <w:szCs w:val="21"/>
          <w:u w:val="single"/>
        </w:rPr>
      </w:pPr>
      <w:r>
        <w:rPr>
          <w:szCs w:val="21"/>
        </w:rPr>
        <w:t>取得道路通行权、场外设施修建权的办理人:</w:t>
      </w:r>
      <w:r>
        <w:rPr>
          <w:szCs w:val="21"/>
          <w:u w:val="single"/>
        </w:rPr>
        <w:t>承包人</w:t>
      </w:r>
      <w:r>
        <w:rPr>
          <w:szCs w:val="21"/>
        </w:rPr>
        <w:t>，其相关费用由发包人承担。</w:t>
      </w:r>
    </w:p>
    <w:p w14:paraId="6BC93A10">
      <w:pPr>
        <w:pStyle w:val="512"/>
        <w:spacing w:before="120" w:after="120"/>
      </w:pPr>
      <w:bookmarkStart w:id="1905" w:name="_Toc142385715"/>
      <w:bookmarkStart w:id="1906" w:name="_Toc129798427"/>
      <w:bookmarkStart w:id="1907" w:name="_Toc152045663"/>
      <w:bookmarkStart w:id="1908" w:name="_Toc109914492"/>
      <w:bookmarkStart w:id="1909" w:name="_Toc132619176"/>
      <w:bookmarkStart w:id="1910" w:name="_Toc144974631"/>
      <w:bookmarkStart w:id="1911" w:name="_Toc152042441"/>
      <w:bookmarkStart w:id="1912" w:name="_Toc342296448"/>
      <w:bookmarkStart w:id="1913" w:name="_Toc179632681"/>
      <w:bookmarkStart w:id="1914" w:name="_Toc241459689"/>
      <w:r>
        <w:t>7.2 场内施工道路</w:t>
      </w:r>
      <w:bookmarkEnd w:id="1905"/>
      <w:bookmarkEnd w:id="1906"/>
      <w:bookmarkEnd w:id="1907"/>
      <w:bookmarkEnd w:id="1908"/>
      <w:bookmarkEnd w:id="1909"/>
      <w:bookmarkEnd w:id="1910"/>
      <w:bookmarkEnd w:id="1911"/>
      <w:bookmarkEnd w:id="1912"/>
      <w:bookmarkEnd w:id="1913"/>
      <w:bookmarkEnd w:id="1914"/>
    </w:p>
    <w:p w14:paraId="21C55660">
      <w:pPr>
        <w:spacing w:line="400" w:lineRule="exact"/>
        <w:ind w:firstLine="420" w:firstLineChars="200"/>
        <w:rPr>
          <w:szCs w:val="21"/>
        </w:rPr>
      </w:pPr>
      <w:r>
        <w:rPr>
          <w:szCs w:val="21"/>
        </w:rPr>
        <w:t>7.2.1施工所需的场内临时道路和交通设施的修建、维护、养护和管理人：</w:t>
      </w:r>
      <w:r>
        <w:rPr>
          <w:szCs w:val="21"/>
          <w:u w:val="single"/>
        </w:rPr>
        <w:t>承包人</w:t>
      </w:r>
      <w:r>
        <w:rPr>
          <w:szCs w:val="21"/>
        </w:rPr>
        <w:t>，相关费用由</w:t>
      </w:r>
      <w:r>
        <w:rPr>
          <w:szCs w:val="21"/>
          <w:u w:val="single"/>
        </w:rPr>
        <w:t>承包人</w:t>
      </w:r>
      <w:r>
        <w:rPr>
          <w:szCs w:val="21"/>
        </w:rPr>
        <w:t>承担。</w:t>
      </w:r>
    </w:p>
    <w:p w14:paraId="2A8F5D58">
      <w:pPr>
        <w:spacing w:line="400" w:lineRule="exact"/>
        <w:ind w:firstLine="420" w:firstLineChars="200"/>
        <w:rPr>
          <w:szCs w:val="21"/>
          <w:u w:val="single"/>
        </w:rPr>
      </w:pPr>
      <w:r>
        <w:rPr>
          <w:szCs w:val="21"/>
        </w:rPr>
        <w:t>7.2.2发包人和监理人有权无偿使用承包人修建的临时道路和交通设施，不需要交纳任何费用。</w:t>
      </w:r>
    </w:p>
    <w:p w14:paraId="58FCC2D9">
      <w:pPr>
        <w:pStyle w:val="512"/>
        <w:spacing w:before="120" w:after="120"/>
      </w:pPr>
      <w:bookmarkStart w:id="1915" w:name="_Toc142385716"/>
      <w:bookmarkStart w:id="1916" w:name="_Toc144974633"/>
      <w:bookmarkStart w:id="1917" w:name="_Toc179632683"/>
      <w:bookmarkStart w:id="1918" w:name="_Toc241459690"/>
      <w:bookmarkStart w:id="1919" w:name="_Toc152045665"/>
      <w:bookmarkStart w:id="1920" w:name="_Toc109914493"/>
      <w:bookmarkStart w:id="1921" w:name="_Toc129798428"/>
      <w:bookmarkStart w:id="1922" w:name="_Toc342296449"/>
      <w:bookmarkStart w:id="1923" w:name="_Toc152042443"/>
      <w:bookmarkStart w:id="1924" w:name="_Toc132619177"/>
      <w:r>
        <w:t>7.4 超大件和超重件的运输</w:t>
      </w:r>
      <w:bookmarkEnd w:id="1915"/>
      <w:bookmarkEnd w:id="1916"/>
      <w:bookmarkEnd w:id="1917"/>
      <w:bookmarkEnd w:id="1918"/>
      <w:bookmarkEnd w:id="1919"/>
      <w:bookmarkEnd w:id="1920"/>
      <w:bookmarkEnd w:id="1921"/>
      <w:bookmarkEnd w:id="1922"/>
      <w:bookmarkEnd w:id="1923"/>
      <w:bookmarkEnd w:id="1924"/>
    </w:p>
    <w:p w14:paraId="73CBDC6A">
      <w:pPr>
        <w:spacing w:line="400" w:lineRule="exact"/>
        <w:ind w:firstLine="420" w:firstLineChars="200"/>
        <w:rPr>
          <w:szCs w:val="21"/>
        </w:rPr>
      </w:pPr>
      <w:bookmarkStart w:id="1925" w:name="_Toc144974634"/>
      <w:bookmarkStart w:id="1926" w:name="_Toc152042444"/>
      <w:bookmarkStart w:id="1927" w:name="_Toc152045666"/>
      <w:bookmarkStart w:id="1928" w:name="_Toc179632684"/>
      <w:r>
        <w:rPr>
          <w:szCs w:val="21"/>
        </w:rPr>
        <w:t>运输超大件或超重件所需的道路和桥梁临时加固改造等费用的承担人：</w:t>
      </w:r>
      <w:r>
        <w:rPr>
          <w:szCs w:val="21"/>
          <w:u w:val="single"/>
        </w:rPr>
        <w:t>承包人承担</w:t>
      </w:r>
      <w:r>
        <w:rPr>
          <w:szCs w:val="21"/>
        </w:rPr>
        <w:t>。</w:t>
      </w:r>
    </w:p>
    <w:bookmarkEnd w:id="1925"/>
    <w:bookmarkEnd w:id="1926"/>
    <w:bookmarkEnd w:id="1927"/>
    <w:bookmarkEnd w:id="1928"/>
    <w:p w14:paraId="6ED3C9B0">
      <w:pPr>
        <w:pStyle w:val="548"/>
        <w:spacing w:before="120" w:after="120"/>
        <w:rPr>
          <w:rFonts w:cs="仿宋_GB2312"/>
        </w:rPr>
      </w:pPr>
      <w:bookmarkStart w:id="1929" w:name="_Toc144974636"/>
      <w:bookmarkStart w:id="1930" w:name="_Toc448758554"/>
      <w:bookmarkStart w:id="1931" w:name="_Toc448758454"/>
      <w:bookmarkStart w:id="1932" w:name="_Toc179632686"/>
      <w:bookmarkStart w:id="1933" w:name="_Toc152042446"/>
      <w:bookmarkStart w:id="1934" w:name="_Toc152045668"/>
      <w:bookmarkStart w:id="1935" w:name="_Toc442365646"/>
      <w:bookmarkStart w:id="1936" w:name="_Toc132619178"/>
      <w:bookmarkStart w:id="1937" w:name="_Toc109914494"/>
      <w:bookmarkStart w:id="1938" w:name="_Toc342296450"/>
      <w:bookmarkStart w:id="1939" w:name="_Toc469660049"/>
      <w:bookmarkStart w:id="1940" w:name="_Toc129798429"/>
      <w:bookmarkStart w:id="1941" w:name="_Toc241459691"/>
      <w:bookmarkStart w:id="1942" w:name="_Toc142385717"/>
      <w:r>
        <w:rPr>
          <w:rFonts w:cs="仿宋_GB2312"/>
        </w:rPr>
        <w:t>8. 测量放线</w:t>
      </w:r>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p>
    <w:p w14:paraId="4DED5674">
      <w:pPr>
        <w:pStyle w:val="512"/>
        <w:spacing w:before="120" w:after="120"/>
      </w:pPr>
      <w:bookmarkStart w:id="1943" w:name="_Toc129798430"/>
      <w:bookmarkStart w:id="1944" w:name="_Toc152045669"/>
      <w:bookmarkStart w:id="1945" w:name="_Toc342296451"/>
      <w:bookmarkStart w:id="1946" w:name="_Toc144974637"/>
      <w:bookmarkStart w:id="1947" w:name="_Toc152042447"/>
      <w:bookmarkStart w:id="1948" w:name="_Toc142385718"/>
      <w:bookmarkStart w:id="1949" w:name="_Toc109914495"/>
      <w:bookmarkStart w:id="1950" w:name="_Toc132619179"/>
      <w:bookmarkStart w:id="1951" w:name="_Toc179632687"/>
      <w:bookmarkStart w:id="1952" w:name="_Toc241459692"/>
      <w:r>
        <w:t>8.1 施工控制网</w:t>
      </w:r>
      <w:bookmarkEnd w:id="1943"/>
      <w:bookmarkEnd w:id="1944"/>
      <w:bookmarkEnd w:id="1945"/>
      <w:bookmarkEnd w:id="1946"/>
      <w:bookmarkEnd w:id="1947"/>
      <w:bookmarkEnd w:id="1948"/>
      <w:bookmarkEnd w:id="1949"/>
      <w:bookmarkEnd w:id="1950"/>
      <w:bookmarkEnd w:id="1951"/>
      <w:bookmarkEnd w:id="1952"/>
    </w:p>
    <w:p w14:paraId="251A812D">
      <w:pPr>
        <w:spacing w:line="400" w:lineRule="exact"/>
        <w:ind w:firstLine="420" w:firstLineChars="200"/>
        <w:rPr>
          <w:szCs w:val="21"/>
          <w:u w:val="single"/>
        </w:rPr>
      </w:pPr>
      <w:r>
        <w:rPr>
          <w:szCs w:val="21"/>
        </w:rPr>
        <w:t>8.1.1发包人通过监理人提供测量基准点、基准线和水准点及其书面资料的期限：</w:t>
      </w:r>
      <w:r>
        <w:rPr>
          <w:szCs w:val="21"/>
          <w:u w:val="single"/>
        </w:rPr>
        <w:t xml:space="preserve"> 合同签订后7日内 （如有）</w:t>
      </w:r>
      <w:r>
        <w:rPr>
          <w:szCs w:val="21"/>
        </w:rPr>
        <w:t xml:space="preserve">。 </w:t>
      </w:r>
    </w:p>
    <w:p w14:paraId="04DA5772">
      <w:pPr>
        <w:spacing w:line="400" w:lineRule="exact"/>
        <w:ind w:firstLine="420" w:firstLineChars="200"/>
        <w:rPr>
          <w:szCs w:val="21"/>
          <w:u w:val="single"/>
        </w:rPr>
      </w:pPr>
      <w:r>
        <w:rPr>
          <w:szCs w:val="21"/>
        </w:rPr>
        <w:t>承包人测设施工控制网的要求：</w:t>
      </w:r>
      <w:r>
        <w:rPr>
          <w:u w:val="single"/>
        </w:rPr>
        <w:t>由承包人依据监理人提供的测量基准点、基准线和水准点以及国家的工程测量技术规范和合同要求的工程精度，测设自己的施工控制网</w:t>
      </w:r>
      <w:r>
        <w:rPr>
          <w:szCs w:val="21"/>
          <w:u w:val="single"/>
        </w:rPr>
        <w:t xml:space="preserve">  </w:t>
      </w:r>
      <w:r>
        <w:rPr>
          <w:szCs w:val="21"/>
        </w:rPr>
        <w:t xml:space="preserve">。 </w:t>
      </w:r>
    </w:p>
    <w:p w14:paraId="47595774">
      <w:pPr>
        <w:spacing w:line="400" w:lineRule="exact"/>
        <w:ind w:firstLine="420" w:firstLineChars="200"/>
        <w:rPr>
          <w:szCs w:val="21"/>
          <w:u w:val="single"/>
        </w:rPr>
      </w:pPr>
      <w:r>
        <w:rPr>
          <w:szCs w:val="21"/>
        </w:rPr>
        <w:t>承包人将施工控制网资料报送监理人审批的期限：</w:t>
      </w:r>
      <w:r>
        <w:rPr>
          <w:u w:val="single"/>
        </w:rPr>
        <w:t>在收到监理人按照通用合同条款第11.1.1项发出的开工通知后7日内</w:t>
      </w:r>
      <w:r>
        <w:rPr>
          <w:szCs w:val="21"/>
        </w:rPr>
        <w:t xml:space="preserve">。 </w:t>
      </w:r>
    </w:p>
    <w:p w14:paraId="497CC8F8">
      <w:pPr>
        <w:pStyle w:val="548"/>
        <w:spacing w:before="120" w:after="120"/>
        <w:rPr>
          <w:rFonts w:cs="仿宋_GB2312"/>
        </w:rPr>
      </w:pPr>
      <w:bookmarkStart w:id="1953" w:name="_Toc469660050"/>
      <w:bookmarkStart w:id="1954" w:name="_Toc442365647"/>
      <w:bookmarkStart w:id="1955" w:name="_Toc132619180"/>
      <w:bookmarkStart w:id="1956" w:name="_Toc241459693"/>
      <w:bookmarkStart w:id="1957" w:name="_Toc142385719"/>
      <w:bookmarkStart w:id="1958" w:name="_Toc152045673"/>
      <w:bookmarkStart w:id="1959" w:name="_Toc448758455"/>
      <w:bookmarkStart w:id="1960" w:name="_Toc179632691"/>
      <w:bookmarkStart w:id="1961" w:name="_Toc109914496"/>
      <w:bookmarkStart w:id="1962" w:name="_Toc448758555"/>
      <w:bookmarkStart w:id="1963" w:name="_Toc342296452"/>
      <w:bookmarkStart w:id="1964" w:name="_Toc144974641"/>
      <w:bookmarkStart w:id="1965" w:name="_Toc152042451"/>
      <w:bookmarkStart w:id="1966" w:name="_Toc129798431"/>
      <w:r>
        <w:rPr>
          <w:rFonts w:cs="仿宋_GB2312"/>
        </w:rPr>
        <w:t>9. 施工安全、治安保卫和环境保护</w:t>
      </w:r>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p>
    <w:p w14:paraId="5336A50A">
      <w:pPr>
        <w:pStyle w:val="512"/>
        <w:spacing w:before="120" w:after="120"/>
      </w:pPr>
      <w:bookmarkStart w:id="1967" w:name="_Toc109914497"/>
      <w:bookmarkStart w:id="1968" w:name="_Toc144974643"/>
      <w:bookmarkStart w:id="1969" w:name="_Toc129798432"/>
      <w:bookmarkStart w:id="1970" w:name="_Toc152045675"/>
      <w:bookmarkStart w:id="1971" w:name="_Toc132619181"/>
      <w:bookmarkStart w:id="1972" w:name="_Toc152042453"/>
      <w:bookmarkStart w:id="1973" w:name="_Toc142385720"/>
      <w:bookmarkStart w:id="1974" w:name="_Toc241459694"/>
      <w:bookmarkStart w:id="1975" w:name="_Toc342296453"/>
      <w:bookmarkStart w:id="1976" w:name="_Toc179632693"/>
      <w:r>
        <w:t>9.2 承包人的施工安全责任</w:t>
      </w:r>
      <w:bookmarkEnd w:id="1967"/>
      <w:bookmarkEnd w:id="1968"/>
      <w:bookmarkEnd w:id="1969"/>
      <w:bookmarkEnd w:id="1970"/>
      <w:bookmarkEnd w:id="1971"/>
      <w:bookmarkEnd w:id="1972"/>
      <w:bookmarkEnd w:id="1973"/>
      <w:bookmarkEnd w:id="1974"/>
      <w:bookmarkEnd w:id="1975"/>
      <w:bookmarkEnd w:id="1976"/>
    </w:p>
    <w:p w14:paraId="72664D64">
      <w:pPr>
        <w:pStyle w:val="47"/>
        <w:spacing w:line="400" w:lineRule="exact"/>
        <w:rPr>
          <w:szCs w:val="21"/>
        </w:rPr>
      </w:pPr>
      <w:r>
        <w:rPr>
          <w:szCs w:val="21"/>
        </w:rPr>
        <w:t>9.2.1承包人向监理人报送施工安全措施计划的期限：</w:t>
      </w:r>
      <w:r>
        <w:rPr>
          <w:szCs w:val="21"/>
          <w:u w:val="single"/>
        </w:rPr>
        <w:t>在收到监理人按照通用合同条款第11.1.1项发出的开工通知后7日内</w:t>
      </w:r>
      <w:r>
        <w:rPr>
          <w:szCs w:val="21"/>
        </w:rPr>
        <w:t>。</w:t>
      </w:r>
    </w:p>
    <w:p w14:paraId="59B3F095">
      <w:pPr>
        <w:pStyle w:val="47"/>
        <w:spacing w:line="400" w:lineRule="exact"/>
        <w:rPr>
          <w:szCs w:val="21"/>
        </w:rPr>
      </w:pPr>
      <w:r>
        <w:rPr>
          <w:szCs w:val="21"/>
        </w:rPr>
        <w:t>监理人收到承包人报送的施工安全措施计划后应当在</w:t>
      </w:r>
      <w:r>
        <w:rPr>
          <w:szCs w:val="21"/>
          <w:u w:val="single"/>
        </w:rPr>
        <w:t>7</w:t>
      </w:r>
      <w:r>
        <w:rPr>
          <w:szCs w:val="21"/>
        </w:rPr>
        <w:t>天内给予批复。</w:t>
      </w:r>
    </w:p>
    <w:p w14:paraId="67217CB0">
      <w:pPr>
        <w:spacing w:line="400" w:lineRule="exact"/>
        <w:ind w:firstLine="420" w:firstLineChars="200"/>
      </w:pPr>
      <w:r>
        <w:rPr>
          <w:rFonts w:hint="eastAsia"/>
        </w:rPr>
        <w:t>9.2.</w:t>
      </w:r>
      <w:r>
        <w:t>2</w:t>
      </w:r>
      <w:r>
        <w:rPr>
          <w:rFonts w:hint="eastAsia"/>
        </w:rPr>
        <w:t xml:space="preserve"> 承包人应签署《施工安全协议书》（第七节），并严格按照第七节《施工安全协议书》中内容执行。</w:t>
      </w:r>
    </w:p>
    <w:p w14:paraId="0AB94FBF">
      <w:pPr>
        <w:pStyle w:val="47"/>
        <w:spacing w:line="400" w:lineRule="exact"/>
        <w:rPr>
          <w:szCs w:val="21"/>
        </w:rPr>
      </w:pPr>
      <w:r>
        <w:rPr>
          <w:szCs w:val="21"/>
        </w:rPr>
        <w:t>9.2.3施工场</w:t>
      </w:r>
      <w:r>
        <w:rPr>
          <w:rFonts w:hint="eastAsia"/>
          <w:szCs w:val="21"/>
        </w:rPr>
        <w:t>安全</w:t>
      </w:r>
      <w:r>
        <w:rPr>
          <w:szCs w:val="21"/>
        </w:rPr>
        <w:t>事件紧急预案的编制责任人：</w:t>
      </w:r>
      <w:r>
        <w:rPr>
          <w:szCs w:val="21"/>
          <w:u w:val="single"/>
        </w:rPr>
        <w:t>承包人</w:t>
      </w:r>
      <w:r>
        <w:rPr>
          <w:szCs w:val="21"/>
        </w:rPr>
        <w:t>。</w:t>
      </w:r>
    </w:p>
    <w:p w14:paraId="023503C5">
      <w:pPr>
        <w:pStyle w:val="512"/>
        <w:spacing w:before="120" w:after="120"/>
      </w:pPr>
      <w:bookmarkStart w:id="1977" w:name="_Toc152042454"/>
      <w:bookmarkStart w:id="1978" w:name="_Toc342296454"/>
      <w:bookmarkStart w:id="1979" w:name="_Toc144974644"/>
      <w:bookmarkStart w:id="1980" w:name="_Toc152045676"/>
      <w:bookmarkStart w:id="1981" w:name="_Toc241459695"/>
      <w:bookmarkStart w:id="1982" w:name="_Toc129798433"/>
      <w:bookmarkStart w:id="1983" w:name="_Toc142385721"/>
      <w:bookmarkStart w:id="1984" w:name="_Toc109914498"/>
      <w:bookmarkStart w:id="1985" w:name="_Toc179632694"/>
      <w:bookmarkStart w:id="1986" w:name="_Toc132619182"/>
      <w:r>
        <w:t>9.3 治安保卫</w:t>
      </w:r>
      <w:bookmarkEnd w:id="1977"/>
      <w:bookmarkEnd w:id="1978"/>
      <w:bookmarkEnd w:id="1979"/>
      <w:bookmarkEnd w:id="1980"/>
      <w:bookmarkEnd w:id="1981"/>
      <w:bookmarkEnd w:id="1982"/>
      <w:bookmarkEnd w:id="1983"/>
      <w:bookmarkEnd w:id="1984"/>
      <w:bookmarkEnd w:id="1985"/>
      <w:bookmarkEnd w:id="1986"/>
    </w:p>
    <w:p w14:paraId="46DE4494">
      <w:pPr>
        <w:pStyle w:val="47"/>
        <w:spacing w:line="400" w:lineRule="exact"/>
        <w:rPr>
          <w:szCs w:val="21"/>
        </w:rPr>
      </w:pPr>
      <w:bookmarkStart w:id="1987" w:name="_Toc179632695"/>
      <w:bookmarkStart w:id="1988" w:name="_Toc152045677"/>
      <w:bookmarkStart w:id="1989" w:name="_Toc152042455"/>
      <w:bookmarkStart w:id="1990" w:name="_Toc144974645"/>
      <w:r>
        <w:rPr>
          <w:szCs w:val="21"/>
        </w:rPr>
        <w:t>9.3.1承包人应当负责统一管理施工场地的治安保卫事项，履行合同工程的治安保卫职责。</w:t>
      </w:r>
    </w:p>
    <w:p w14:paraId="57F9BB75">
      <w:pPr>
        <w:pStyle w:val="47"/>
        <w:spacing w:line="400" w:lineRule="exact"/>
        <w:rPr>
          <w:szCs w:val="21"/>
        </w:rPr>
      </w:pPr>
      <w:r>
        <w:rPr>
          <w:szCs w:val="21"/>
        </w:rPr>
        <w:t>9.3.3施工场地治安管理计划和突发治安事件紧急预案的编制责任人：</w:t>
      </w:r>
      <w:r>
        <w:rPr>
          <w:szCs w:val="21"/>
          <w:u w:val="single"/>
        </w:rPr>
        <w:t>承包人</w:t>
      </w:r>
      <w:r>
        <w:rPr>
          <w:szCs w:val="21"/>
        </w:rPr>
        <w:t>。</w:t>
      </w:r>
    </w:p>
    <w:bookmarkEnd w:id="1987"/>
    <w:bookmarkEnd w:id="1988"/>
    <w:bookmarkEnd w:id="1989"/>
    <w:bookmarkEnd w:id="1990"/>
    <w:p w14:paraId="2299523F">
      <w:pPr>
        <w:pStyle w:val="512"/>
        <w:spacing w:before="120" w:after="120"/>
      </w:pPr>
      <w:bookmarkStart w:id="1991" w:name="_Toc109914499"/>
      <w:bookmarkStart w:id="1992" w:name="_Toc342296455"/>
      <w:bookmarkStart w:id="1993" w:name="_Toc132619183"/>
      <w:bookmarkStart w:id="1994" w:name="_Toc129798434"/>
      <w:bookmarkStart w:id="1995" w:name="_Toc241459696"/>
      <w:bookmarkStart w:id="1996" w:name="_Toc142385722"/>
      <w:bookmarkStart w:id="1997" w:name="_Toc152042457"/>
      <w:bookmarkStart w:id="1998" w:name="_Toc152045679"/>
      <w:bookmarkStart w:id="1999" w:name="_Toc179632697"/>
      <w:bookmarkStart w:id="2000" w:name="_Toc144974647"/>
      <w:r>
        <w:t>9.4 环境保护</w:t>
      </w:r>
      <w:bookmarkEnd w:id="1991"/>
      <w:bookmarkEnd w:id="1992"/>
      <w:bookmarkEnd w:id="1993"/>
      <w:bookmarkEnd w:id="1994"/>
      <w:bookmarkEnd w:id="1995"/>
      <w:bookmarkEnd w:id="1996"/>
    </w:p>
    <w:p w14:paraId="6EF4ED16">
      <w:pPr>
        <w:pStyle w:val="47"/>
        <w:spacing w:line="400" w:lineRule="exact"/>
        <w:rPr>
          <w:szCs w:val="21"/>
        </w:rPr>
      </w:pPr>
      <w:r>
        <w:rPr>
          <w:szCs w:val="21"/>
        </w:rPr>
        <w:t>9.4.2施工环保措施计划报送监理人审批的时间：</w:t>
      </w:r>
      <w:r>
        <w:rPr>
          <w:szCs w:val="21"/>
          <w:u w:val="single"/>
        </w:rPr>
        <w:t>在收到监理人按照通用合同条款第11.1.1项发出的开工通知后7日内</w:t>
      </w:r>
      <w:r>
        <w:rPr>
          <w:szCs w:val="21"/>
        </w:rPr>
        <w:t>。</w:t>
      </w:r>
    </w:p>
    <w:p w14:paraId="453859A8">
      <w:pPr>
        <w:pStyle w:val="47"/>
        <w:spacing w:line="400" w:lineRule="exact"/>
        <w:rPr>
          <w:szCs w:val="21"/>
        </w:rPr>
      </w:pPr>
      <w:r>
        <w:rPr>
          <w:szCs w:val="21"/>
        </w:rPr>
        <w:t>监理人收到承包人报送的施工环保措施计划后应当在</w:t>
      </w:r>
      <w:r>
        <w:rPr>
          <w:szCs w:val="21"/>
          <w:u w:val="single"/>
        </w:rPr>
        <w:t>7</w:t>
      </w:r>
      <w:r>
        <w:rPr>
          <w:szCs w:val="21"/>
        </w:rPr>
        <w:t>天内给予批复。</w:t>
      </w:r>
    </w:p>
    <w:p w14:paraId="1DD454D4">
      <w:pPr>
        <w:pStyle w:val="548"/>
        <w:spacing w:before="120" w:after="120"/>
        <w:rPr>
          <w:rFonts w:cs="仿宋_GB2312"/>
        </w:rPr>
      </w:pPr>
      <w:bookmarkStart w:id="2001" w:name="_Toc442365648"/>
      <w:bookmarkStart w:id="2002" w:name="_Toc241459697"/>
      <w:bookmarkStart w:id="2003" w:name="_Toc109914500"/>
      <w:bookmarkStart w:id="2004" w:name="_Toc448758556"/>
      <w:bookmarkStart w:id="2005" w:name="_Toc448758456"/>
      <w:bookmarkStart w:id="2006" w:name="_Toc129798435"/>
      <w:bookmarkStart w:id="2007" w:name="_Toc142385723"/>
      <w:bookmarkStart w:id="2008" w:name="_Toc132619184"/>
      <w:bookmarkStart w:id="2009" w:name="_Toc342296456"/>
      <w:bookmarkStart w:id="2010" w:name="_Toc469660051"/>
      <w:r>
        <w:rPr>
          <w:rFonts w:cs="仿宋_GB2312"/>
        </w:rPr>
        <w:t>10. 进度计划</w:t>
      </w:r>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p>
    <w:p w14:paraId="75C717D6">
      <w:pPr>
        <w:pStyle w:val="512"/>
        <w:spacing w:before="120" w:after="120"/>
      </w:pPr>
      <w:bookmarkStart w:id="2011" w:name="_Toc144974648"/>
      <w:bookmarkStart w:id="2012" w:name="_Toc152045680"/>
      <w:bookmarkStart w:id="2013" w:name="_Toc142385724"/>
      <w:bookmarkStart w:id="2014" w:name="_Toc342296457"/>
      <w:bookmarkStart w:id="2015" w:name="_Toc152042458"/>
      <w:bookmarkStart w:id="2016" w:name="_Toc132619185"/>
      <w:bookmarkStart w:id="2017" w:name="_Toc179632698"/>
      <w:bookmarkStart w:id="2018" w:name="_Toc129798436"/>
      <w:bookmarkStart w:id="2019" w:name="_Toc241459698"/>
      <w:bookmarkStart w:id="2020" w:name="_Toc109914501"/>
      <w:r>
        <w:t>10.1 合同进度计划</w:t>
      </w:r>
      <w:bookmarkEnd w:id="2011"/>
      <w:bookmarkEnd w:id="2012"/>
      <w:bookmarkEnd w:id="2013"/>
      <w:bookmarkEnd w:id="2014"/>
      <w:bookmarkEnd w:id="2015"/>
      <w:bookmarkEnd w:id="2016"/>
      <w:bookmarkEnd w:id="2017"/>
      <w:bookmarkEnd w:id="2018"/>
      <w:bookmarkEnd w:id="2019"/>
      <w:bookmarkEnd w:id="2020"/>
    </w:p>
    <w:p w14:paraId="71EA703D">
      <w:pPr>
        <w:pStyle w:val="47"/>
        <w:spacing w:line="400" w:lineRule="exact"/>
        <w:rPr>
          <w:szCs w:val="21"/>
        </w:rPr>
      </w:pPr>
      <w:r>
        <w:rPr>
          <w:szCs w:val="21"/>
        </w:rPr>
        <w:t>（1）承包人应当在收到监理人按照通用合同条款第11.1.1项发出的开工通知后7天内，编制详细的施工进度计划和施工方案说明并报送监理人。承包人编制施工进度计划和施工方案说明的内容：</w:t>
      </w:r>
      <w:r>
        <w:rPr>
          <w:szCs w:val="21"/>
          <w:u w:val="single"/>
        </w:rPr>
        <w:t>承包人应按投标阶段承诺的总进度计划关键线路目标，以及施工顺序和方法要点，向监理人提交更准确更详细的施工进度计划和施工方案</w:t>
      </w:r>
      <w:r>
        <w:rPr>
          <w:szCs w:val="21"/>
        </w:rPr>
        <w:t>， 施工进度计划中还应载明要求发包人组织设计人进行阶段性工程设计交底的时间。</w:t>
      </w:r>
    </w:p>
    <w:p w14:paraId="49E0CBF8">
      <w:pPr>
        <w:pStyle w:val="47"/>
        <w:spacing w:line="400" w:lineRule="exact"/>
        <w:rPr>
          <w:szCs w:val="21"/>
        </w:rPr>
      </w:pPr>
      <w:r>
        <w:rPr>
          <w:szCs w:val="21"/>
        </w:rPr>
        <w:t>（2）监理人批复或对施工进度计划和施工方案说明提出修改意见的期限：自监理人收到承包人报送的相关进度计划和施工方案说明后14天内。</w:t>
      </w:r>
    </w:p>
    <w:p w14:paraId="4FFDD404">
      <w:pPr>
        <w:pStyle w:val="47"/>
        <w:spacing w:line="400" w:lineRule="exact"/>
        <w:rPr>
          <w:szCs w:val="21"/>
        </w:rPr>
      </w:pPr>
      <w:r>
        <w:rPr>
          <w:szCs w:val="21"/>
        </w:rPr>
        <w:t>（3）承包人编制分阶段或分项施工进度计划和施工方案说明的内容：</w:t>
      </w:r>
      <w:r>
        <w:rPr>
          <w:szCs w:val="21"/>
          <w:u w:val="single"/>
        </w:rPr>
        <w:t xml:space="preserve">       /     </w:t>
      </w:r>
      <w:r>
        <w:rPr>
          <w:szCs w:val="21"/>
        </w:rPr>
        <w:t>。</w:t>
      </w:r>
    </w:p>
    <w:p w14:paraId="57BB7F02">
      <w:pPr>
        <w:pStyle w:val="47"/>
        <w:spacing w:line="400" w:lineRule="exact"/>
        <w:ind w:firstLine="240" w:firstLineChars="100"/>
        <w:rPr>
          <w:szCs w:val="21"/>
        </w:rPr>
      </w:pPr>
      <w:r>
        <w:rPr>
          <w:szCs w:val="21"/>
        </w:rPr>
        <w:t>承包人报送分阶段或分项施工进度计划和施工方案说明的期限：</w:t>
      </w:r>
      <w:r>
        <w:rPr>
          <w:szCs w:val="21"/>
          <w:u w:val="single"/>
        </w:rPr>
        <w:t xml:space="preserve">          /  </w:t>
      </w:r>
      <w:r>
        <w:rPr>
          <w:szCs w:val="21"/>
        </w:rPr>
        <w:t>。</w:t>
      </w:r>
    </w:p>
    <w:p w14:paraId="4F045C99">
      <w:pPr>
        <w:pStyle w:val="47"/>
        <w:spacing w:line="400" w:lineRule="exact"/>
        <w:rPr>
          <w:szCs w:val="21"/>
        </w:rPr>
      </w:pPr>
      <w:r>
        <w:rPr>
          <w:szCs w:val="21"/>
        </w:rPr>
        <w:t>（4）群体工程中单位工程分期进行施工的，承包人应按照发包人提供图纸及有关资料的时间，按单位工程编制进度计划和施工方案说明。群体工程中有关进度计划和施工方案说明的要求：</w:t>
      </w:r>
      <w:r>
        <w:rPr>
          <w:szCs w:val="21"/>
          <w:u w:val="single"/>
        </w:rPr>
        <w:t xml:space="preserve">                        /                      </w:t>
      </w:r>
      <w:r>
        <w:rPr>
          <w:szCs w:val="21"/>
        </w:rPr>
        <w:t>。</w:t>
      </w:r>
    </w:p>
    <w:p w14:paraId="7561307F">
      <w:pPr>
        <w:pStyle w:val="512"/>
        <w:spacing w:before="120" w:after="120"/>
      </w:pPr>
      <w:bookmarkStart w:id="2021" w:name="_Toc342296458"/>
      <w:bookmarkStart w:id="2022" w:name="_Toc132619186"/>
      <w:bookmarkStart w:id="2023" w:name="_Toc241459699"/>
      <w:bookmarkStart w:id="2024" w:name="_Toc152042459"/>
      <w:bookmarkStart w:id="2025" w:name="_Toc109914502"/>
      <w:bookmarkStart w:id="2026" w:name="_Toc179632699"/>
      <w:bookmarkStart w:id="2027" w:name="_Toc144974649"/>
      <w:bookmarkStart w:id="2028" w:name="_Toc152045681"/>
      <w:bookmarkStart w:id="2029" w:name="_Toc129798437"/>
      <w:bookmarkStart w:id="2030" w:name="_Toc142385725"/>
      <w:r>
        <w:t>10.2 合同进度计划的修订</w:t>
      </w:r>
      <w:bookmarkEnd w:id="2021"/>
      <w:bookmarkEnd w:id="2022"/>
      <w:bookmarkEnd w:id="2023"/>
      <w:bookmarkEnd w:id="2024"/>
      <w:bookmarkEnd w:id="2025"/>
      <w:bookmarkEnd w:id="2026"/>
      <w:bookmarkEnd w:id="2027"/>
      <w:bookmarkEnd w:id="2028"/>
      <w:bookmarkEnd w:id="2029"/>
      <w:bookmarkEnd w:id="2030"/>
    </w:p>
    <w:p w14:paraId="2C8E6CF4">
      <w:pPr>
        <w:pStyle w:val="47"/>
        <w:spacing w:line="400" w:lineRule="exact"/>
        <w:rPr>
          <w:szCs w:val="21"/>
        </w:rPr>
      </w:pPr>
      <w:r>
        <w:rPr>
          <w:szCs w:val="21"/>
        </w:rPr>
        <w:t>（1）承包人报送修订合同进度计划申请报告和相关资料的期限：</w:t>
      </w:r>
      <w:r>
        <w:rPr>
          <w:szCs w:val="21"/>
          <w:u w:val="single"/>
        </w:rPr>
        <w:t xml:space="preserve"> 合同签订后7日内</w:t>
      </w:r>
      <w:r>
        <w:rPr>
          <w:szCs w:val="21"/>
        </w:rPr>
        <w:t>。</w:t>
      </w:r>
    </w:p>
    <w:p w14:paraId="6EF68702">
      <w:pPr>
        <w:pStyle w:val="47"/>
        <w:spacing w:line="400" w:lineRule="exact"/>
        <w:rPr>
          <w:szCs w:val="21"/>
        </w:rPr>
      </w:pPr>
      <w:r>
        <w:rPr>
          <w:szCs w:val="21"/>
        </w:rPr>
        <w:t>（2）监理人批复修订合同进度计划申请报告的期限：</w:t>
      </w:r>
      <w:r>
        <w:rPr>
          <w:szCs w:val="21"/>
          <w:u w:val="single"/>
        </w:rPr>
        <w:t xml:space="preserve"> 收到承包人报送的修订合同进度计划申请报告和相关资料后7日内</w:t>
      </w:r>
      <w:r>
        <w:rPr>
          <w:szCs w:val="21"/>
        </w:rPr>
        <w:t>。</w:t>
      </w:r>
    </w:p>
    <w:p w14:paraId="02A644AD">
      <w:pPr>
        <w:pStyle w:val="47"/>
        <w:spacing w:line="400" w:lineRule="exact"/>
        <w:rPr>
          <w:szCs w:val="21"/>
          <w:u w:val="single"/>
        </w:rPr>
      </w:pPr>
      <w:r>
        <w:rPr>
          <w:szCs w:val="21"/>
        </w:rPr>
        <w:t>（3）监理人批复修订合同进度计划的期限：</w:t>
      </w:r>
      <w:r>
        <w:rPr>
          <w:szCs w:val="21"/>
          <w:u w:val="single"/>
        </w:rPr>
        <w:t>收到承包人报送的修订合同进度计划和相关资料后7日内</w:t>
      </w:r>
      <w:r>
        <w:rPr>
          <w:szCs w:val="21"/>
        </w:rPr>
        <w:t>。</w:t>
      </w:r>
    </w:p>
    <w:p w14:paraId="3FA55885">
      <w:pPr>
        <w:pStyle w:val="548"/>
        <w:spacing w:before="120" w:after="120"/>
        <w:rPr>
          <w:rFonts w:cs="仿宋_GB2312"/>
        </w:rPr>
      </w:pPr>
      <w:bookmarkStart w:id="2031" w:name="_Toc442365649"/>
      <w:bookmarkStart w:id="2032" w:name="_Toc144974650"/>
      <w:bookmarkStart w:id="2033" w:name="_Toc241459700"/>
      <w:bookmarkStart w:id="2034" w:name="_Toc448758457"/>
      <w:bookmarkStart w:id="2035" w:name="_Toc109914503"/>
      <w:bookmarkStart w:id="2036" w:name="_Toc342296459"/>
      <w:bookmarkStart w:id="2037" w:name="_Toc152042460"/>
      <w:bookmarkStart w:id="2038" w:name="_Toc132619187"/>
      <w:bookmarkStart w:id="2039" w:name="_Toc448758557"/>
      <w:bookmarkStart w:id="2040" w:name="_Toc152045682"/>
      <w:bookmarkStart w:id="2041" w:name="_Toc179632700"/>
      <w:bookmarkStart w:id="2042" w:name="_Toc142385726"/>
      <w:bookmarkStart w:id="2043" w:name="_Toc469660052"/>
      <w:bookmarkStart w:id="2044" w:name="_Toc129798438"/>
      <w:r>
        <w:rPr>
          <w:rFonts w:cs="仿宋_GB2312"/>
        </w:rPr>
        <w:t>11. 开工和竣工</w:t>
      </w:r>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p>
    <w:p w14:paraId="4541BE96">
      <w:pPr>
        <w:pStyle w:val="512"/>
        <w:spacing w:before="120" w:after="120"/>
      </w:pPr>
      <w:bookmarkStart w:id="2045" w:name="_Toc142385727"/>
      <w:bookmarkStart w:id="2046" w:name="_Toc152045685"/>
      <w:bookmarkStart w:id="2047" w:name="_Toc342296460"/>
      <w:bookmarkStart w:id="2048" w:name="_Toc144974653"/>
      <w:bookmarkStart w:id="2049" w:name="_Toc109914504"/>
      <w:bookmarkStart w:id="2050" w:name="_Toc179632703"/>
      <w:bookmarkStart w:id="2051" w:name="_Toc129798439"/>
      <w:bookmarkStart w:id="2052" w:name="_Toc241459701"/>
      <w:bookmarkStart w:id="2053" w:name="_Toc132619188"/>
      <w:bookmarkStart w:id="2054" w:name="_Toc152042463"/>
      <w:r>
        <w:t>11.3 发包人的工期延误</w:t>
      </w:r>
      <w:bookmarkEnd w:id="2045"/>
      <w:bookmarkEnd w:id="2046"/>
      <w:bookmarkEnd w:id="2047"/>
      <w:bookmarkEnd w:id="2048"/>
      <w:bookmarkEnd w:id="2049"/>
      <w:bookmarkEnd w:id="2050"/>
      <w:bookmarkEnd w:id="2051"/>
      <w:bookmarkEnd w:id="2052"/>
      <w:bookmarkEnd w:id="2053"/>
      <w:bookmarkEnd w:id="2054"/>
    </w:p>
    <w:p w14:paraId="063949ED">
      <w:pPr>
        <w:pStyle w:val="47"/>
        <w:spacing w:line="400" w:lineRule="exact"/>
        <w:rPr>
          <w:szCs w:val="21"/>
        </w:rPr>
      </w:pPr>
      <w:r>
        <w:rPr>
          <w:szCs w:val="21"/>
        </w:rPr>
        <w:t>(7) 因发包人原因不能按照监理人发出的开工通知中载明的开工日期开工。除发包人原因延期开工外，发包人造成工期延误的其他原因还包括：</w:t>
      </w:r>
      <w:r>
        <w:rPr>
          <w:u w:val="single"/>
        </w:rPr>
        <w:t>发包人和承包人双方共同认为必须延长工期的(以书面文件为准)</w:t>
      </w:r>
      <w:r>
        <w:rPr>
          <w:szCs w:val="21"/>
        </w:rPr>
        <w:t>等延误承包人关键线路工作的情况。</w:t>
      </w:r>
    </w:p>
    <w:p w14:paraId="5ED5BCDF">
      <w:pPr>
        <w:pStyle w:val="512"/>
        <w:spacing w:before="120" w:after="120"/>
      </w:pPr>
      <w:bookmarkStart w:id="2055" w:name="_Toc109914505"/>
      <w:bookmarkStart w:id="2056" w:name="_Toc152042464"/>
      <w:bookmarkStart w:id="2057" w:name="_Toc129798440"/>
      <w:bookmarkStart w:id="2058" w:name="_Toc142385728"/>
      <w:bookmarkStart w:id="2059" w:name="_Toc241459702"/>
      <w:bookmarkStart w:id="2060" w:name="_Toc144974654"/>
      <w:bookmarkStart w:id="2061" w:name="_Toc179632704"/>
      <w:bookmarkStart w:id="2062" w:name="_Toc152045686"/>
      <w:bookmarkStart w:id="2063" w:name="_Toc132619189"/>
      <w:bookmarkStart w:id="2064" w:name="_Toc342296461"/>
      <w:r>
        <w:t>11.4 异常恶劣的气候条件</w:t>
      </w:r>
      <w:bookmarkEnd w:id="2055"/>
      <w:bookmarkEnd w:id="2056"/>
      <w:bookmarkEnd w:id="2057"/>
      <w:bookmarkEnd w:id="2058"/>
      <w:bookmarkEnd w:id="2059"/>
      <w:bookmarkEnd w:id="2060"/>
      <w:bookmarkEnd w:id="2061"/>
      <w:bookmarkEnd w:id="2062"/>
      <w:bookmarkEnd w:id="2063"/>
      <w:bookmarkEnd w:id="2064"/>
    </w:p>
    <w:p w14:paraId="48BBA48F">
      <w:pPr>
        <w:pStyle w:val="47"/>
        <w:spacing w:line="400" w:lineRule="exact"/>
        <w:rPr>
          <w:u w:val="single"/>
        </w:rPr>
      </w:pPr>
      <w:bookmarkStart w:id="2065" w:name="_Toc144974655"/>
      <w:bookmarkStart w:id="2066" w:name="_Toc179632705"/>
      <w:bookmarkStart w:id="2067" w:name="_Toc152045687"/>
      <w:bookmarkStart w:id="2068" w:name="_Toc152042465"/>
      <w:r>
        <w:rPr>
          <w:szCs w:val="21"/>
        </w:rPr>
        <w:t>异常恶劣的气候条件的范围和标准：</w:t>
      </w:r>
      <w:r>
        <w:rPr>
          <w:rFonts w:hint="eastAsia"/>
          <w:u w:val="single"/>
        </w:rPr>
        <w:t>暴雨橙色预警信号、大风黄色预警信号、沙尘暴橙色预警信号。由于恶劣的气候条件导致工期延误的，承包人有权要求发包人延长工期，但不增加费用 。</w:t>
      </w:r>
    </w:p>
    <w:p w14:paraId="61A4CADA">
      <w:pPr>
        <w:pStyle w:val="512"/>
        <w:spacing w:before="120" w:after="120"/>
      </w:pPr>
      <w:bookmarkStart w:id="2069" w:name="_Toc241459703"/>
      <w:bookmarkStart w:id="2070" w:name="_Toc342296462"/>
      <w:bookmarkStart w:id="2071" w:name="_Toc129798441"/>
      <w:bookmarkStart w:id="2072" w:name="_Toc142385729"/>
      <w:bookmarkStart w:id="2073" w:name="_Toc109914506"/>
      <w:bookmarkStart w:id="2074" w:name="_Toc132619190"/>
      <w:r>
        <w:t>11.5 承包人的工期延误</w:t>
      </w:r>
      <w:bookmarkEnd w:id="2065"/>
      <w:bookmarkEnd w:id="2066"/>
      <w:bookmarkEnd w:id="2067"/>
      <w:bookmarkEnd w:id="2068"/>
      <w:bookmarkEnd w:id="2069"/>
      <w:bookmarkEnd w:id="2070"/>
      <w:bookmarkEnd w:id="2071"/>
      <w:bookmarkEnd w:id="2072"/>
      <w:bookmarkEnd w:id="2073"/>
      <w:bookmarkEnd w:id="2074"/>
    </w:p>
    <w:p w14:paraId="0A070349">
      <w:pPr>
        <w:pStyle w:val="47"/>
        <w:spacing w:line="400" w:lineRule="exact"/>
        <w:rPr>
          <w:szCs w:val="21"/>
        </w:rPr>
      </w:pPr>
      <w:bookmarkStart w:id="2075" w:name="_Toc144974656"/>
      <w:bookmarkStart w:id="2076" w:name="_Toc152042466"/>
      <w:bookmarkStart w:id="2077" w:name="_Toc179632706"/>
      <w:bookmarkStart w:id="2078" w:name="_Toc152045688"/>
      <w:r>
        <w:rPr>
          <w:szCs w:val="21"/>
        </w:rPr>
        <w:t>由于承包人原因造成不能按期竣工的，在按合同约定确定的竣工日期（包括按合同延长的工期）后7天内，监理人应当按通用合同条款第23.4.1项的约定书面通知承包人,说明发包人有权得到按本款约定的下列标准和方法计算的逾期竣工违约金，但最终违约金的金额不应超过本款约定的逾期竣工违约金最高限额。</w:t>
      </w:r>
    </w:p>
    <w:p w14:paraId="4A15C52F">
      <w:pPr>
        <w:pStyle w:val="47"/>
        <w:spacing w:line="400" w:lineRule="exact"/>
        <w:rPr>
          <w:szCs w:val="21"/>
        </w:rPr>
      </w:pPr>
      <w:r>
        <w:rPr>
          <w:szCs w:val="21"/>
        </w:rPr>
        <w:t>逾期竣工违约金的计算标准：</w:t>
      </w:r>
      <w:r>
        <w:rPr>
          <w:u w:val="single"/>
        </w:rPr>
        <w:t>合同额的万分之二/天</w:t>
      </w:r>
      <w:r>
        <w:rPr>
          <w:szCs w:val="21"/>
        </w:rPr>
        <w:t>。</w:t>
      </w:r>
    </w:p>
    <w:p w14:paraId="403A88B8">
      <w:pPr>
        <w:pStyle w:val="47"/>
        <w:spacing w:line="400" w:lineRule="exact"/>
        <w:rPr>
          <w:szCs w:val="21"/>
        </w:rPr>
      </w:pPr>
      <w:r>
        <w:rPr>
          <w:szCs w:val="21"/>
        </w:rPr>
        <w:t>逾期竣工违约金的计算方法：</w:t>
      </w:r>
      <w:r>
        <w:rPr>
          <w:u w:val="single"/>
        </w:rPr>
        <w:t>每延误一天，承包人应当向发包人赔偿合同额的万分之二/天整，不足一天按一天计</w:t>
      </w:r>
      <w:r>
        <w:rPr>
          <w:szCs w:val="21"/>
        </w:rPr>
        <w:t xml:space="preserve">。 </w:t>
      </w:r>
    </w:p>
    <w:p w14:paraId="209BE339">
      <w:pPr>
        <w:pStyle w:val="47"/>
        <w:spacing w:line="400" w:lineRule="exact"/>
        <w:rPr>
          <w:szCs w:val="21"/>
        </w:rPr>
      </w:pPr>
      <w:r>
        <w:rPr>
          <w:szCs w:val="21"/>
        </w:rPr>
        <w:t>逾期竣工违约金最高限额：</w:t>
      </w:r>
      <w:r>
        <w:rPr>
          <w:szCs w:val="21"/>
          <w:u w:val="single"/>
        </w:rPr>
        <w:t>总额不超过合同结算价的百分之三</w:t>
      </w:r>
      <w:r>
        <w:rPr>
          <w:szCs w:val="21"/>
        </w:rPr>
        <w:t>。</w:t>
      </w:r>
    </w:p>
    <w:p w14:paraId="1768B629">
      <w:pPr>
        <w:pStyle w:val="512"/>
        <w:spacing w:before="120" w:after="120"/>
      </w:pPr>
      <w:bookmarkStart w:id="2079" w:name="_Toc342296463"/>
      <w:bookmarkStart w:id="2080" w:name="_Toc142385730"/>
      <w:bookmarkStart w:id="2081" w:name="_Toc132619191"/>
      <w:bookmarkStart w:id="2082" w:name="_Toc109914507"/>
      <w:bookmarkStart w:id="2083" w:name="_Toc129798442"/>
      <w:bookmarkStart w:id="2084" w:name="_Toc241459704"/>
      <w:r>
        <w:t>11.6</w:t>
      </w:r>
      <w:bookmarkEnd w:id="2075"/>
      <w:bookmarkStart w:id="2085" w:name="_Toc144974657"/>
      <w:r>
        <w:t xml:space="preserve"> 工期提前</w:t>
      </w:r>
      <w:bookmarkEnd w:id="2076"/>
      <w:bookmarkEnd w:id="2077"/>
      <w:bookmarkEnd w:id="2078"/>
      <w:bookmarkEnd w:id="2079"/>
      <w:bookmarkEnd w:id="2080"/>
      <w:bookmarkEnd w:id="2081"/>
      <w:bookmarkEnd w:id="2082"/>
      <w:bookmarkEnd w:id="2083"/>
      <w:bookmarkEnd w:id="2084"/>
      <w:bookmarkEnd w:id="2085"/>
    </w:p>
    <w:p w14:paraId="2720FC11">
      <w:pPr>
        <w:pStyle w:val="47"/>
        <w:spacing w:line="400" w:lineRule="exact"/>
        <w:rPr>
          <w:szCs w:val="21"/>
        </w:rPr>
      </w:pPr>
      <w:bookmarkStart w:id="2086" w:name="_Toc179632707"/>
      <w:bookmarkStart w:id="2087" w:name="_Toc144974658"/>
      <w:bookmarkStart w:id="2088" w:name="_Toc152042467"/>
      <w:bookmarkStart w:id="2089" w:name="_Toc152045689"/>
      <w:r>
        <w:rPr>
          <w:szCs w:val="21"/>
        </w:rPr>
        <w:t>提前竣工的奖励办法：</w:t>
      </w:r>
      <w:r>
        <w:rPr>
          <w:szCs w:val="21"/>
          <w:u w:val="single"/>
        </w:rPr>
        <w:t xml:space="preserve">                    /           </w:t>
      </w:r>
      <w:r>
        <w:rPr>
          <w:szCs w:val="21"/>
        </w:rPr>
        <w:t>。</w:t>
      </w:r>
    </w:p>
    <w:p w14:paraId="3772E25B">
      <w:pPr>
        <w:pStyle w:val="548"/>
        <w:spacing w:before="120" w:after="120"/>
        <w:rPr>
          <w:rFonts w:cs="仿宋_GB2312"/>
        </w:rPr>
      </w:pPr>
      <w:bookmarkStart w:id="2090" w:name="_Toc469660053"/>
      <w:bookmarkStart w:id="2091" w:name="_Toc342296464"/>
      <w:bookmarkStart w:id="2092" w:name="_Toc142385731"/>
      <w:bookmarkStart w:id="2093" w:name="_Toc448758558"/>
      <w:bookmarkStart w:id="2094" w:name="_Toc109914508"/>
      <w:bookmarkStart w:id="2095" w:name="_Toc129798443"/>
      <w:bookmarkStart w:id="2096" w:name="_Toc132619192"/>
      <w:bookmarkStart w:id="2097" w:name="_Toc241459705"/>
      <w:bookmarkStart w:id="2098" w:name="_Toc442365650"/>
      <w:bookmarkStart w:id="2099" w:name="_Toc241484601"/>
      <w:bookmarkStart w:id="2100" w:name="_Toc448758458"/>
      <w:r>
        <w:rPr>
          <w:rFonts w:cs="仿宋_GB2312"/>
        </w:rPr>
        <w:t>12. 暂停施工</w:t>
      </w:r>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p>
    <w:p w14:paraId="4D629027">
      <w:pPr>
        <w:pStyle w:val="512"/>
        <w:spacing w:before="120" w:after="120"/>
      </w:pPr>
      <w:bookmarkStart w:id="2101" w:name="_Toc152042468"/>
      <w:bookmarkStart w:id="2102" w:name="_Toc144974659"/>
      <w:bookmarkStart w:id="2103" w:name="_Toc342296465"/>
      <w:bookmarkStart w:id="2104" w:name="_Toc179632708"/>
      <w:bookmarkStart w:id="2105" w:name="_Toc109914509"/>
      <w:bookmarkStart w:id="2106" w:name="_Toc152045690"/>
      <w:bookmarkStart w:id="2107" w:name="_Toc241459706"/>
      <w:bookmarkStart w:id="2108" w:name="_Toc132619193"/>
      <w:bookmarkStart w:id="2109" w:name="_Toc142385732"/>
      <w:bookmarkStart w:id="2110" w:name="_Toc129798444"/>
      <w:r>
        <w:t>12.1 承包人暂停施工的责任</w:t>
      </w:r>
      <w:bookmarkEnd w:id="2101"/>
      <w:bookmarkEnd w:id="2102"/>
      <w:bookmarkEnd w:id="2103"/>
      <w:bookmarkEnd w:id="2104"/>
      <w:bookmarkEnd w:id="2105"/>
      <w:bookmarkEnd w:id="2106"/>
      <w:bookmarkEnd w:id="2107"/>
      <w:bookmarkEnd w:id="2108"/>
      <w:bookmarkEnd w:id="2109"/>
      <w:bookmarkEnd w:id="2110"/>
    </w:p>
    <w:p w14:paraId="594112DD">
      <w:pPr>
        <w:pStyle w:val="47"/>
        <w:spacing w:line="400" w:lineRule="exact"/>
      </w:pPr>
      <w:r>
        <w:rPr>
          <w:szCs w:val="21"/>
        </w:rPr>
        <w:t xml:space="preserve">（5）承包人承担暂停施工责任的其他情形： </w:t>
      </w:r>
      <w:r>
        <w:rPr>
          <w:szCs w:val="21"/>
          <w:u w:val="single"/>
        </w:rPr>
        <w:t xml:space="preserve">       /                 </w:t>
      </w:r>
      <w:r>
        <w:t>。</w:t>
      </w:r>
    </w:p>
    <w:p w14:paraId="307D9B4D">
      <w:pPr>
        <w:pStyle w:val="512"/>
        <w:spacing w:before="120" w:after="120"/>
      </w:pPr>
      <w:bookmarkStart w:id="2111" w:name="_Toc241459707"/>
      <w:bookmarkStart w:id="2112" w:name="_Toc129798445"/>
      <w:bookmarkStart w:id="2113" w:name="_Toc109914510"/>
      <w:bookmarkStart w:id="2114" w:name="_Toc132619194"/>
      <w:bookmarkStart w:id="2115" w:name="_Toc142385733"/>
      <w:bookmarkStart w:id="2116" w:name="_Toc342296466"/>
      <w:r>
        <w:t>12.4 暂停施工后的复工</w:t>
      </w:r>
      <w:bookmarkEnd w:id="2111"/>
      <w:bookmarkEnd w:id="2112"/>
      <w:bookmarkEnd w:id="2113"/>
      <w:bookmarkEnd w:id="2114"/>
      <w:bookmarkEnd w:id="2115"/>
      <w:bookmarkEnd w:id="2116"/>
    </w:p>
    <w:p w14:paraId="5DBBABD8">
      <w:pPr>
        <w:spacing w:line="400" w:lineRule="exact"/>
        <w:ind w:firstLine="420" w:firstLineChars="200"/>
        <w:rPr>
          <w:szCs w:val="21"/>
        </w:rPr>
      </w:pPr>
      <w:r>
        <w:t xml:space="preserve">12.4.3 </w:t>
      </w:r>
      <w:r>
        <w:rPr>
          <w:szCs w:val="21"/>
        </w:rPr>
        <w:t>根据通用合同条款第12.4.1款的约定，监理人发出复工通知后，监理人应和承包人一起对受到暂停施工影响的工程、材料和工程设备进行检查。承包人负责修复在暂停施工期间发生在工程、材料和工程设备上的任何损蚀、缺陷或损失，修复费用由承担暂停施工责任的责任人承担。</w:t>
      </w:r>
    </w:p>
    <w:p w14:paraId="03BC5344">
      <w:pPr>
        <w:spacing w:line="400" w:lineRule="exact"/>
        <w:ind w:firstLine="420" w:firstLineChars="200"/>
      </w:pPr>
      <w:r>
        <w:t>12.4.4 暂停施工持续56天以上，按合同约定由承包人提供的材料和工程设备，由于暂停施工原因导致承包人在暂停施工前已经订购但被暂停运至施工现场的，发包人应按照承包人订购合同的约定支付相应的订购款项。</w:t>
      </w:r>
      <w:bookmarkStart w:id="2117" w:name="_Toc152042473"/>
      <w:bookmarkStart w:id="2118" w:name="_Toc179632713"/>
      <w:bookmarkStart w:id="2119" w:name="_Toc241459708"/>
      <w:bookmarkStart w:id="2120" w:name="_Toc152045695"/>
      <w:bookmarkStart w:id="2121" w:name="_Toc144974664"/>
    </w:p>
    <w:p w14:paraId="6AD30A5A">
      <w:pPr>
        <w:pStyle w:val="548"/>
        <w:spacing w:before="120" w:after="120"/>
        <w:rPr>
          <w:rFonts w:cs="仿宋_GB2312"/>
        </w:rPr>
      </w:pPr>
      <w:bookmarkStart w:id="2122" w:name="_Toc342296467"/>
      <w:bookmarkStart w:id="2123" w:name="_Toc442365651"/>
      <w:bookmarkStart w:id="2124" w:name="_Toc142385734"/>
      <w:bookmarkStart w:id="2125" w:name="_Toc129798446"/>
      <w:bookmarkStart w:id="2126" w:name="_Toc109914511"/>
      <w:bookmarkStart w:id="2127" w:name="_Toc469660054"/>
      <w:bookmarkStart w:id="2128" w:name="_Toc448758459"/>
      <w:bookmarkStart w:id="2129" w:name="_Toc448758559"/>
      <w:bookmarkStart w:id="2130" w:name="_Toc132619195"/>
      <w:r>
        <w:rPr>
          <w:rFonts w:cs="仿宋_GB2312"/>
        </w:rPr>
        <w:t>13. 工程质量</w:t>
      </w:r>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Start w:id="2131" w:name="_Toc152042475"/>
      <w:bookmarkStart w:id="2132" w:name="_Toc152045697"/>
      <w:bookmarkStart w:id="2133" w:name="_Toc144974666"/>
      <w:bookmarkStart w:id="2134" w:name="_Toc179632715"/>
    </w:p>
    <w:p w14:paraId="3D4116CE">
      <w:pPr>
        <w:pStyle w:val="512"/>
        <w:spacing w:before="120" w:after="120"/>
      </w:pPr>
      <w:bookmarkStart w:id="2135" w:name="_Toc142385735"/>
      <w:bookmarkStart w:id="2136" w:name="_Toc129798447"/>
      <w:bookmarkStart w:id="2137" w:name="_Toc241459709"/>
      <w:bookmarkStart w:id="2138" w:name="_Toc132619196"/>
      <w:bookmarkStart w:id="2139" w:name="_Toc109914512"/>
      <w:bookmarkStart w:id="2140" w:name="_Toc342296468"/>
      <w:r>
        <w:t>13.2 承包人的质量管理</w:t>
      </w:r>
      <w:bookmarkEnd w:id="2131"/>
      <w:bookmarkEnd w:id="2132"/>
      <w:bookmarkEnd w:id="2133"/>
      <w:bookmarkEnd w:id="2134"/>
      <w:bookmarkEnd w:id="2135"/>
      <w:bookmarkEnd w:id="2136"/>
      <w:bookmarkEnd w:id="2137"/>
      <w:bookmarkEnd w:id="2138"/>
      <w:bookmarkEnd w:id="2139"/>
      <w:bookmarkEnd w:id="2140"/>
    </w:p>
    <w:p w14:paraId="0514BD46">
      <w:pPr>
        <w:spacing w:line="400" w:lineRule="exact"/>
        <w:ind w:firstLine="420" w:firstLineChars="200"/>
      </w:pPr>
      <w:bookmarkStart w:id="2141" w:name="_Toc152042476"/>
      <w:bookmarkStart w:id="2142" w:name="_Toc144974667"/>
      <w:bookmarkStart w:id="2143" w:name="_Toc179632716"/>
      <w:bookmarkStart w:id="2144" w:name="_Toc152045698"/>
      <w:r>
        <w:rPr>
          <w:szCs w:val="21"/>
        </w:rPr>
        <w:t>13.2.1承包人向监理人提交工程质量保证措施文件的期限：</w:t>
      </w:r>
      <w:r>
        <w:rPr>
          <w:szCs w:val="21"/>
          <w:u w:val="single"/>
        </w:rPr>
        <w:t xml:space="preserve">合同签订后7日内 </w:t>
      </w:r>
      <w:r>
        <w:rPr>
          <w:szCs w:val="21"/>
        </w:rPr>
        <w:t>。</w:t>
      </w:r>
    </w:p>
    <w:p w14:paraId="07ADD125">
      <w:pPr>
        <w:spacing w:line="400" w:lineRule="exact"/>
        <w:ind w:firstLine="420" w:firstLineChars="200"/>
        <w:rPr>
          <w:szCs w:val="21"/>
        </w:rPr>
      </w:pPr>
      <w:r>
        <w:rPr>
          <w:szCs w:val="21"/>
        </w:rPr>
        <w:t>监理人审批工程质量保证措施文件的期限：</w:t>
      </w:r>
      <w:r>
        <w:rPr>
          <w:szCs w:val="21"/>
          <w:u w:val="single"/>
        </w:rPr>
        <w:t>收到承包人提交的工程质量保证措施文件7日内</w:t>
      </w:r>
      <w:r>
        <w:rPr>
          <w:szCs w:val="21"/>
        </w:rPr>
        <w:t>。</w:t>
      </w:r>
    </w:p>
    <w:p w14:paraId="323D1A16">
      <w:pPr>
        <w:pStyle w:val="512"/>
        <w:spacing w:before="120" w:after="120"/>
      </w:pPr>
      <w:bookmarkStart w:id="2145" w:name="_Toc129798448"/>
      <w:bookmarkStart w:id="2146" w:name="_Toc132619197"/>
      <w:bookmarkStart w:id="2147" w:name="_Toc109914513"/>
      <w:bookmarkStart w:id="2148" w:name="_Toc342296469"/>
      <w:bookmarkStart w:id="2149" w:name="_Toc241459710"/>
      <w:bookmarkStart w:id="2150" w:name="_Toc142385736"/>
      <w:r>
        <w:t>13.3 承包人的质量检查</w:t>
      </w:r>
      <w:bookmarkEnd w:id="2141"/>
      <w:bookmarkEnd w:id="2142"/>
      <w:bookmarkEnd w:id="2143"/>
      <w:bookmarkEnd w:id="2144"/>
      <w:bookmarkEnd w:id="2145"/>
      <w:bookmarkEnd w:id="2146"/>
      <w:bookmarkEnd w:id="2147"/>
      <w:bookmarkEnd w:id="2148"/>
      <w:bookmarkEnd w:id="2149"/>
      <w:bookmarkEnd w:id="2150"/>
    </w:p>
    <w:p w14:paraId="6D1E86D2">
      <w:pPr>
        <w:spacing w:line="400" w:lineRule="exact"/>
        <w:ind w:firstLine="420" w:firstLineChars="200"/>
      </w:pPr>
      <w:bookmarkStart w:id="2151" w:name="_Toc152042477"/>
      <w:bookmarkStart w:id="2152" w:name="_Toc179632717"/>
      <w:bookmarkStart w:id="2153" w:name="_Toc144974668"/>
      <w:bookmarkStart w:id="2154" w:name="_Toc152045699"/>
      <w:r>
        <w:rPr>
          <w:szCs w:val="21"/>
        </w:rPr>
        <w:t>承包人向监理人报送工程质量报表的期限：</w:t>
      </w:r>
      <w:r>
        <w:rPr>
          <w:u w:val="single"/>
        </w:rPr>
        <w:t>需监理人查验前48小时</w:t>
      </w:r>
      <w:r>
        <w:rPr>
          <w:szCs w:val="21"/>
        </w:rPr>
        <w:t>。</w:t>
      </w:r>
    </w:p>
    <w:bookmarkEnd w:id="2151"/>
    <w:bookmarkEnd w:id="2152"/>
    <w:bookmarkEnd w:id="2153"/>
    <w:bookmarkEnd w:id="2154"/>
    <w:p w14:paraId="47271568">
      <w:pPr>
        <w:spacing w:line="400" w:lineRule="exact"/>
        <w:ind w:firstLine="420" w:firstLineChars="200"/>
        <w:rPr>
          <w:szCs w:val="21"/>
        </w:rPr>
      </w:pPr>
      <w:bookmarkStart w:id="2155" w:name="_Toc144974669"/>
      <w:bookmarkStart w:id="2156" w:name="_Toc179632718"/>
      <w:bookmarkStart w:id="2157" w:name="_Toc152045700"/>
      <w:bookmarkStart w:id="2158" w:name="_Toc152042478"/>
      <w:r>
        <w:rPr>
          <w:szCs w:val="21"/>
        </w:rPr>
        <w:t>承包人向监理人报送工程质量报表的要求：</w:t>
      </w:r>
      <w:r>
        <w:rPr>
          <w:szCs w:val="21"/>
          <w:u w:val="single"/>
        </w:rPr>
        <w:t>表中至少包含：各方责任主体质量行为情况、第三方监测质量行为情况；重要部位、关键工序工程质量存在的主要问题及整改情况；材料进场验收及原材料试验情况</w:t>
      </w:r>
      <w:r>
        <w:rPr>
          <w:szCs w:val="21"/>
        </w:rPr>
        <w:t>。</w:t>
      </w:r>
    </w:p>
    <w:p w14:paraId="416D1F02">
      <w:pPr>
        <w:spacing w:line="400" w:lineRule="exact"/>
        <w:ind w:firstLine="420" w:firstLineChars="200"/>
        <w:rPr>
          <w:szCs w:val="21"/>
        </w:rPr>
      </w:pPr>
      <w:r>
        <w:rPr>
          <w:szCs w:val="21"/>
        </w:rPr>
        <w:t>监理人审查工程质量报表的期限：</w:t>
      </w:r>
      <w:r>
        <w:rPr>
          <w:szCs w:val="21"/>
          <w:u w:val="single"/>
        </w:rPr>
        <w:t>收到工程质量报表后5日内</w:t>
      </w:r>
      <w:r>
        <w:rPr>
          <w:szCs w:val="21"/>
        </w:rPr>
        <w:t>。</w:t>
      </w:r>
    </w:p>
    <w:p w14:paraId="124B5C9B">
      <w:pPr>
        <w:pStyle w:val="512"/>
        <w:spacing w:before="120" w:after="120"/>
      </w:pPr>
      <w:bookmarkStart w:id="2159" w:name="_Toc342296470"/>
      <w:bookmarkStart w:id="2160" w:name="_Toc142385737"/>
      <w:bookmarkStart w:id="2161" w:name="_Toc132619198"/>
      <w:bookmarkStart w:id="2162" w:name="_Toc241459711"/>
      <w:bookmarkStart w:id="2163" w:name="_Toc129798449"/>
      <w:bookmarkStart w:id="2164" w:name="_Toc109914514"/>
      <w:r>
        <w:t>13.4 监理人的质量检查</w:t>
      </w:r>
      <w:bookmarkEnd w:id="2159"/>
      <w:bookmarkEnd w:id="2160"/>
      <w:bookmarkEnd w:id="2161"/>
      <w:bookmarkEnd w:id="2162"/>
      <w:bookmarkEnd w:id="2163"/>
      <w:bookmarkEnd w:id="2164"/>
    </w:p>
    <w:p w14:paraId="702C67B8">
      <w:pPr>
        <w:spacing w:line="400" w:lineRule="exact"/>
        <w:ind w:firstLine="420" w:firstLineChars="200"/>
        <w:rPr>
          <w:szCs w:val="21"/>
        </w:rPr>
      </w:pPr>
      <w:r>
        <w:rPr>
          <w:szCs w:val="21"/>
        </w:rPr>
        <w:t>承包人应当为监理人的检查和检验提供方便，监理人可以进行察看和查阅施工原始记录的其他地方包括：</w:t>
      </w:r>
      <w:r>
        <w:rPr>
          <w:u w:val="single"/>
        </w:rPr>
        <w:t>施工场地、承包人的现场试验场所、承包人的预制构件制作车间、承包人门窗制作车间等重要材料设备制作场地</w:t>
      </w:r>
      <w:r>
        <w:rPr>
          <w:szCs w:val="21"/>
        </w:rPr>
        <w:t>。</w:t>
      </w:r>
    </w:p>
    <w:p w14:paraId="7293EDA2">
      <w:pPr>
        <w:pStyle w:val="512"/>
        <w:spacing w:before="120" w:after="120"/>
      </w:pPr>
      <w:bookmarkStart w:id="2165" w:name="_Toc142385738"/>
      <w:bookmarkStart w:id="2166" w:name="_Toc132619199"/>
      <w:bookmarkStart w:id="2167" w:name="_Toc129798450"/>
      <w:bookmarkStart w:id="2168" w:name="_Toc241459712"/>
      <w:bookmarkStart w:id="2169" w:name="_Toc342296471"/>
      <w:bookmarkStart w:id="2170" w:name="_Toc109914515"/>
      <w:r>
        <w:t>13.5 工程隐蔽部位覆盖前的检查</w:t>
      </w:r>
      <w:bookmarkEnd w:id="2155"/>
      <w:bookmarkEnd w:id="2156"/>
      <w:bookmarkEnd w:id="2157"/>
      <w:bookmarkEnd w:id="2158"/>
      <w:bookmarkEnd w:id="2165"/>
      <w:bookmarkEnd w:id="2166"/>
      <w:bookmarkEnd w:id="2167"/>
      <w:bookmarkEnd w:id="2168"/>
      <w:bookmarkEnd w:id="2169"/>
      <w:bookmarkEnd w:id="2170"/>
    </w:p>
    <w:p w14:paraId="3010605B">
      <w:pPr>
        <w:spacing w:line="400" w:lineRule="exact"/>
        <w:ind w:firstLine="420" w:firstLineChars="200"/>
      </w:pPr>
      <w:r>
        <w:rPr>
          <w:szCs w:val="21"/>
        </w:rPr>
        <w:t>13.5.1 监理人对工程隐蔽部位进行检查的期限：</w:t>
      </w:r>
      <w:r>
        <w:rPr>
          <w:szCs w:val="21"/>
          <w:u w:val="single"/>
        </w:rPr>
        <w:t>收到承包人的检查通知后12小时内</w:t>
      </w:r>
      <w:r>
        <w:rPr>
          <w:szCs w:val="21"/>
        </w:rPr>
        <w:t>。</w:t>
      </w:r>
    </w:p>
    <w:p w14:paraId="7F4D4A50">
      <w:pPr>
        <w:pStyle w:val="512"/>
        <w:spacing w:before="120" w:after="120"/>
      </w:pPr>
      <w:bookmarkStart w:id="2171" w:name="_Toc132619200"/>
      <w:bookmarkStart w:id="2172" w:name="_Toc342296472"/>
      <w:bookmarkStart w:id="2173" w:name="_Toc109914516"/>
      <w:bookmarkStart w:id="2174" w:name="_Toc129798451"/>
      <w:bookmarkStart w:id="2175" w:name="_Toc241459713"/>
      <w:bookmarkStart w:id="2176" w:name="_Toc142385739"/>
      <w:bookmarkStart w:id="2177" w:name="_Toc152042484"/>
      <w:bookmarkStart w:id="2178" w:name="_Toc179632724"/>
      <w:bookmarkStart w:id="2179" w:name="_Toc152045706"/>
      <w:bookmarkStart w:id="2180" w:name="_Toc144974675"/>
      <w:r>
        <w:t>13.7 质量争议</w:t>
      </w:r>
      <w:bookmarkEnd w:id="2171"/>
      <w:bookmarkEnd w:id="2172"/>
      <w:bookmarkEnd w:id="2173"/>
      <w:bookmarkEnd w:id="2174"/>
      <w:bookmarkEnd w:id="2175"/>
      <w:bookmarkEnd w:id="2176"/>
    </w:p>
    <w:p w14:paraId="5328D54C">
      <w:pPr>
        <w:spacing w:line="400" w:lineRule="exact"/>
        <w:ind w:firstLine="420" w:firstLineChars="200"/>
        <w:rPr>
          <w:sz w:val="28"/>
          <w:szCs w:val="20"/>
        </w:rPr>
      </w:pPr>
      <w:r>
        <w:rPr>
          <w:szCs w:val="21"/>
        </w:rPr>
        <w:t>发包人和承包人对工程质量有争议的，除可按合同条款第24条办理外，监理人可提请合同双方委托有相应资质的工程质量检测机构进行鉴定，所需费用及因此造成的损失，由责任人承担，双方均有责任，由双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t>
      </w:r>
    </w:p>
    <w:p w14:paraId="608BB6B9">
      <w:pPr>
        <w:pStyle w:val="548"/>
        <w:spacing w:before="120" w:after="120"/>
        <w:rPr>
          <w:rFonts w:cs="仿宋_GB2312"/>
        </w:rPr>
      </w:pPr>
      <w:bookmarkStart w:id="2181" w:name="_Toc142385740"/>
      <w:bookmarkStart w:id="2182" w:name="_Toc442365652"/>
      <w:bookmarkStart w:id="2183" w:name="_Toc342296473"/>
      <w:bookmarkStart w:id="2184" w:name="_Toc109914517"/>
      <w:bookmarkStart w:id="2185" w:name="_Toc241459714"/>
      <w:bookmarkStart w:id="2186" w:name="_Toc448758460"/>
      <w:bookmarkStart w:id="2187" w:name="_Toc132619201"/>
      <w:bookmarkStart w:id="2188" w:name="_Toc448758560"/>
      <w:bookmarkStart w:id="2189" w:name="_Toc129798452"/>
      <w:bookmarkStart w:id="2190" w:name="_Toc469660055"/>
      <w:r>
        <w:rPr>
          <w:rFonts w:cs="仿宋_GB2312"/>
        </w:rPr>
        <w:t>15. 变更</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p>
    <w:p w14:paraId="6AEDC98C">
      <w:pPr>
        <w:pStyle w:val="512"/>
        <w:spacing w:before="120" w:after="120"/>
      </w:pPr>
      <w:bookmarkStart w:id="2191" w:name="_Toc109914518"/>
      <w:bookmarkStart w:id="2192" w:name="_Toc129798453"/>
      <w:bookmarkStart w:id="2193" w:name="_Toc152045707"/>
      <w:bookmarkStart w:id="2194" w:name="_Toc179632725"/>
      <w:bookmarkStart w:id="2195" w:name="_Toc144974676"/>
      <w:bookmarkStart w:id="2196" w:name="_Toc241459715"/>
      <w:bookmarkStart w:id="2197" w:name="_Toc342296474"/>
      <w:bookmarkStart w:id="2198" w:name="_Toc152042485"/>
      <w:bookmarkStart w:id="2199" w:name="_Toc142385741"/>
      <w:bookmarkStart w:id="2200" w:name="_Toc132619202"/>
      <w:r>
        <w:t>15.1 变更的范围和内容</w:t>
      </w:r>
      <w:bookmarkEnd w:id="2191"/>
      <w:bookmarkEnd w:id="2192"/>
      <w:bookmarkEnd w:id="2193"/>
      <w:bookmarkEnd w:id="2194"/>
      <w:bookmarkEnd w:id="2195"/>
      <w:bookmarkEnd w:id="2196"/>
      <w:bookmarkEnd w:id="2197"/>
      <w:bookmarkEnd w:id="2198"/>
      <w:bookmarkEnd w:id="2199"/>
      <w:bookmarkEnd w:id="2200"/>
    </w:p>
    <w:p w14:paraId="3F59E0BE">
      <w:pPr>
        <w:spacing w:line="400" w:lineRule="exact"/>
        <w:ind w:firstLine="420" w:firstLineChars="200"/>
        <w:rPr>
          <w:szCs w:val="21"/>
        </w:rPr>
      </w:pPr>
      <w:r>
        <w:rPr>
          <w:szCs w:val="21"/>
        </w:rPr>
        <w:t>应当进行变更的其他情形：</w:t>
      </w:r>
      <w:r>
        <w:rPr>
          <w:szCs w:val="21"/>
          <w:u w:val="single"/>
        </w:rPr>
        <w:t>招标图纸和清单范围之外的工作内容</w:t>
      </w:r>
      <w:r>
        <w:rPr>
          <w:szCs w:val="21"/>
        </w:rPr>
        <w:t>。</w:t>
      </w:r>
    </w:p>
    <w:p w14:paraId="760FAD9D">
      <w:pPr>
        <w:spacing w:line="400" w:lineRule="exact"/>
        <w:ind w:firstLine="420" w:firstLineChars="200"/>
        <w:rPr>
          <w:szCs w:val="21"/>
        </w:rPr>
      </w:pPr>
      <w:r>
        <w:rPr>
          <w:szCs w:val="21"/>
        </w:rPr>
        <w:t>发包人违背通用合同条款15.1（1）目的约定，将被取消的合同中的工作转由发包人或其他人实施的，承包人可向监理人发出通知，要求发包人采取有效措施纠正违约行为，发包人在监理人收到承包人通知后28天内仍不纠正违约行为的，应当赔偿承包人损失（包括合理的利润）并承担由此引起的其他责任。承包人应当按通用合同条款第23.1.1（1）目的约定，在上述28天期限到期后的28天内，向监理人递交索赔意向通知书,并按通用合同条款第23.1.1（2）目的约定，及时向监理人递交正式索赔通知书，说明有权得到的损失赔偿金额并附必要的记录和证明材料。发包人支付给承包人的损失赔偿金额应当包括被取消工作的合同价值中所包含的承包人管理费、利润以及相应的税金和规费。</w:t>
      </w:r>
    </w:p>
    <w:p w14:paraId="52846302">
      <w:pPr>
        <w:pStyle w:val="512"/>
        <w:spacing w:before="120" w:after="120"/>
      </w:pPr>
      <w:bookmarkStart w:id="2201" w:name="_Toc142385742"/>
      <w:bookmarkStart w:id="2202" w:name="_Toc129798454"/>
      <w:bookmarkStart w:id="2203" w:name="_Toc144974678"/>
      <w:bookmarkStart w:id="2204" w:name="_Toc241459716"/>
      <w:bookmarkStart w:id="2205" w:name="_Toc152042487"/>
      <w:bookmarkStart w:id="2206" w:name="_Toc179632727"/>
      <w:bookmarkStart w:id="2207" w:name="_Toc132619203"/>
      <w:bookmarkStart w:id="2208" w:name="_Toc152045709"/>
      <w:bookmarkStart w:id="2209" w:name="_Toc342296475"/>
      <w:bookmarkStart w:id="2210" w:name="_Toc109914519"/>
      <w:r>
        <w:t>15.3 变更程序</w:t>
      </w:r>
      <w:bookmarkEnd w:id="2201"/>
      <w:bookmarkEnd w:id="2202"/>
      <w:bookmarkEnd w:id="2203"/>
      <w:bookmarkEnd w:id="2204"/>
      <w:bookmarkEnd w:id="2205"/>
      <w:bookmarkEnd w:id="2206"/>
      <w:bookmarkEnd w:id="2207"/>
      <w:bookmarkEnd w:id="2208"/>
      <w:bookmarkEnd w:id="2209"/>
      <w:bookmarkEnd w:id="2210"/>
    </w:p>
    <w:p w14:paraId="3BD7310C">
      <w:pPr>
        <w:spacing w:line="400" w:lineRule="exact"/>
        <w:ind w:firstLine="420" w:firstLineChars="200"/>
        <w:rPr>
          <w:rFonts w:eastAsia="Cambria"/>
        </w:rPr>
      </w:pPr>
      <w:r>
        <w:rPr>
          <w:rFonts w:eastAsia="Cambria"/>
        </w:rPr>
        <w:t xml:space="preserve">15.3.2 </w:t>
      </w:r>
      <w:r>
        <w:rPr>
          <w:rFonts w:hint="eastAsia" w:ascii="宋体" w:hAnsi="宋体" w:cs="宋体"/>
        </w:rPr>
        <w:t>变更估价</w:t>
      </w:r>
    </w:p>
    <w:p w14:paraId="498173B9">
      <w:pPr>
        <w:spacing w:line="400" w:lineRule="exact"/>
        <w:ind w:firstLine="420" w:firstLineChars="200"/>
        <w:rPr>
          <w:szCs w:val="21"/>
        </w:rPr>
      </w:pPr>
      <w:r>
        <w:rPr>
          <w:szCs w:val="21"/>
        </w:rPr>
        <w:t>（1）承包人提交变更报价书的期限：</w:t>
      </w:r>
      <w:r>
        <w:rPr>
          <w:szCs w:val="21"/>
          <w:u w:val="single"/>
        </w:rPr>
        <w:t>承包人收到变更指示或变更意向书后7日内</w:t>
      </w:r>
      <w:r>
        <w:rPr>
          <w:szCs w:val="21"/>
        </w:rPr>
        <w:t>。</w:t>
      </w:r>
    </w:p>
    <w:p w14:paraId="06415C4C">
      <w:pPr>
        <w:spacing w:line="400" w:lineRule="exact"/>
        <w:ind w:firstLine="420" w:firstLineChars="200"/>
        <w:rPr>
          <w:szCs w:val="21"/>
        </w:rPr>
      </w:pPr>
      <w:r>
        <w:rPr>
          <w:szCs w:val="21"/>
        </w:rPr>
        <w:t>（3）监理人商定或确定变更价格的期限：</w:t>
      </w:r>
      <w:r>
        <w:rPr>
          <w:szCs w:val="21"/>
          <w:u w:val="single"/>
        </w:rPr>
        <w:t>监理人收到承包人变更报价书后7日内</w:t>
      </w:r>
      <w:r>
        <w:rPr>
          <w:szCs w:val="21"/>
        </w:rPr>
        <w:t>。</w:t>
      </w:r>
    </w:p>
    <w:p w14:paraId="147E8C28">
      <w:pPr>
        <w:spacing w:line="400" w:lineRule="exact"/>
        <w:ind w:firstLine="420" w:firstLineChars="200"/>
        <w:rPr>
          <w:szCs w:val="21"/>
        </w:rPr>
      </w:pPr>
      <w:r>
        <w:rPr>
          <w:szCs w:val="21"/>
        </w:rPr>
        <w:t>（4）收到变更指示后，如承包人未在规定的期限内提交变更报价书的，监理人可自行决定是否调整合同价款以及如果监理人决定调整合同价款时，相应调整的具体金额。</w:t>
      </w:r>
    </w:p>
    <w:p w14:paraId="55D38504">
      <w:pPr>
        <w:pStyle w:val="512"/>
        <w:spacing w:before="120" w:after="120"/>
      </w:pPr>
      <w:bookmarkStart w:id="2211" w:name="_Toc152045710"/>
      <w:bookmarkStart w:id="2212" w:name="_Toc342296476"/>
      <w:bookmarkStart w:id="2213" w:name="_Toc179632728"/>
      <w:bookmarkStart w:id="2214" w:name="_Toc144974679"/>
      <w:bookmarkStart w:id="2215" w:name="_Toc109914520"/>
      <w:bookmarkStart w:id="2216" w:name="_Toc129798455"/>
      <w:bookmarkStart w:id="2217" w:name="_Toc142385743"/>
      <w:bookmarkStart w:id="2218" w:name="_Toc132619204"/>
      <w:bookmarkStart w:id="2219" w:name="_Toc241459717"/>
      <w:bookmarkStart w:id="2220" w:name="_Toc152042488"/>
      <w:r>
        <w:t>15.4 变更的估价原则</w:t>
      </w:r>
      <w:bookmarkEnd w:id="2211"/>
      <w:bookmarkEnd w:id="2212"/>
      <w:bookmarkEnd w:id="2213"/>
      <w:bookmarkEnd w:id="2214"/>
      <w:bookmarkEnd w:id="2215"/>
      <w:bookmarkEnd w:id="2216"/>
      <w:bookmarkEnd w:id="2217"/>
      <w:bookmarkEnd w:id="2218"/>
      <w:bookmarkEnd w:id="2219"/>
      <w:bookmarkEnd w:id="2220"/>
    </w:p>
    <w:p w14:paraId="2EA2C3EB">
      <w:pPr>
        <w:spacing w:line="400" w:lineRule="exact"/>
        <w:ind w:firstLine="420" w:firstLineChars="200"/>
        <w:rPr>
          <w:szCs w:val="21"/>
        </w:rPr>
      </w:pPr>
      <w:r>
        <w:rPr>
          <w:szCs w:val="21"/>
        </w:rPr>
        <w:t>15.4.4 因工程量清单漏项（仅适用于合同协议书约定采用单价合同形式时）或变更引起措施项目发生变化，原措施项目费中已有的措施项目，采用原措施项目费的组价方法变更；原措施项目费中没有的措施项目，由承包人根据措施项目变更情况，提出适当的措施项目费变更，由监理人按第3.5款商定或确定变更措施项目的费用。</w:t>
      </w:r>
    </w:p>
    <w:p w14:paraId="3542E391">
      <w:pPr>
        <w:spacing w:line="400" w:lineRule="exact"/>
        <w:ind w:firstLine="420" w:firstLineChars="200"/>
        <w:rPr>
          <w:szCs w:val="21"/>
        </w:rPr>
      </w:pPr>
      <w:r>
        <w:rPr>
          <w:szCs w:val="21"/>
        </w:rPr>
        <w:t>15.4.5 合同协议书约定采用单价合同形式时，因非承包人原因引起已标价工程量清单中列明的工程量发生增减，且单个子目工程量变化幅度在</w:t>
      </w:r>
      <w:r>
        <w:rPr>
          <w:szCs w:val="21"/>
          <w:u w:val="single"/>
        </w:rPr>
        <w:t xml:space="preserve">   /   </w:t>
      </w:r>
      <w:r>
        <w:rPr>
          <w:szCs w:val="21"/>
        </w:rPr>
        <w:t>%以内（含）时，应执行已标价工程量清单中列明的该子目的单价；单个子目工程量变化幅度在</w:t>
      </w:r>
      <w:r>
        <w:rPr>
          <w:szCs w:val="21"/>
          <w:u w:val="single"/>
        </w:rPr>
        <w:t xml:space="preserve">   /   </w:t>
      </w:r>
      <w:r>
        <w:rPr>
          <w:szCs w:val="21"/>
        </w:rPr>
        <w:t>%以外（不含），且导致分部分项工程费总额变化幅度超过</w:t>
      </w:r>
      <w:r>
        <w:rPr>
          <w:szCs w:val="21"/>
          <w:u w:val="single"/>
        </w:rPr>
        <w:t xml:space="preserve">    /    </w:t>
      </w:r>
      <w:r>
        <w:rPr>
          <w:szCs w:val="21"/>
        </w:rPr>
        <w:t>%时，由承包人提出并由监理人按第3.5款商定或确定新的单价，该子目按修正后的新的单价计价。</w:t>
      </w:r>
    </w:p>
    <w:p w14:paraId="6220F94E">
      <w:pPr>
        <w:spacing w:line="400" w:lineRule="exact"/>
        <w:ind w:firstLine="525" w:firstLineChars="250"/>
        <w:rPr>
          <w:szCs w:val="21"/>
          <w:u w:val="single"/>
        </w:rPr>
      </w:pPr>
      <w:r>
        <w:rPr>
          <w:szCs w:val="21"/>
        </w:rPr>
        <w:t>5.4.6 因变更引起价格调整的其他处理方式：</w:t>
      </w:r>
      <w:r>
        <w:rPr>
          <w:szCs w:val="21"/>
          <w:u w:val="single"/>
        </w:rPr>
        <w:t xml:space="preserve">             /            </w:t>
      </w:r>
      <w:r>
        <w:rPr>
          <w:szCs w:val="21"/>
        </w:rPr>
        <w:t>。</w:t>
      </w:r>
    </w:p>
    <w:p w14:paraId="2609180E">
      <w:pPr>
        <w:pStyle w:val="512"/>
        <w:spacing w:before="120" w:after="120"/>
      </w:pPr>
      <w:bookmarkStart w:id="2221" w:name="_Toc152045711"/>
      <w:bookmarkStart w:id="2222" w:name="_Toc129798456"/>
      <w:bookmarkStart w:id="2223" w:name="_Toc142385744"/>
      <w:bookmarkStart w:id="2224" w:name="_Toc342296477"/>
      <w:bookmarkStart w:id="2225" w:name="_Toc109914521"/>
      <w:bookmarkStart w:id="2226" w:name="_Toc132619205"/>
      <w:bookmarkStart w:id="2227" w:name="_Toc241459718"/>
      <w:bookmarkStart w:id="2228" w:name="_Toc144974680"/>
      <w:bookmarkStart w:id="2229" w:name="_Toc179632729"/>
      <w:bookmarkStart w:id="2230" w:name="_Toc152042489"/>
      <w:r>
        <w:t>15.5 承包人的合理化建议</w:t>
      </w:r>
      <w:bookmarkEnd w:id="2221"/>
      <w:bookmarkEnd w:id="2222"/>
      <w:bookmarkEnd w:id="2223"/>
      <w:bookmarkEnd w:id="2224"/>
      <w:bookmarkEnd w:id="2225"/>
      <w:bookmarkEnd w:id="2226"/>
      <w:bookmarkEnd w:id="2227"/>
      <w:bookmarkEnd w:id="2228"/>
      <w:bookmarkEnd w:id="2229"/>
      <w:bookmarkEnd w:id="2230"/>
    </w:p>
    <w:p w14:paraId="45EC8815">
      <w:pPr>
        <w:spacing w:line="400" w:lineRule="exact"/>
        <w:ind w:firstLine="420" w:firstLineChars="200"/>
        <w:rPr>
          <w:szCs w:val="21"/>
        </w:rPr>
      </w:pPr>
      <w:r>
        <w:rPr>
          <w:szCs w:val="21"/>
        </w:rPr>
        <w:t>15.5.2对承包人提出合理化建议的奖励方法：</w:t>
      </w:r>
      <w:r>
        <w:rPr>
          <w:szCs w:val="21"/>
          <w:u w:val="single"/>
        </w:rPr>
        <w:t xml:space="preserve">         /                 </w:t>
      </w:r>
      <w:r>
        <w:rPr>
          <w:szCs w:val="21"/>
        </w:rPr>
        <w:t>。</w:t>
      </w:r>
    </w:p>
    <w:p w14:paraId="1E2D73E9">
      <w:pPr>
        <w:pStyle w:val="512"/>
        <w:spacing w:before="120" w:after="120"/>
      </w:pPr>
      <w:bookmarkStart w:id="2231" w:name="_Toc152042492"/>
      <w:bookmarkStart w:id="2232" w:name="_Toc152045714"/>
      <w:bookmarkStart w:id="2233" w:name="_Toc142385745"/>
      <w:bookmarkStart w:id="2234" w:name="_Toc132619206"/>
      <w:bookmarkStart w:id="2235" w:name="_Toc179632732"/>
      <w:bookmarkStart w:id="2236" w:name="_Toc144974683"/>
      <w:bookmarkStart w:id="2237" w:name="_Toc342296478"/>
      <w:bookmarkStart w:id="2238" w:name="_Toc109914522"/>
      <w:bookmarkStart w:id="2239" w:name="_Toc129798457"/>
      <w:bookmarkStart w:id="2240" w:name="_Toc241459719"/>
      <w:r>
        <w:t>15.8 暂估价</w:t>
      </w:r>
      <w:bookmarkEnd w:id="2231"/>
      <w:bookmarkEnd w:id="2232"/>
      <w:bookmarkEnd w:id="2233"/>
      <w:bookmarkEnd w:id="2234"/>
      <w:bookmarkEnd w:id="2235"/>
      <w:bookmarkEnd w:id="2236"/>
      <w:bookmarkEnd w:id="2237"/>
      <w:bookmarkEnd w:id="2238"/>
      <w:bookmarkEnd w:id="2239"/>
      <w:bookmarkEnd w:id="2240"/>
    </w:p>
    <w:p w14:paraId="50C462CC">
      <w:pPr>
        <w:spacing w:line="400" w:lineRule="exact"/>
        <w:ind w:firstLine="420" w:firstLineChars="200"/>
        <w:rPr>
          <w:szCs w:val="21"/>
        </w:rPr>
      </w:pPr>
      <w:r>
        <w:rPr>
          <w:szCs w:val="21"/>
        </w:rPr>
        <w:t>15.8.1按合同约定应当由发包人和承包人采用招标方式选择专项供应商或专业分包人的，应当由承包人作为招标人，依法组织招标工作并接受有管辖权的建设工程招标投标行政监督部门的监督。与组织招标工作有关的费用应当被认为已经包括在承包人的签约合同价（投标总报价）中：</w:t>
      </w:r>
    </w:p>
    <w:p w14:paraId="190F0BF2">
      <w:pPr>
        <w:spacing w:line="400" w:lineRule="exact"/>
        <w:ind w:firstLine="420" w:firstLineChars="200"/>
        <w:rPr>
          <w:szCs w:val="21"/>
        </w:rPr>
      </w:pPr>
      <w:r>
        <w:rPr>
          <w:szCs w:val="21"/>
        </w:rPr>
        <w:t>（1）在任何招标工作启动前，承包人应当提前至少</w:t>
      </w:r>
      <w:r>
        <w:rPr>
          <w:szCs w:val="21"/>
          <w:u w:val="single"/>
        </w:rPr>
        <w:t xml:space="preserve"> 7 </w:t>
      </w:r>
      <w:r>
        <w:rPr>
          <w:szCs w:val="21"/>
        </w:rPr>
        <w:t>天编制招标工作计划并通过监理人报请发包人审批，招标工作计划应当包括招标工作的时间安排、拟采用的招标方式、拟采用的资格审查方法、主要招标过程文件的编制内容、对投标人的资格条件要求、评标标准和方法、评标委员会组成、是否编制招标控制价和（或）标底以及招标控制价和（或）标底编制原则，发包人应当在监理人收到承包人报送的招标工作计划后</w:t>
      </w:r>
      <w:r>
        <w:rPr>
          <w:szCs w:val="21"/>
          <w:u w:val="single"/>
        </w:rPr>
        <w:t xml:space="preserve"> 3 </w:t>
      </w:r>
      <w:r>
        <w:rPr>
          <w:szCs w:val="21"/>
        </w:rPr>
        <w:t>天内给予批准或者提出修改意见。承包人应当严格按照经过发包人批准的招标工作计划开展招标工作。</w:t>
      </w:r>
    </w:p>
    <w:p w14:paraId="714A029A">
      <w:pPr>
        <w:spacing w:line="400" w:lineRule="exact"/>
        <w:ind w:firstLine="420" w:firstLineChars="200"/>
        <w:rPr>
          <w:szCs w:val="21"/>
        </w:rPr>
      </w:pPr>
      <w:r>
        <w:rPr>
          <w:szCs w:val="21"/>
        </w:rPr>
        <w:t>（2）承包人应当在发出招标公告（或者资格预审公告或者投标邀请书）、资格预审文件和招标文件前至少</w:t>
      </w:r>
      <w:r>
        <w:rPr>
          <w:szCs w:val="21"/>
          <w:u w:val="single"/>
        </w:rPr>
        <w:t xml:space="preserve"> 7 </w:t>
      </w:r>
      <w:r>
        <w:rPr>
          <w:szCs w:val="21"/>
        </w:rPr>
        <w:t>天，分别将相关文件通过监理人报请发包人审批，发包人应当在监理人收到承包人报送的相关文件后</w:t>
      </w:r>
      <w:r>
        <w:rPr>
          <w:szCs w:val="21"/>
          <w:u w:val="single"/>
        </w:rPr>
        <w:t xml:space="preserve"> 3 </w:t>
      </w:r>
      <w:r>
        <w:rPr>
          <w:szCs w:val="21"/>
        </w:rPr>
        <w:t>天内给予批准或者提出修改意见，经发包人批准的相关文件，由承包人负责誊清整理并准备出开展实际招标工作所需要的份数，通过监理人报发包人核查并加盖发包人印章，发包人在相关文件上加盖印章只表明相关文件经过发包人审核批准。最终发出的文件应当分别报送一份给发包人和监理人备查。</w:t>
      </w:r>
    </w:p>
    <w:p w14:paraId="3F52B6EC">
      <w:pPr>
        <w:spacing w:line="400" w:lineRule="exact"/>
        <w:ind w:firstLine="420" w:firstLineChars="200"/>
        <w:rPr>
          <w:szCs w:val="21"/>
        </w:rPr>
      </w:pPr>
      <w:r>
        <w:rPr>
          <w:szCs w:val="21"/>
        </w:rPr>
        <w:t>（3）如果发、承包任何一方委派评标代表，评标委员会应当由七人以上单数构成。</w:t>
      </w:r>
    </w:p>
    <w:p w14:paraId="634041A4">
      <w:pPr>
        <w:spacing w:line="400" w:lineRule="exact"/>
        <w:ind w:firstLine="420" w:firstLineChars="200"/>
        <w:rPr>
          <w:szCs w:val="21"/>
        </w:rPr>
      </w:pPr>
      <w:r>
        <w:rPr>
          <w:szCs w:val="21"/>
        </w:rPr>
        <w:t>（4）设有标底的，承包人应当在开标前提前48小时将标底报发包人审核认可，发包人应当在收到承包人报送的标底后24小时内给予批准或者提出修改意见。承包人和发包人应当共同制定标底保密措施，不得提前泄露标底。标底的最终审核和决定权属于发包人。</w:t>
      </w:r>
    </w:p>
    <w:p w14:paraId="33231C7A">
      <w:pPr>
        <w:spacing w:line="400" w:lineRule="exact"/>
        <w:ind w:firstLine="420" w:firstLineChars="200"/>
        <w:rPr>
          <w:szCs w:val="21"/>
        </w:rPr>
      </w:pPr>
      <w:r>
        <w:rPr>
          <w:szCs w:val="21"/>
        </w:rPr>
        <w:t>（5）设有招标控制价的，承包人应当在招标文件发出前提前7天将招标控制价报发包人审核认可，发包人应当在收到承包人报送的招标控制价后72小时内给予认可或者提出修改意见。招标控制价的最终审核和决定权属于发包人，未经发包人认可，承包人不得发出招标文件。</w:t>
      </w:r>
    </w:p>
    <w:p w14:paraId="65083D60">
      <w:pPr>
        <w:spacing w:line="400" w:lineRule="exact"/>
        <w:ind w:firstLine="420" w:firstLineChars="200"/>
        <w:rPr>
          <w:szCs w:val="21"/>
        </w:rPr>
      </w:pPr>
      <w:r>
        <w:rPr>
          <w:szCs w:val="21"/>
        </w:rPr>
        <w:t>（6）承包人在收到相关招标项目评标委员会提交的评标报告后，应当在24小时内通过监理人转报发包人核查，发包人应当在监理人收到承包人报送的评标报告后48小时内核查完毕，评标报告经过发包人核查认可后，承包人才可以开始后续程序，依法确定中标人并发出中标通知书。</w:t>
      </w:r>
    </w:p>
    <w:p w14:paraId="0827698A">
      <w:pPr>
        <w:spacing w:line="400" w:lineRule="exact"/>
        <w:ind w:firstLine="420" w:firstLineChars="200"/>
        <w:rPr>
          <w:szCs w:val="21"/>
        </w:rPr>
      </w:pPr>
      <w:r>
        <w:rPr>
          <w:szCs w:val="21"/>
        </w:rPr>
        <w:t>（7）承包人与专业分包人或者专项供应商订立合同前</w:t>
      </w:r>
      <w:r>
        <w:rPr>
          <w:szCs w:val="21"/>
          <w:u w:val="single"/>
        </w:rPr>
        <w:t xml:space="preserve"> 10 </w:t>
      </w:r>
      <w:r>
        <w:rPr>
          <w:szCs w:val="21"/>
        </w:rPr>
        <w:t>天，应当将准备用于正式签订的合同文件通过监理人报发包人审核，发包人应当在监理人收到相关文件后</w:t>
      </w:r>
      <w:r>
        <w:rPr>
          <w:szCs w:val="21"/>
          <w:u w:val="single"/>
        </w:rPr>
        <w:t xml:space="preserve"> 7 </w:t>
      </w:r>
      <w:r>
        <w:rPr>
          <w:szCs w:val="21"/>
        </w:rPr>
        <w:t>天内给予批准或者提出修改意见，承包人应当按照发包人批准的合同文件签订相关合同，合同订立后</w:t>
      </w:r>
      <w:r>
        <w:rPr>
          <w:szCs w:val="21"/>
          <w:u w:val="single"/>
        </w:rPr>
        <w:t xml:space="preserve">  7 </w:t>
      </w:r>
      <w:r>
        <w:rPr>
          <w:szCs w:val="21"/>
        </w:rPr>
        <w:t>天内，承包人应当将其中的两份副本报送监理人，其中一份由监理人报发包人留存。</w:t>
      </w:r>
    </w:p>
    <w:p w14:paraId="6B08888E">
      <w:pPr>
        <w:spacing w:line="400" w:lineRule="exact"/>
        <w:ind w:firstLine="420" w:firstLineChars="200"/>
        <w:rPr>
          <w:szCs w:val="21"/>
        </w:rPr>
      </w:pPr>
      <w:r>
        <w:rPr>
          <w:szCs w:val="21"/>
        </w:rPr>
        <w:t>（8）发包人对承包人报送文件进行审批或提出的修改意见应当合理，并符合现行有关法律法规的规定。</w:t>
      </w:r>
    </w:p>
    <w:p w14:paraId="416B9CFB">
      <w:pPr>
        <w:spacing w:line="400" w:lineRule="exact"/>
        <w:ind w:firstLine="420" w:firstLineChars="200"/>
        <w:rPr>
          <w:szCs w:val="21"/>
        </w:rPr>
      </w:pPr>
      <w:r>
        <w:rPr>
          <w:szCs w:val="21"/>
        </w:rPr>
        <w:t>（9）承包人违背本项上述约定的程序或者未履行本项上述约定的报批手续的，发包人有权拒绝对相关专业工程或者涉及相关专项供应的材料和工程设备的工程进行验收和拨付相应工程款项，所造成的费用增加和（或）工期延误由承包人承担。发包人未按本项上述约定履行审批手续的，所造成的费用增加和（或）工期延误由发包人承担。</w:t>
      </w:r>
    </w:p>
    <w:p w14:paraId="58722A84">
      <w:pPr>
        <w:spacing w:line="400" w:lineRule="exact"/>
        <w:ind w:firstLine="420" w:firstLineChars="200"/>
        <w:rPr>
          <w:szCs w:val="21"/>
        </w:rPr>
      </w:pPr>
      <w:r>
        <w:rPr>
          <w:szCs w:val="21"/>
        </w:rPr>
        <w:t>15.8.3发包人在工程量清单中给定暂估价的专业工程不属于依法必须招标的范围或者未达到依法必须招标的规模标准的，其最终价格的估价人为：</w:t>
      </w:r>
      <w:r>
        <w:rPr>
          <w:szCs w:val="21"/>
          <w:u w:val="single"/>
        </w:rPr>
        <w:t>发包人</w:t>
      </w:r>
      <w:r>
        <w:rPr>
          <w:szCs w:val="21"/>
        </w:rPr>
        <w:t>或者按照下列约定：</w:t>
      </w:r>
      <w:r>
        <w:rPr>
          <w:rFonts w:hint="eastAsia"/>
          <w:szCs w:val="21"/>
          <w:u w:val="single"/>
        </w:rPr>
        <w:t xml:space="preserve"> </w:t>
      </w:r>
      <w:r>
        <w:rPr>
          <w:szCs w:val="21"/>
          <w:u w:val="single"/>
        </w:rPr>
        <w:t>/</w:t>
      </w:r>
      <w:r>
        <w:rPr>
          <w:rFonts w:hint="eastAsia"/>
          <w:szCs w:val="21"/>
          <w:u w:val="single"/>
        </w:rPr>
        <w:t xml:space="preserve"> </w:t>
      </w:r>
      <w:r>
        <w:rPr>
          <w:szCs w:val="21"/>
        </w:rPr>
        <w:t>。</w:t>
      </w:r>
    </w:p>
    <w:p w14:paraId="2ED5E1EC">
      <w:pPr>
        <w:pStyle w:val="548"/>
        <w:spacing w:before="120" w:after="120"/>
        <w:rPr>
          <w:rFonts w:cs="仿宋_GB2312"/>
        </w:rPr>
      </w:pPr>
      <w:bookmarkStart w:id="2241" w:name="_Toc132619207"/>
      <w:bookmarkStart w:id="2242" w:name="_Toc142385746"/>
      <w:bookmarkStart w:id="2243" w:name="_Toc448758561"/>
      <w:bookmarkStart w:id="2244" w:name="_Toc241459720"/>
      <w:bookmarkStart w:id="2245" w:name="_Toc144974684"/>
      <w:bookmarkStart w:id="2246" w:name="_Toc152045715"/>
      <w:bookmarkStart w:id="2247" w:name="_Toc109914523"/>
      <w:bookmarkStart w:id="2248" w:name="_Toc448758461"/>
      <w:bookmarkStart w:id="2249" w:name="_Toc152042493"/>
      <w:bookmarkStart w:id="2250" w:name="_Toc129798458"/>
      <w:bookmarkStart w:id="2251" w:name="_Toc342296479"/>
      <w:bookmarkStart w:id="2252" w:name="_Toc469660056"/>
      <w:bookmarkStart w:id="2253" w:name="_Toc442365653"/>
      <w:bookmarkStart w:id="2254" w:name="_Toc179632733"/>
      <w:r>
        <w:rPr>
          <w:rFonts w:cs="仿宋_GB2312"/>
        </w:rPr>
        <w:t>16. 价格调整</w:t>
      </w:r>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p>
    <w:p w14:paraId="5E48D7A6">
      <w:pPr>
        <w:pStyle w:val="512"/>
        <w:spacing w:before="120" w:after="120"/>
      </w:pPr>
      <w:bookmarkStart w:id="2255" w:name="_Toc152042494"/>
      <w:bookmarkStart w:id="2256" w:name="_Toc132619208"/>
      <w:bookmarkStart w:id="2257" w:name="_Toc144974685"/>
      <w:bookmarkStart w:id="2258" w:name="_Toc241459721"/>
      <w:bookmarkStart w:id="2259" w:name="_Toc342296480"/>
      <w:bookmarkStart w:id="2260" w:name="_Toc109914524"/>
      <w:bookmarkStart w:id="2261" w:name="_Toc179632734"/>
      <w:bookmarkStart w:id="2262" w:name="_Toc142385747"/>
      <w:bookmarkStart w:id="2263" w:name="_Toc152045716"/>
      <w:bookmarkStart w:id="2264" w:name="_Toc129798459"/>
      <w:r>
        <w:t>16.1 物价波动引起的价格调整</w:t>
      </w:r>
      <w:bookmarkEnd w:id="2255"/>
      <w:bookmarkEnd w:id="2256"/>
      <w:bookmarkEnd w:id="2257"/>
      <w:bookmarkEnd w:id="2258"/>
      <w:bookmarkEnd w:id="2259"/>
      <w:bookmarkEnd w:id="2260"/>
      <w:bookmarkEnd w:id="2261"/>
      <w:bookmarkEnd w:id="2262"/>
      <w:bookmarkEnd w:id="2263"/>
      <w:bookmarkEnd w:id="2264"/>
    </w:p>
    <w:p w14:paraId="2B85EEFF">
      <w:pPr>
        <w:spacing w:line="400" w:lineRule="exact"/>
        <w:ind w:firstLine="420" w:firstLineChars="200"/>
      </w:pPr>
      <w:r>
        <w:rPr>
          <w:szCs w:val="21"/>
        </w:rPr>
        <w:t>物价波动引起的价格调整方法：</w:t>
      </w:r>
      <w:r>
        <w:rPr>
          <w:u w:val="single"/>
        </w:rPr>
        <w:t>采用造价信息调整价格差额，具体约定如下</w:t>
      </w:r>
      <w:r>
        <w:t>。</w:t>
      </w:r>
    </w:p>
    <w:p w14:paraId="4C2E717F">
      <w:pPr>
        <w:spacing w:line="400" w:lineRule="exact"/>
        <w:ind w:firstLine="422" w:firstLineChars="200"/>
        <w:rPr>
          <w:b/>
          <w:u w:val="single"/>
        </w:rPr>
      </w:pPr>
      <w:r>
        <w:rPr>
          <w:b/>
          <w:u w:val="single"/>
        </w:rPr>
        <w:t>（1）风险范围：</w:t>
      </w:r>
    </w:p>
    <w:p w14:paraId="2CC4EC34">
      <w:pPr>
        <w:spacing w:line="400" w:lineRule="exact"/>
        <w:ind w:firstLine="420" w:firstLineChars="200"/>
        <w:rPr>
          <w:u w:val="single"/>
        </w:rPr>
      </w:pPr>
      <w:r>
        <w:rPr>
          <w:u w:val="single"/>
        </w:rPr>
        <w:t>本工程人工、预拌混凝土、钢筋、木材、电线、电缆市场价格的涨落在±5%（含±5%）以内的风险，以及其他材料和机械使用费价格变化的全部风险。</w:t>
      </w:r>
    </w:p>
    <w:p w14:paraId="19A66348">
      <w:pPr>
        <w:spacing w:line="400" w:lineRule="exact"/>
        <w:ind w:firstLine="422" w:firstLineChars="200"/>
        <w:rPr>
          <w:b/>
          <w:u w:val="single"/>
        </w:rPr>
      </w:pPr>
      <w:r>
        <w:rPr>
          <w:b/>
          <w:u w:val="single"/>
        </w:rPr>
        <w:t>(2）市场价格变化幅度确定的原则：</w:t>
      </w:r>
    </w:p>
    <w:p w14:paraId="1F3B7336">
      <w:pPr>
        <w:spacing w:line="400" w:lineRule="exact"/>
        <w:ind w:firstLine="420" w:firstLineChars="200"/>
        <w:rPr>
          <w:u w:val="single"/>
        </w:rPr>
      </w:pPr>
      <w:r>
        <w:rPr>
          <w:u w:val="single"/>
        </w:rPr>
        <w:t>a）以本市建设工程造价管理机构施工当期发布的《北京工程造价信息》中的市场信息价格 （以下简称造价信息价格）为依据，造价信息价格中有上、下限的，以下限为准，造价信息价格中没有的，按发包人、承包人共同确认的市场价格为准；</w:t>
      </w:r>
    </w:p>
    <w:p w14:paraId="46BF9EFB">
      <w:pPr>
        <w:spacing w:line="400" w:lineRule="exact"/>
        <w:ind w:firstLine="420" w:firstLineChars="200"/>
        <w:rPr>
          <w:u w:val="single"/>
        </w:rPr>
      </w:pPr>
      <w:r>
        <w:rPr>
          <w:u w:val="single"/>
        </w:rPr>
        <w:t>b) 当投标报价时的单价低于投标报价期对应的造价信息价格时，按施工期对应的造价信息价格与投标报价期对应的造价信息价格计算其变化幅度；当投标报价时的单价高于投标报价期对应的造价信息价格时，按施工期对应的造价信息价格与投标报价时的价格计算其变化幅度。</w:t>
      </w:r>
    </w:p>
    <w:p w14:paraId="4042DE26">
      <w:pPr>
        <w:spacing w:line="400" w:lineRule="exact"/>
        <w:ind w:firstLine="420" w:firstLineChars="200"/>
        <w:rPr>
          <w:u w:val="single"/>
        </w:rPr>
      </w:pPr>
      <w:r>
        <w:rPr>
          <w:u w:val="single"/>
        </w:rPr>
        <w:t>变化幅度的确定：</w:t>
      </w:r>
    </w:p>
    <w:p w14:paraId="60511EE9">
      <w:pPr>
        <w:spacing w:line="400" w:lineRule="exact"/>
        <w:ind w:firstLine="420" w:firstLineChars="200"/>
        <w:rPr>
          <w:u w:val="single"/>
        </w:rPr>
      </w:pPr>
      <w:r>
        <w:rPr>
          <w:u w:val="single"/>
        </w:rPr>
        <w:t>当报价≤基价时，变化幅度=（施工期价-基价）/基价。</w:t>
      </w:r>
    </w:p>
    <w:p w14:paraId="231BB8F2">
      <w:pPr>
        <w:spacing w:line="400" w:lineRule="exact"/>
        <w:ind w:firstLine="420" w:firstLineChars="200"/>
        <w:rPr>
          <w:u w:val="single"/>
        </w:rPr>
      </w:pPr>
      <w:r>
        <w:rPr>
          <w:u w:val="single"/>
        </w:rPr>
        <w:t>当报价＞基价时，变化幅度=（施工期价-报价）/报价。</w:t>
      </w:r>
    </w:p>
    <w:p w14:paraId="7992EFC1">
      <w:pPr>
        <w:spacing w:line="400" w:lineRule="exact"/>
        <w:ind w:firstLine="420" w:firstLineChars="200"/>
        <w:rPr>
          <w:u w:val="single"/>
        </w:rPr>
      </w:pPr>
      <w:r>
        <w:rPr>
          <w:u w:val="single"/>
        </w:rPr>
        <w:t>注：以下关于“基价、施工期价、报价”的定义仅适用于本工程</w:t>
      </w:r>
    </w:p>
    <w:p w14:paraId="1504C922">
      <w:pPr>
        <w:spacing w:line="400" w:lineRule="exact"/>
        <w:ind w:firstLine="422" w:firstLineChars="200"/>
        <w:rPr>
          <w:u w:val="single"/>
        </w:rPr>
      </w:pPr>
      <w:r>
        <w:rPr>
          <w:b/>
          <w:u w:val="single"/>
        </w:rPr>
        <w:t>基价</w:t>
      </w:r>
      <w:r>
        <w:rPr>
          <w:u w:val="single"/>
        </w:rPr>
        <w:t>：指开标之日前一月的北京市建设工程造价管理机构发布的《北京工程造价信息》中的市场信息价格。</w:t>
      </w:r>
    </w:p>
    <w:p w14:paraId="73A4E74E">
      <w:pPr>
        <w:spacing w:line="400" w:lineRule="exact"/>
        <w:ind w:firstLine="422" w:firstLineChars="200"/>
      </w:pPr>
      <w:r>
        <w:rPr>
          <w:b/>
          <w:u w:val="single"/>
        </w:rPr>
        <w:t>报价</w:t>
      </w:r>
      <w:r>
        <w:rPr>
          <w:u w:val="single"/>
        </w:rPr>
        <w:t>：指投标人的投标文件中“工程量清单综合单价分析表”中的报价。</w:t>
      </w:r>
    </w:p>
    <w:p w14:paraId="184A7FE4">
      <w:pPr>
        <w:spacing w:line="400" w:lineRule="exact"/>
        <w:ind w:firstLine="422" w:firstLineChars="200"/>
        <w:rPr>
          <w:u w:val="single"/>
        </w:rPr>
      </w:pPr>
      <w:r>
        <w:rPr>
          <w:b/>
          <w:u w:val="single"/>
        </w:rPr>
        <w:t>(3) 各项合同风险范围之外物价波动引起的价格调整方法</w:t>
      </w:r>
    </w:p>
    <w:p w14:paraId="7D191EAC">
      <w:pPr>
        <w:spacing w:line="400" w:lineRule="exact"/>
        <w:ind w:firstLine="420" w:firstLineChars="200"/>
        <w:rPr>
          <w:u w:val="single"/>
        </w:rPr>
      </w:pPr>
      <w:r>
        <w:rPr>
          <w:u w:val="single"/>
        </w:rPr>
        <w:t>a）</w:t>
      </w:r>
      <w:r>
        <w:rPr>
          <w:b/>
          <w:u w:val="single"/>
        </w:rPr>
        <w:t>人工、预拌混凝土、钢筋、木材、电线、电缆</w:t>
      </w:r>
      <w:r>
        <w:rPr>
          <w:u w:val="single"/>
        </w:rPr>
        <w:t>价格的变化幅度大于±5%（含±5%）时，应当计算超过部分的价差，其价差由发包人承担或受益，差价仅计取税金。</w:t>
      </w:r>
    </w:p>
    <w:p w14:paraId="47BAAC50">
      <w:pPr>
        <w:spacing w:line="400" w:lineRule="exact"/>
        <w:ind w:firstLine="420" w:firstLineChars="200"/>
        <w:rPr>
          <w:u w:val="single"/>
        </w:rPr>
      </w:pPr>
      <w:r>
        <w:rPr>
          <w:u w:val="single"/>
        </w:rPr>
        <w:t>b) 如合同规定的调整情况发生，承包人应当于每月15日将调整原因、金额以书面形式通知发包人及监理人，经监理人、发包人确认调整金额后将其作为追加合同价款，与工程进度同期同比例支付；发包人收到承包人通知后14天内未予确认也未提出异议的，视为已经同意该项调整</w:t>
      </w:r>
      <w:r>
        <w:rPr>
          <w:rFonts w:hint="eastAsia"/>
          <w:u w:val="single"/>
        </w:rPr>
        <w:t>；</w:t>
      </w:r>
      <w:r>
        <w:rPr>
          <w:u w:val="single"/>
        </w:rPr>
        <w:t>如材料价格变化大于</w:t>
      </w:r>
      <w:r>
        <w:rPr>
          <w:rFonts w:hint="eastAsia"/>
          <w:u w:val="single"/>
        </w:rPr>
        <w:t>-</w:t>
      </w:r>
      <w:r>
        <w:rPr>
          <w:u w:val="single"/>
        </w:rPr>
        <w:t>5</w:t>
      </w:r>
      <w:r>
        <w:rPr>
          <w:rFonts w:hint="eastAsia"/>
          <w:u w:val="single"/>
        </w:rPr>
        <w:t>%</w:t>
      </w:r>
      <w:r>
        <w:rPr>
          <w:rFonts w:hint="eastAsia" w:ascii="Calibri" w:hAnsi="Calibri"/>
          <w:u w:val="single"/>
        </w:rPr>
        <w:t>时，由发包人或发包人责成承包人计算调整金额</w:t>
      </w:r>
      <w:r>
        <w:rPr>
          <w:rFonts w:hint="eastAsia"/>
          <w:u w:val="single"/>
        </w:rPr>
        <w:t>，</w:t>
      </w:r>
      <w:r>
        <w:rPr>
          <w:u w:val="single"/>
        </w:rPr>
        <w:t>承包人</w:t>
      </w:r>
      <w:r>
        <w:rPr>
          <w:rFonts w:hint="eastAsia"/>
          <w:u w:val="single"/>
        </w:rPr>
        <w:t>收到</w:t>
      </w:r>
      <w:r>
        <w:rPr>
          <w:u w:val="single"/>
        </w:rPr>
        <w:t>通知后14天内未予确认也未提出异议的，视为已经同意该项调整。</w:t>
      </w:r>
    </w:p>
    <w:p w14:paraId="5F714E67">
      <w:pPr>
        <w:spacing w:line="400" w:lineRule="exact"/>
        <w:ind w:firstLine="420" w:firstLineChars="200"/>
        <w:rPr>
          <w:u w:val="single"/>
        </w:rPr>
      </w:pPr>
      <w:r>
        <w:rPr>
          <w:u w:val="single"/>
        </w:rPr>
        <w:t>c）当合同规定的调整合同价款的调整情况发生后，承包人未在规定的时间内通知发包人、监理人，或者未在规定的时间内提出调整报告，发包人可以根据有关资料，决定是否调整和调整的金额，并经监理人书面通知承包人。</w:t>
      </w:r>
    </w:p>
    <w:p w14:paraId="18D9C15A">
      <w:pPr>
        <w:spacing w:line="400" w:lineRule="exact"/>
        <w:ind w:firstLine="420" w:firstLineChars="200"/>
        <w:rPr>
          <w:u w:val="single"/>
        </w:rPr>
      </w:pPr>
      <w:r>
        <w:rPr>
          <w:u w:val="single"/>
        </w:rPr>
        <w:t>d）工程量按调整期内完成的相应工程量计算。</w:t>
      </w:r>
    </w:p>
    <w:p w14:paraId="74DB5DCD">
      <w:pPr>
        <w:spacing w:line="400" w:lineRule="exact"/>
        <w:ind w:firstLine="420" w:firstLineChars="200"/>
      </w:pPr>
      <w:r>
        <w:t>其他约定：</w:t>
      </w:r>
    </w:p>
    <w:p w14:paraId="1EAA85F3">
      <w:pPr>
        <w:spacing w:line="400" w:lineRule="exact"/>
        <w:ind w:firstLine="420" w:firstLineChars="200"/>
        <w:rPr>
          <w:u w:val="single"/>
        </w:rPr>
      </w:pPr>
      <w:r>
        <w:rPr>
          <w:u w:val="single"/>
        </w:rPr>
        <w:t>1)在发、承包双方履行合同过程中，当国家的法律、法规、规章及政策发生变化，国家或省级、行业建设主管部门或其授权的工程造价管理机构据此发布工程造价调整文件，工程价款应当进行调整。</w:t>
      </w:r>
    </w:p>
    <w:p w14:paraId="0EE17427">
      <w:pPr>
        <w:spacing w:line="400" w:lineRule="exact"/>
        <w:ind w:firstLine="420" w:firstLineChars="200"/>
        <w:rPr>
          <w:u w:val="single"/>
        </w:rPr>
      </w:pPr>
      <w:r>
        <w:rPr>
          <w:u w:val="single"/>
        </w:rPr>
        <w:t>2)当施工中施工图纸(含设计变更)与工程量清单项目特征描述不一致时，发、承包双方按实际施工的项目特征重新确定综合单价。</w:t>
      </w:r>
    </w:p>
    <w:p w14:paraId="7A31AA78">
      <w:pPr>
        <w:spacing w:line="400" w:lineRule="exact"/>
        <w:ind w:firstLine="420" w:firstLineChars="200"/>
        <w:rPr>
          <w:u w:val="single"/>
        </w:rPr>
      </w:pPr>
      <w:r>
        <w:rPr>
          <w:u w:val="single"/>
        </w:rPr>
        <w:t>3）因地质条件引起施工工艺的改变，按照新工艺进行调整。</w:t>
      </w:r>
    </w:p>
    <w:p w14:paraId="5E65C789">
      <w:pPr>
        <w:spacing w:line="400" w:lineRule="exact"/>
        <w:ind w:firstLine="420" w:firstLineChars="200"/>
        <w:rPr>
          <w:u w:val="single"/>
        </w:rPr>
      </w:pPr>
      <w:r>
        <w:rPr>
          <w:u w:val="single"/>
        </w:rPr>
        <w:t>4）发包人不接受承包人基于任何工作子目单价在投标时的组价不当（包括但不限于工作子目对应的工作内容理解的偏差、工料机消耗量水平的确定、生产要素市场价格的判断、取费等）或任何其他差错而主张的任何损失或索赔。</w:t>
      </w:r>
    </w:p>
    <w:p w14:paraId="01A4BC0C">
      <w:pPr>
        <w:pStyle w:val="548"/>
        <w:spacing w:before="120" w:after="120"/>
        <w:rPr>
          <w:rFonts w:cs="仿宋_GB2312"/>
        </w:rPr>
      </w:pPr>
      <w:bookmarkStart w:id="2265" w:name="_Toc142385748"/>
      <w:bookmarkStart w:id="2266" w:name="_Toc132619209"/>
      <w:bookmarkStart w:id="2267" w:name="_Toc448758562"/>
      <w:bookmarkStart w:id="2268" w:name="_Toc448758462"/>
      <w:bookmarkStart w:id="2269" w:name="_Toc152042497"/>
      <w:bookmarkStart w:id="2270" w:name="_Toc144974689"/>
      <w:bookmarkStart w:id="2271" w:name="_Toc442365654"/>
      <w:bookmarkStart w:id="2272" w:name="_Toc179632736"/>
      <w:bookmarkStart w:id="2273" w:name="_Toc469660057"/>
      <w:bookmarkStart w:id="2274" w:name="_Toc129798460"/>
      <w:bookmarkStart w:id="2275" w:name="_Toc342296481"/>
      <w:bookmarkStart w:id="2276" w:name="_Toc109914525"/>
      <w:bookmarkStart w:id="2277" w:name="_Toc241459722"/>
      <w:bookmarkStart w:id="2278" w:name="_Toc152045718"/>
      <w:r>
        <w:rPr>
          <w:rFonts w:cs="仿宋_GB2312"/>
        </w:rPr>
        <w:t>17. 计量与支付</w:t>
      </w:r>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14:paraId="27CED3B4">
      <w:pPr>
        <w:pStyle w:val="512"/>
        <w:spacing w:before="120" w:after="120"/>
      </w:pPr>
      <w:bookmarkStart w:id="2279" w:name="_Toc342296482"/>
      <w:bookmarkStart w:id="2280" w:name="_Toc144974690"/>
      <w:bookmarkStart w:id="2281" w:name="_Toc109914526"/>
      <w:bookmarkStart w:id="2282" w:name="_Toc152042498"/>
      <w:bookmarkStart w:id="2283" w:name="_Toc241459723"/>
      <w:bookmarkStart w:id="2284" w:name="_Toc142385749"/>
      <w:bookmarkStart w:id="2285" w:name="_Toc129798461"/>
      <w:bookmarkStart w:id="2286" w:name="_Toc179632737"/>
      <w:bookmarkStart w:id="2287" w:name="_Toc152045719"/>
      <w:bookmarkStart w:id="2288" w:name="_Toc132619210"/>
      <w:r>
        <w:t>17.1 计量</w:t>
      </w:r>
      <w:bookmarkEnd w:id="2279"/>
      <w:bookmarkEnd w:id="2280"/>
      <w:bookmarkEnd w:id="2281"/>
      <w:bookmarkEnd w:id="2282"/>
      <w:bookmarkEnd w:id="2283"/>
      <w:bookmarkEnd w:id="2284"/>
      <w:bookmarkEnd w:id="2285"/>
      <w:bookmarkEnd w:id="2286"/>
      <w:bookmarkEnd w:id="2287"/>
      <w:bookmarkEnd w:id="2288"/>
    </w:p>
    <w:p w14:paraId="449C74D6">
      <w:pPr>
        <w:spacing w:line="400" w:lineRule="exact"/>
        <w:ind w:firstLine="420" w:firstLineChars="200"/>
        <w:rPr>
          <w:rFonts w:eastAsia="Cambria"/>
        </w:rPr>
      </w:pPr>
      <w:r>
        <w:rPr>
          <w:rFonts w:eastAsia="Cambria"/>
        </w:rPr>
        <w:t xml:space="preserve">17.1.2 </w:t>
      </w:r>
      <w:r>
        <w:rPr>
          <w:rFonts w:hint="eastAsia" w:ascii="宋体" w:hAnsi="宋体" w:cs="宋体"/>
        </w:rPr>
        <w:t>计量方法</w:t>
      </w:r>
    </w:p>
    <w:p w14:paraId="413B0FEB">
      <w:pPr>
        <w:spacing w:line="400" w:lineRule="exact"/>
        <w:ind w:firstLine="420" w:firstLineChars="200"/>
        <w:rPr>
          <w:szCs w:val="21"/>
        </w:rPr>
      </w:pPr>
      <w:r>
        <w:rPr>
          <w:szCs w:val="21"/>
        </w:rPr>
        <w:t>工程量计算规则执行国家标准《建设工程工程量清单计价规范》（GB50500</w:t>
      </w:r>
      <w:r>
        <w:rPr>
          <w:rFonts w:hint="eastAsia"/>
          <w:szCs w:val="21"/>
        </w:rPr>
        <w:t>-2016</w:t>
      </w:r>
      <w:r>
        <w:rPr>
          <w:szCs w:val="21"/>
        </w:rPr>
        <w:t>）或其适用的修订版本。除合同另有约定外，承包人实际完成的工程量按约定的工程量计算规则和有合同约束力的图纸进行计量。</w:t>
      </w:r>
    </w:p>
    <w:p w14:paraId="11DE882F">
      <w:pPr>
        <w:spacing w:line="400" w:lineRule="exact"/>
        <w:ind w:firstLine="420" w:firstLineChars="200"/>
        <w:rPr>
          <w:rFonts w:eastAsia="Cambria"/>
        </w:rPr>
      </w:pPr>
      <w:r>
        <w:rPr>
          <w:rFonts w:eastAsia="Cambria"/>
        </w:rPr>
        <w:t xml:space="preserve">17.1.3 </w:t>
      </w:r>
      <w:r>
        <w:rPr>
          <w:rFonts w:hint="eastAsia" w:ascii="宋体" w:hAnsi="宋体" w:cs="宋体"/>
        </w:rPr>
        <w:t>计量周期</w:t>
      </w:r>
    </w:p>
    <w:p w14:paraId="211B3670">
      <w:pPr>
        <w:spacing w:line="400" w:lineRule="exact"/>
        <w:ind w:firstLine="420" w:firstLineChars="200"/>
        <w:rPr>
          <w:szCs w:val="21"/>
        </w:rPr>
      </w:pPr>
      <w:r>
        <w:t>（1）</w:t>
      </w:r>
      <w:r>
        <w:rPr>
          <w:szCs w:val="21"/>
        </w:rPr>
        <w:t>本合同的计量周期为月，每月</w:t>
      </w:r>
      <w:r>
        <w:rPr>
          <w:szCs w:val="21"/>
          <w:u w:val="single"/>
        </w:rPr>
        <w:t xml:space="preserve"> 25 </w:t>
      </w:r>
      <w:r>
        <w:rPr>
          <w:szCs w:val="21"/>
        </w:rPr>
        <w:t>日为当月计量截止日期（不含当日）和下月计量起始日期（含当日）。</w:t>
      </w:r>
    </w:p>
    <w:p w14:paraId="2C04257B">
      <w:pPr>
        <w:spacing w:line="400" w:lineRule="exact"/>
        <w:ind w:firstLine="420" w:firstLineChars="200"/>
      </w:pPr>
      <w:r>
        <w:t>（2）本合同</w:t>
      </w:r>
      <w:r>
        <w:rPr>
          <w:u w:val="single"/>
        </w:rPr>
        <w:t xml:space="preserve"> 采用</w:t>
      </w:r>
      <w:r>
        <w:rPr>
          <w:rFonts w:hint="eastAsia"/>
          <w:u w:val="single"/>
        </w:rPr>
        <w:t>固定</w:t>
      </w:r>
      <w:r>
        <w:rPr>
          <w:u w:val="single"/>
        </w:rPr>
        <w:t>总价合同形式</w:t>
      </w:r>
      <w:r>
        <w:rPr>
          <w:rFonts w:hint="eastAsia"/>
          <w:u w:val="single"/>
        </w:rPr>
        <w:t xml:space="preserve"> </w:t>
      </w:r>
      <w:r>
        <w:t>通用合同条款本项约定的单价子目计量。</w:t>
      </w:r>
      <w:r>
        <w:rPr>
          <w:szCs w:val="21"/>
        </w:rPr>
        <w:t>总价子目计量方法按专用合同条款第</w:t>
      </w:r>
      <w:r>
        <w:t>17.1.5</w:t>
      </w:r>
      <w:r>
        <w:rPr>
          <w:szCs w:val="21"/>
        </w:rPr>
        <w:t>项总价子目的计量--</w:t>
      </w:r>
      <w:r>
        <w:rPr>
          <w:szCs w:val="21"/>
          <w:u w:val="single"/>
        </w:rPr>
        <w:t>支付分解报告</w:t>
      </w:r>
      <w:r>
        <w:rPr>
          <w:szCs w:val="21"/>
        </w:rPr>
        <w:t>（支付分解报告/按实际完成工程量计量）</w:t>
      </w:r>
      <w:r>
        <w:t>。</w:t>
      </w:r>
      <w:r>
        <w:rPr>
          <w:rFonts w:hint="eastAsia"/>
        </w:rPr>
        <w:t>包括但不限于完成设计图纸及招标清单内所含内容，单项清单项工程量增加6%以内不作调整，减项及工程量减少按实调减，超出图纸及清单内增加工程量6%以内不作调整，减项及工程量减少按实调减。</w:t>
      </w:r>
    </w:p>
    <w:p w14:paraId="361E9B67">
      <w:pPr>
        <w:spacing w:line="400" w:lineRule="exact"/>
        <w:ind w:firstLine="420" w:firstLineChars="200"/>
        <w:rPr>
          <w:rFonts w:eastAsia="Cambria"/>
        </w:rPr>
      </w:pPr>
      <w:r>
        <w:rPr>
          <w:rFonts w:eastAsia="Cambria"/>
        </w:rPr>
        <w:t xml:space="preserve">17.1.5 </w:t>
      </w:r>
      <w:r>
        <w:rPr>
          <w:rFonts w:hint="eastAsia" w:ascii="宋体" w:hAnsi="宋体" w:cs="宋体"/>
        </w:rPr>
        <w:t>总价子目的计量</w:t>
      </w:r>
      <w:r>
        <w:rPr>
          <w:rFonts w:eastAsia="Cambria"/>
        </w:rPr>
        <w:t>—</w:t>
      </w:r>
      <w:r>
        <w:rPr>
          <w:rFonts w:hint="eastAsia" w:ascii="宋体" w:hAnsi="宋体" w:cs="宋体"/>
        </w:rPr>
        <w:t>支付分解报告</w:t>
      </w:r>
    </w:p>
    <w:p w14:paraId="4F3C8F57">
      <w:pPr>
        <w:spacing w:line="400" w:lineRule="exact"/>
        <w:ind w:firstLine="420" w:firstLineChars="200"/>
        <w:rPr>
          <w:szCs w:val="21"/>
        </w:rPr>
      </w:pPr>
      <w:r>
        <w:rPr>
          <w:szCs w:val="21"/>
        </w:rPr>
        <w:t>总价子目按照有合同约束力的支付分解表支付。承包人应根据合同条款第10条约定的合同进度计划和总价子目的总价构成、费用性质、计划发生时间和相应工作量等因素对各个总价子目的总价按月进行分解，形成支付分解报告。承包人应当在收到经过监理人批复的合同进度计划后7天内，将支付分解报告以及形成支付分解报告的分项计量和总价分解等支持性资料报监理人审批，监理人应当在收到承包人报送的支付分解报告后7天内给予批复或提出修改意见，经监理人批准的支付分解报告为有合同约束力的支付分解表。支付分解表应根据合同条款第10.2款约定的修订合同进度计划进行修正，修正的程序和期限应当依照本项上述约定，经修正的支付分解表为有合同约束力的支付分解表。</w:t>
      </w:r>
    </w:p>
    <w:p w14:paraId="6153DD09">
      <w:pPr>
        <w:spacing w:line="400" w:lineRule="exact"/>
        <w:ind w:firstLine="420" w:firstLineChars="200"/>
      </w:pPr>
      <w:r>
        <w:t>（1）总价</w:t>
      </w:r>
      <w:r>
        <w:rPr>
          <w:szCs w:val="21"/>
        </w:rPr>
        <w:t>子目</w:t>
      </w:r>
      <w:r>
        <w:t>的价格调整方法：</w:t>
      </w:r>
      <w:r>
        <w:rPr>
          <w:rFonts w:hint="eastAsia"/>
          <w:u w:val="single"/>
        </w:rPr>
        <w:t>因非承包人原因引起已标价工程量清单中某个子目工程量变化幅度超过 15%(不含)且承包人或监理人认为该变化引起相关措施项目发生变化的承包人或监理人要求承包人针对措施项目的变化提交施工调整方案及价格调整报告,监理人批准后确定需调整的措施项目价款</w:t>
      </w:r>
      <w:r>
        <w:t>。</w:t>
      </w:r>
    </w:p>
    <w:p w14:paraId="695399B4">
      <w:pPr>
        <w:spacing w:line="400" w:lineRule="exact"/>
        <w:ind w:firstLine="420" w:firstLineChars="200"/>
      </w:pPr>
      <w:r>
        <w:t>（2）列入每月进度付款申请单中各总价</w:t>
      </w:r>
      <w:r>
        <w:rPr>
          <w:szCs w:val="21"/>
        </w:rPr>
        <w:t>子目</w:t>
      </w:r>
      <w:r>
        <w:t>的价值为有合同约束力的支付分解表中对应月份的总价</w:t>
      </w:r>
      <w:r>
        <w:rPr>
          <w:szCs w:val="21"/>
        </w:rPr>
        <w:t>子目</w:t>
      </w:r>
      <w:r>
        <w:t>总价值。</w:t>
      </w:r>
    </w:p>
    <w:p w14:paraId="473C7CC3">
      <w:pPr>
        <w:spacing w:line="400" w:lineRule="exact"/>
        <w:ind w:firstLine="420" w:firstLineChars="200"/>
      </w:pPr>
      <w:r>
        <w:t>（3）监理人根据有合同约束力的支付分解表复核列入每月进度付款申请单中的总价</w:t>
      </w:r>
      <w:r>
        <w:rPr>
          <w:szCs w:val="21"/>
        </w:rPr>
        <w:t>子目</w:t>
      </w:r>
      <w:r>
        <w:t>的总价值。</w:t>
      </w:r>
    </w:p>
    <w:p w14:paraId="768B0DAB">
      <w:pPr>
        <w:spacing w:line="400" w:lineRule="exact"/>
        <w:ind w:firstLine="420" w:firstLineChars="200"/>
      </w:pPr>
      <w:r>
        <w:t>（4）除按照第15条约定的变更外，在竣工结算时总价</w:t>
      </w:r>
      <w:r>
        <w:rPr>
          <w:szCs w:val="21"/>
        </w:rPr>
        <w:t>子目</w:t>
      </w:r>
      <w:r>
        <w:t>的工程量不应当重新计量，签约合同价所基于的工程量即是用于竣工结算的最终工程量。</w:t>
      </w:r>
    </w:p>
    <w:p w14:paraId="4F98483D">
      <w:pPr>
        <w:spacing w:line="400" w:lineRule="exact"/>
        <w:ind w:firstLine="420" w:firstLineChars="200"/>
        <w:rPr>
          <w:rFonts w:eastAsia="Cambria"/>
        </w:rPr>
      </w:pPr>
      <w:bookmarkStart w:id="2289" w:name="_Toc179632738"/>
      <w:bookmarkStart w:id="2290" w:name="_Toc144974691"/>
      <w:bookmarkStart w:id="2291" w:name="_Toc152042499"/>
      <w:bookmarkStart w:id="2292" w:name="_Toc152045720"/>
      <w:r>
        <w:rPr>
          <w:rFonts w:eastAsia="Cambria"/>
        </w:rPr>
        <w:t xml:space="preserve">17.1.5 </w:t>
      </w:r>
      <w:r>
        <w:rPr>
          <w:rFonts w:hint="eastAsia" w:ascii="宋体" w:hAnsi="宋体" w:cs="宋体"/>
        </w:rPr>
        <w:t>总价</w:t>
      </w:r>
      <w:r>
        <w:rPr>
          <w:szCs w:val="21"/>
        </w:rPr>
        <w:t>子目</w:t>
      </w:r>
      <w:r>
        <w:rPr>
          <w:rFonts w:hint="eastAsia" w:ascii="宋体" w:hAnsi="宋体" w:cs="宋体"/>
        </w:rPr>
        <w:t>的计量</w:t>
      </w:r>
      <w:r>
        <w:rPr>
          <w:rFonts w:eastAsia="Cambria"/>
        </w:rPr>
        <w:t>--</w:t>
      </w:r>
      <w:r>
        <w:rPr>
          <w:rFonts w:hint="eastAsia" w:ascii="宋体" w:hAnsi="宋体" w:cs="宋体"/>
        </w:rPr>
        <w:t>按实际完成工程量计量</w:t>
      </w:r>
    </w:p>
    <w:p w14:paraId="20183463">
      <w:pPr>
        <w:spacing w:line="400" w:lineRule="exact"/>
        <w:ind w:firstLine="420" w:firstLineChars="200"/>
      </w:pPr>
      <w:r>
        <w:t>（1）总价</w:t>
      </w:r>
      <w:r>
        <w:rPr>
          <w:szCs w:val="21"/>
        </w:rPr>
        <w:t>子目</w:t>
      </w:r>
      <w:r>
        <w:t>的价格调整方法：</w:t>
      </w:r>
      <w:r>
        <w:rPr>
          <w:u w:val="single"/>
        </w:rPr>
        <w:t>因非承包人原因引起已标价工程量清单中某个子目工程量变化，且承包人或监理人认为该变化引起相关措施项目发生变化的，承包人或监理人要求承包人针对措施项目的变化提交施工调整方案及价格调整报告，监理人批准后确定需调整的措施项目价款</w:t>
      </w:r>
      <w:r>
        <w:t>。总价</w:t>
      </w:r>
      <w:r>
        <w:rPr>
          <w:szCs w:val="21"/>
        </w:rPr>
        <w:t>子目</w:t>
      </w:r>
      <w:r>
        <w:t>的计量和支付应以总价为基础，对承包人实际完成的工程量进行计量，是进行工程目标管理和控制进度款支付的依据。</w:t>
      </w:r>
    </w:p>
    <w:p w14:paraId="5B9E86D7">
      <w:pPr>
        <w:spacing w:line="400" w:lineRule="exact"/>
        <w:ind w:firstLine="420" w:firstLineChars="200"/>
      </w:pPr>
      <w:r>
        <w:t>（2）承包人在专用合同条款第17.1.3（1）目约定的每月计量截止日期后，对已完成的分部分项工程和单价措施项目的</w:t>
      </w:r>
      <w:r>
        <w:rPr>
          <w:szCs w:val="21"/>
        </w:rPr>
        <w:t>子目</w:t>
      </w:r>
      <w:r>
        <w:t>，按照专用合同条款第17.1.2项约定的计量方法进行计量，对已完成的总价措施项目的相关</w:t>
      </w:r>
      <w:r>
        <w:rPr>
          <w:szCs w:val="21"/>
        </w:rPr>
        <w:t>子目，按其总价构成、费用性质和实际发生比例进行计量，向监理人提交进度付款申请单、已完成工程量报表和有关计量资料</w:t>
      </w:r>
      <w:r>
        <w:t>。</w:t>
      </w:r>
    </w:p>
    <w:p w14:paraId="6BA7CDE1">
      <w:pPr>
        <w:spacing w:line="400" w:lineRule="exact"/>
        <w:ind w:firstLine="420" w:firstLineChars="200"/>
      </w:pPr>
      <w:r>
        <w:t>（3）监理人对承包人提交的工程量报表进行复核，以确定实际完成的工程量。对数量有异议的，可要求承包人进行共同复核。承包人应协助监理人进行复核并按监理人要求提供补充计量资料。承包人未按监理人要求参加复核，监理人复核或修正的工程量视为承包人实际完成的工程量。</w:t>
      </w:r>
    </w:p>
    <w:p w14:paraId="1F922089">
      <w:pPr>
        <w:spacing w:line="400" w:lineRule="exact"/>
        <w:ind w:firstLine="420" w:firstLineChars="200"/>
      </w:pPr>
      <w:r>
        <w:t>（4）监理人应在收到承包人提交的工程量报表后的7天内进行复核，监理人未在约定时间内复核的，承包人提交的工程量报表中的工程量视为承包人实际完成的工程量，据此计算工程价款。</w:t>
      </w:r>
    </w:p>
    <w:p w14:paraId="43F6DB8C">
      <w:pPr>
        <w:spacing w:line="400" w:lineRule="exact"/>
        <w:ind w:firstLine="420" w:firstLineChars="200"/>
      </w:pPr>
      <w:r>
        <w:t>（5）除按照第15条约定的变更外，在竣工结算时总价</w:t>
      </w:r>
      <w:r>
        <w:rPr>
          <w:szCs w:val="21"/>
        </w:rPr>
        <w:t>子目</w:t>
      </w:r>
      <w:r>
        <w:t>的工程量不应当重新计量，签约合同价所基于的工程量即是用于竣工结算的最终工程量。</w:t>
      </w:r>
    </w:p>
    <w:p w14:paraId="7051510A">
      <w:pPr>
        <w:pStyle w:val="512"/>
        <w:spacing w:before="120" w:after="120"/>
      </w:pPr>
      <w:bookmarkStart w:id="2293" w:name="_Toc142385750"/>
      <w:bookmarkStart w:id="2294" w:name="_Toc241459724"/>
      <w:bookmarkStart w:id="2295" w:name="_Toc109914527"/>
      <w:bookmarkStart w:id="2296" w:name="_Toc342296483"/>
      <w:bookmarkStart w:id="2297" w:name="_Toc132619211"/>
      <w:bookmarkStart w:id="2298" w:name="_Toc129798462"/>
      <w:r>
        <w:t>17.2 预付款</w:t>
      </w:r>
      <w:bookmarkEnd w:id="2289"/>
      <w:bookmarkEnd w:id="2290"/>
      <w:bookmarkEnd w:id="2291"/>
      <w:bookmarkEnd w:id="2292"/>
      <w:bookmarkEnd w:id="2293"/>
      <w:bookmarkEnd w:id="2294"/>
      <w:bookmarkEnd w:id="2295"/>
      <w:bookmarkEnd w:id="2296"/>
      <w:bookmarkEnd w:id="2297"/>
      <w:bookmarkEnd w:id="2298"/>
    </w:p>
    <w:p w14:paraId="7A9EDBE6">
      <w:pPr>
        <w:spacing w:line="400" w:lineRule="exact"/>
        <w:ind w:firstLine="420" w:firstLineChars="200"/>
        <w:rPr>
          <w:rFonts w:eastAsia="Cambria"/>
        </w:rPr>
      </w:pPr>
      <w:r>
        <w:rPr>
          <w:rFonts w:eastAsia="Cambria"/>
        </w:rPr>
        <w:t xml:space="preserve">17.2.1 </w:t>
      </w:r>
      <w:r>
        <w:rPr>
          <w:rFonts w:hint="eastAsia" w:ascii="宋体" w:hAnsi="宋体" w:cs="宋体"/>
        </w:rPr>
        <w:t>预付款</w:t>
      </w:r>
    </w:p>
    <w:p w14:paraId="3B66FCB8">
      <w:pPr>
        <w:spacing w:line="400" w:lineRule="exact"/>
        <w:ind w:firstLine="420" w:firstLineChars="200"/>
        <w:rPr>
          <w:rFonts w:eastAsia="Cambria"/>
          <w:szCs w:val="21"/>
        </w:rPr>
      </w:pPr>
      <w:r>
        <w:rPr>
          <w:rFonts w:hint="eastAsia" w:ascii="宋体" w:hAnsi="宋体" w:cs="宋体"/>
          <w:szCs w:val="21"/>
        </w:rPr>
        <w:t>（</w:t>
      </w:r>
      <w:r>
        <w:rPr>
          <w:rFonts w:eastAsia="Cambria"/>
          <w:szCs w:val="21"/>
        </w:rPr>
        <w:t>1</w:t>
      </w:r>
      <w:r>
        <w:rPr>
          <w:rFonts w:hint="eastAsia" w:ascii="宋体" w:hAnsi="宋体" w:cs="宋体"/>
          <w:szCs w:val="21"/>
        </w:rPr>
        <w:t>）预付款额度</w:t>
      </w:r>
    </w:p>
    <w:p w14:paraId="78F9E38D">
      <w:pPr>
        <w:spacing w:line="400" w:lineRule="exact"/>
        <w:ind w:firstLine="420" w:firstLineChars="200"/>
        <w:rPr>
          <w:szCs w:val="21"/>
        </w:rPr>
      </w:pPr>
      <w:r>
        <w:rPr>
          <w:rFonts w:hint="eastAsia"/>
          <w:szCs w:val="21"/>
        </w:rPr>
        <w:t>预付款额度：</w:t>
      </w:r>
      <w:r>
        <w:rPr>
          <w:rFonts w:hint="eastAsia"/>
          <w:szCs w:val="21"/>
          <w:u w:val="single"/>
        </w:rPr>
        <w:t>合同额扣除暂列金（含税）后的30%</w:t>
      </w:r>
    </w:p>
    <w:p w14:paraId="259B87B8">
      <w:pPr>
        <w:spacing w:line="400" w:lineRule="exact"/>
        <w:ind w:firstLine="420" w:firstLineChars="200"/>
        <w:rPr>
          <w:szCs w:val="21"/>
        </w:rPr>
      </w:pPr>
      <w:r>
        <w:rPr>
          <w:rFonts w:hint="eastAsia"/>
          <w:szCs w:val="21"/>
        </w:rPr>
        <w:t>其中包含：</w:t>
      </w:r>
    </w:p>
    <w:p w14:paraId="5AB25C1C">
      <w:pPr>
        <w:spacing w:line="400" w:lineRule="exact"/>
        <w:ind w:firstLine="1470" w:firstLineChars="700"/>
        <w:rPr>
          <w:szCs w:val="21"/>
        </w:rPr>
      </w:pPr>
      <w:r>
        <w:rPr>
          <w:szCs w:val="21"/>
        </w:rPr>
        <w:t>措施项目部分预付款额度：</w:t>
      </w:r>
      <w:r>
        <w:rPr>
          <w:rFonts w:hint="eastAsia"/>
          <w:szCs w:val="21"/>
          <w:u w:val="single"/>
        </w:rPr>
        <w:t xml:space="preserve">(措施项目费-安全文明施工费)×30% </w:t>
      </w:r>
      <w:r>
        <w:rPr>
          <w:szCs w:val="21"/>
        </w:rPr>
        <w:t xml:space="preserve">。 </w:t>
      </w:r>
    </w:p>
    <w:p w14:paraId="078475D7">
      <w:pPr>
        <w:spacing w:line="400" w:lineRule="exact"/>
        <w:ind w:firstLine="420" w:firstLineChars="200"/>
        <w:rPr>
          <w:rFonts w:eastAsia="Cambria"/>
          <w:szCs w:val="21"/>
        </w:rPr>
      </w:pPr>
      <w:r>
        <w:rPr>
          <w:szCs w:val="21"/>
        </w:rPr>
        <w:t xml:space="preserve">  </w:t>
      </w:r>
      <w:r>
        <w:rPr>
          <w:rFonts w:hint="eastAsia"/>
          <w:szCs w:val="21"/>
        </w:rPr>
        <w:t xml:space="preserve">        </w:t>
      </w:r>
      <w:bookmarkStart w:id="2299" w:name="OLE_LINK12"/>
      <w:bookmarkStart w:id="2300" w:name="OLE_LINK18"/>
      <w:r>
        <w:rPr>
          <w:szCs w:val="21"/>
        </w:rPr>
        <w:t>安全文明施工费用预付额度</w:t>
      </w:r>
      <w:bookmarkEnd w:id="2299"/>
      <w:bookmarkEnd w:id="2300"/>
      <w:r>
        <w:rPr>
          <w:szCs w:val="21"/>
        </w:rPr>
        <w:t>：</w:t>
      </w:r>
      <w:r>
        <w:rPr>
          <w:rFonts w:hint="eastAsia"/>
          <w:szCs w:val="21"/>
          <w:u w:val="single"/>
        </w:rPr>
        <w:t>全部安全文明施工费总额的100%</w:t>
      </w:r>
      <w:r>
        <w:rPr>
          <w:szCs w:val="21"/>
        </w:rPr>
        <w:t>。</w:t>
      </w:r>
    </w:p>
    <w:p w14:paraId="7FA98082">
      <w:pPr>
        <w:spacing w:line="400" w:lineRule="exact"/>
        <w:ind w:firstLine="420" w:firstLineChars="200"/>
        <w:rPr>
          <w:szCs w:val="21"/>
        </w:rPr>
      </w:pPr>
      <w:r>
        <w:rPr>
          <w:szCs w:val="21"/>
        </w:rPr>
        <w:t>预付款预付办法：</w:t>
      </w:r>
      <w:r>
        <w:rPr>
          <w:rFonts w:hint="eastAsia"/>
          <w:szCs w:val="21"/>
          <w:u w:val="single"/>
        </w:rPr>
        <w:t>在收到承包人的正式发票后，发包人一次性向承包人支付预付款</w:t>
      </w:r>
      <w:r>
        <w:rPr>
          <w:szCs w:val="21"/>
        </w:rPr>
        <w:t xml:space="preserve">。                           </w:t>
      </w:r>
    </w:p>
    <w:p w14:paraId="24B3FF67">
      <w:pPr>
        <w:spacing w:line="400" w:lineRule="exact"/>
        <w:ind w:firstLine="420" w:firstLineChars="200"/>
        <w:rPr>
          <w:szCs w:val="21"/>
        </w:rPr>
      </w:pPr>
      <w:r>
        <w:rPr>
          <w:szCs w:val="21"/>
        </w:rPr>
        <w:t>预付款的支付时间：</w:t>
      </w:r>
      <w:r>
        <w:rPr>
          <w:rFonts w:hint="eastAsia"/>
          <w:szCs w:val="21"/>
          <w:u w:val="single"/>
        </w:rPr>
        <w:t>合同签订并收到承包人开具的正式的税务发票（普票或专票均可）后</w:t>
      </w:r>
      <w:r>
        <w:rPr>
          <w:szCs w:val="21"/>
        </w:rPr>
        <w:t>。</w:t>
      </w:r>
    </w:p>
    <w:p w14:paraId="2859D5C8">
      <w:pPr>
        <w:spacing w:line="400" w:lineRule="exact"/>
        <w:ind w:firstLine="420" w:firstLineChars="200"/>
        <w:rPr>
          <w:szCs w:val="21"/>
        </w:rPr>
      </w:pPr>
      <w:r>
        <w:rPr>
          <w:szCs w:val="21"/>
        </w:rPr>
        <w:t>安全文明施工费用的预付不受上述预付办法和支付时间约定的制约，发包人应当在不迟于通用合同条款第11.1.1项约定的开工日期前的7天内将安全文明施工费用的预付款一次性拨付给承包人。</w:t>
      </w:r>
    </w:p>
    <w:p w14:paraId="196B1873">
      <w:pPr>
        <w:spacing w:line="400" w:lineRule="exact"/>
        <w:ind w:firstLine="420" w:firstLineChars="200"/>
        <w:rPr>
          <w:szCs w:val="21"/>
        </w:rPr>
      </w:pPr>
      <w:r>
        <w:rPr>
          <w:szCs w:val="21"/>
        </w:rPr>
        <w:t>发包人逾期支付合同约定的预付款，除承担通用合同条款第22.2款约定的违约责任外，还应向承包人支付按专用合同条款第17.3.3(2)目约定的标准和方法计算的逾期付款违约金。</w:t>
      </w:r>
    </w:p>
    <w:p w14:paraId="3C95AF7F">
      <w:pPr>
        <w:spacing w:line="400" w:lineRule="exact"/>
        <w:ind w:firstLine="420" w:firstLineChars="200"/>
        <w:rPr>
          <w:rFonts w:eastAsia="Cambria"/>
        </w:rPr>
      </w:pPr>
      <w:r>
        <w:rPr>
          <w:rFonts w:eastAsia="Cambria"/>
        </w:rPr>
        <w:t xml:space="preserve">17.2.2 </w:t>
      </w:r>
      <w:r>
        <w:rPr>
          <w:rFonts w:hint="eastAsia" w:ascii="宋体" w:hAnsi="宋体" w:cs="宋体"/>
        </w:rPr>
        <w:t>预付款保函</w:t>
      </w:r>
    </w:p>
    <w:p w14:paraId="557A6C0F">
      <w:pPr>
        <w:spacing w:line="400" w:lineRule="exact"/>
        <w:ind w:firstLine="420" w:firstLineChars="200"/>
        <w:rPr>
          <w:szCs w:val="21"/>
          <w:u w:val="single"/>
        </w:rPr>
      </w:pPr>
      <w:r>
        <w:rPr>
          <w:szCs w:val="21"/>
        </w:rPr>
        <w:t>预付款保函的金额与预付款金额相同。预付款保函的提交时间：</w:t>
      </w:r>
      <w:r>
        <w:rPr>
          <w:szCs w:val="21"/>
          <w:u w:val="single"/>
        </w:rPr>
        <w:t xml:space="preserve">        /          </w:t>
      </w:r>
      <w:r>
        <w:rPr>
          <w:szCs w:val="21"/>
        </w:rPr>
        <w:t>。</w:t>
      </w:r>
    </w:p>
    <w:p w14:paraId="54905BE2">
      <w:pPr>
        <w:spacing w:line="400" w:lineRule="exact"/>
        <w:ind w:firstLine="420" w:firstLineChars="200"/>
      </w:pPr>
      <w:r>
        <w:rPr>
          <w:szCs w:val="21"/>
        </w:rPr>
        <w:t>预付款保函的担保金额应当根据预付款扣回的金额递减，保函条款中可以设立担保金额递减的条款。发包人在签认每一期进度付款证书后14天内，应当以书面方式通知出具预付款保函的担保人并附上一份经其签认的进度付款证书副本，担保人根据发包人的通知和经发包人签认的进度付款证书中累计扣回的预付款金额等额调减预付款保函的担保金额。自担保人收到发包人通知之日起，该经过递减的担保金额为预付款保函担保金额。</w:t>
      </w:r>
    </w:p>
    <w:p w14:paraId="4121BE2D">
      <w:pPr>
        <w:pStyle w:val="512"/>
        <w:spacing w:before="120" w:after="120"/>
      </w:pPr>
      <w:bookmarkStart w:id="2301" w:name="_Toc241459725"/>
      <w:bookmarkStart w:id="2302" w:name="_Toc129798463"/>
      <w:bookmarkStart w:id="2303" w:name="_Toc132619212"/>
      <w:bookmarkStart w:id="2304" w:name="_Toc142385751"/>
      <w:bookmarkStart w:id="2305" w:name="_Toc342296484"/>
      <w:bookmarkStart w:id="2306" w:name="_Toc144974692"/>
      <w:bookmarkStart w:id="2307" w:name="_Toc152045721"/>
      <w:bookmarkStart w:id="2308" w:name="_Toc109914528"/>
      <w:bookmarkStart w:id="2309" w:name="_Toc152042500"/>
      <w:bookmarkStart w:id="2310" w:name="_Toc179632739"/>
      <w:r>
        <w:t>17.3 工程进度付款</w:t>
      </w:r>
      <w:bookmarkEnd w:id="2301"/>
      <w:bookmarkEnd w:id="2302"/>
      <w:bookmarkEnd w:id="2303"/>
      <w:bookmarkEnd w:id="2304"/>
      <w:bookmarkEnd w:id="2305"/>
      <w:bookmarkEnd w:id="2306"/>
      <w:bookmarkEnd w:id="2307"/>
      <w:bookmarkEnd w:id="2308"/>
      <w:bookmarkEnd w:id="2309"/>
      <w:bookmarkEnd w:id="2310"/>
    </w:p>
    <w:p w14:paraId="46898C5B">
      <w:pPr>
        <w:spacing w:line="400" w:lineRule="exact"/>
        <w:ind w:firstLine="420" w:firstLineChars="200"/>
        <w:rPr>
          <w:rFonts w:eastAsia="Cambria"/>
          <w:szCs w:val="21"/>
        </w:rPr>
      </w:pPr>
      <w:r>
        <w:rPr>
          <w:rFonts w:eastAsia="Cambria"/>
          <w:szCs w:val="21"/>
        </w:rPr>
        <w:t>17.3.2</w:t>
      </w:r>
      <w:r>
        <w:rPr>
          <w:rFonts w:hint="eastAsia" w:ascii="宋体" w:hAnsi="宋体" w:cs="宋体"/>
          <w:szCs w:val="21"/>
        </w:rPr>
        <w:t>进度付款申请单</w:t>
      </w:r>
    </w:p>
    <w:p w14:paraId="25DA47E4">
      <w:pPr>
        <w:spacing w:line="400" w:lineRule="exact"/>
        <w:ind w:firstLine="420" w:firstLineChars="200"/>
        <w:rPr>
          <w:szCs w:val="21"/>
        </w:rPr>
      </w:pPr>
      <w:r>
        <w:rPr>
          <w:szCs w:val="21"/>
        </w:rPr>
        <w:t>进度付款申请单的份数：</w:t>
      </w:r>
      <w:r>
        <w:rPr>
          <w:szCs w:val="21"/>
          <w:u w:val="single"/>
        </w:rPr>
        <w:t>一式五份</w:t>
      </w:r>
      <w:r>
        <w:rPr>
          <w:szCs w:val="21"/>
        </w:rPr>
        <w:t>。</w:t>
      </w:r>
    </w:p>
    <w:p w14:paraId="4204BE95">
      <w:pPr>
        <w:spacing w:line="400" w:lineRule="exact"/>
        <w:ind w:firstLine="420" w:firstLineChars="200"/>
        <w:rPr>
          <w:szCs w:val="21"/>
          <w:u w:val="single"/>
        </w:rPr>
      </w:pPr>
      <w:r>
        <w:rPr>
          <w:szCs w:val="21"/>
        </w:rPr>
        <w:t>进度付款申请单的内容：</w:t>
      </w:r>
      <w:r>
        <w:rPr>
          <w:u w:val="single"/>
        </w:rPr>
        <w:t>按照发包人规定的格式和内容填写，应包括但不限于如下内容（1）付款次数或编号；（2）截至本次付款周期末已实施工程的价款；（3）变更金额；（4）索赔金额；（5）本次应支付的预付款和（或）应抵扣的预付款；（6）本次扣减的质量保证金；（7）根据合同增加和扣减的其他金额</w:t>
      </w:r>
      <w:r>
        <w:rPr>
          <w:szCs w:val="21"/>
        </w:rPr>
        <w:t xml:space="preserve">。 </w:t>
      </w:r>
    </w:p>
    <w:p w14:paraId="4B104247">
      <w:pPr>
        <w:spacing w:line="400" w:lineRule="exact"/>
        <w:ind w:firstLine="420" w:firstLineChars="200"/>
        <w:rPr>
          <w:rFonts w:eastAsia="Cambria"/>
          <w:szCs w:val="21"/>
        </w:rPr>
      </w:pPr>
      <w:r>
        <w:rPr>
          <w:rFonts w:eastAsia="Cambria"/>
          <w:szCs w:val="21"/>
        </w:rPr>
        <w:t>17.3.3</w:t>
      </w:r>
      <w:r>
        <w:rPr>
          <w:rFonts w:hint="eastAsia" w:ascii="宋体" w:hAnsi="宋体" w:cs="宋体"/>
          <w:szCs w:val="21"/>
        </w:rPr>
        <w:t>进度付款证书和支付时间</w:t>
      </w:r>
    </w:p>
    <w:p w14:paraId="49CB8A10">
      <w:pPr>
        <w:spacing w:line="400" w:lineRule="exact"/>
        <w:ind w:firstLine="420" w:firstLineChars="200"/>
        <w:rPr>
          <w:szCs w:val="21"/>
        </w:rPr>
      </w:pPr>
      <w:r>
        <w:rPr>
          <w:szCs w:val="21"/>
        </w:rPr>
        <w:t>（2）发包人未按专用合同条款第17.2.1(2)目、通用合同条款第17.3.3(2)目、第17.5.2(2)目和第17.6.2(2)目约定的期限支付承包人依合同约定应当得到的款项，应当从应付之日起向承包人支付逾期付款违约金。承包人应当按通用合同条款第23.1（1）目的约定，在最终付款期限到期后28天内，向监理人递交索赔意向通知书,说明有权得到按本款约定的下列标准和方法计算的逾期付款违约金。承包人要求发包人支付逾期付款违约金不影响承包人要求发包人承担通用合同条款第22.2款约定的其他违约责任的权利。</w:t>
      </w:r>
    </w:p>
    <w:p w14:paraId="207C73B6">
      <w:pPr>
        <w:spacing w:line="400" w:lineRule="exact"/>
        <w:ind w:firstLine="420" w:firstLineChars="200"/>
        <w:rPr>
          <w:szCs w:val="21"/>
        </w:rPr>
      </w:pPr>
      <w:r>
        <w:rPr>
          <w:szCs w:val="21"/>
        </w:rPr>
        <w:t>逾期付款违约金的计算标准为：</w:t>
      </w:r>
      <w:r>
        <w:rPr>
          <w:szCs w:val="21"/>
          <w:u w:val="single"/>
        </w:rPr>
        <w:t xml:space="preserve">  </w:t>
      </w:r>
      <w:r>
        <w:rPr>
          <w:rFonts w:hint="eastAsia"/>
          <w:szCs w:val="21"/>
          <w:u w:val="single"/>
        </w:rPr>
        <w:t>按当期银行存款利率计算</w:t>
      </w:r>
      <w:r>
        <w:rPr>
          <w:szCs w:val="21"/>
          <w:u w:val="single"/>
        </w:rPr>
        <w:t xml:space="preserve">        </w:t>
      </w:r>
      <w:r>
        <w:rPr>
          <w:szCs w:val="21"/>
        </w:rPr>
        <w:t>。</w:t>
      </w:r>
    </w:p>
    <w:p w14:paraId="616FD62C">
      <w:pPr>
        <w:spacing w:line="400" w:lineRule="exact"/>
        <w:ind w:firstLine="420" w:firstLineChars="200"/>
        <w:rPr>
          <w:szCs w:val="21"/>
          <w:u w:val="single"/>
        </w:rPr>
      </w:pPr>
      <w:r>
        <w:rPr>
          <w:szCs w:val="21"/>
        </w:rPr>
        <w:t>逾期付款违约金的计算方法为：</w:t>
      </w:r>
      <w:r>
        <w:rPr>
          <w:szCs w:val="21"/>
          <w:u w:val="single"/>
        </w:rPr>
        <w:t xml:space="preserve">  执行通用条款                  </w:t>
      </w:r>
      <w:r>
        <w:rPr>
          <w:szCs w:val="21"/>
        </w:rPr>
        <w:t>。</w:t>
      </w:r>
    </w:p>
    <w:p w14:paraId="1A7833A6">
      <w:pPr>
        <w:spacing w:line="400" w:lineRule="exact"/>
        <w:ind w:firstLine="420" w:firstLineChars="200"/>
      </w:pPr>
      <w:r>
        <w:rPr>
          <w:szCs w:val="21"/>
        </w:rPr>
        <w:t>（4）进度付款支付方法</w:t>
      </w:r>
      <w:r>
        <w:rPr>
          <w:rFonts w:hint="eastAsia"/>
          <w:szCs w:val="21"/>
        </w:rPr>
        <w:t>：</w:t>
      </w:r>
      <w:r>
        <w:rPr>
          <w:rFonts w:hint="eastAsia"/>
          <w:u w:val="single"/>
        </w:rPr>
        <w:t>项目发包人按照上述约定及流程办理工程款支付审核应视为项目发包人按合同约定支付工程款，履行了工程款支付义务</w:t>
      </w:r>
      <w:r>
        <w:rPr>
          <w:u w:val="single"/>
        </w:rPr>
        <w:t>。</w:t>
      </w:r>
    </w:p>
    <w:p w14:paraId="10621CBB">
      <w:pPr>
        <w:spacing w:line="400" w:lineRule="exact"/>
        <w:ind w:firstLine="420" w:firstLineChars="200"/>
        <w:rPr>
          <w:szCs w:val="21"/>
          <w:u w:val="single"/>
        </w:rPr>
      </w:pPr>
      <w:r>
        <w:rPr>
          <w:u w:val="single"/>
        </w:rPr>
        <w:t>工程进度款支付比例：</w:t>
      </w:r>
      <w:r>
        <w:rPr>
          <w:rFonts w:hint="eastAsia"/>
          <w:u w:val="single"/>
        </w:rPr>
        <w:t>工程进度完成一半时，发包方支付至合同总价的50%。竣工验收合格后支付至合同总价的9</w:t>
      </w:r>
      <w:r>
        <w:rPr>
          <w:u w:val="single"/>
        </w:rPr>
        <w:t>5</w:t>
      </w:r>
      <w:r>
        <w:rPr>
          <w:rFonts w:hint="eastAsia"/>
          <w:u w:val="single"/>
        </w:rPr>
        <w:t>%，之后按最终竣工决算金额结清尾款。合同总价的3%作为质量保证金（支付形式由双方协商），待工程缺陷责任期结束后返还</w:t>
      </w:r>
      <w:r>
        <w:rPr>
          <w:szCs w:val="21"/>
        </w:rPr>
        <w:t>。</w:t>
      </w:r>
    </w:p>
    <w:p w14:paraId="1EF4F8F8">
      <w:pPr>
        <w:pStyle w:val="519"/>
        <w:spacing w:line="400" w:lineRule="exact"/>
      </w:pPr>
      <w:r>
        <w:rPr>
          <w:szCs w:val="21"/>
        </w:rPr>
        <w:t>(5)</w:t>
      </w:r>
      <w:r>
        <w:t xml:space="preserve"> 鉴于本工程是财政资金项目，应遵从相关财务管理规定。施工单位编制结算书，经监理单位、建设单位等各方审核后，</w:t>
      </w:r>
      <w:bookmarkStart w:id="2311" w:name="OLE_LINK1"/>
      <w:r>
        <w:t>最终结算依据建设单位委托第三方中介审计咨询单位审计报告结果意见。</w:t>
      </w:r>
      <w:bookmarkEnd w:id="2311"/>
    </w:p>
    <w:p w14:paraId="36FFFD10">
      <w:pPr>
        <w:pStyle w:val="519"/>
        <w:spacing w:line="400" w:lineRule="exact"/>
        <w:rPr>
          <w:szCs w:val="21"/>
        </w:rPr>
      </w:pPr>
      <w:r>
        <w:t>(6)</w:t>
      </w:r>
      <w:r>
        <w:rPr>
          <w:szCs w:val="21"/>
        </w:rPr>
        <w:t>审计费：工程送审金额审减率5%以下部分（含5%）的审计费由甲方承担，超出部分的审计费由乙方承担。计算公式为：</w:t>
      </w:r>
    </w:p>
    <w:p w14:paraId="159C26C8">
      <w:pPr>
        <w:pStyle w:val="519"/>
        <w:spacing w:line="400" w:lineRule="exact"/>
        <w:rPr>
          <w:szCs w:val="21"/>
        </w:rPr>
      </w:pPr>
      <w:r>
        <w:rPr>
          <w:szCs w:val="21"/>
        </w:rPr>
        <w:t xml:space="preserve"> 全部审计费=固定费用+送审额×审减率（审减额÷送审金额）×支付审计费率</w:t>
      </w:r>
    </w:p>
    <w:p w14:paraId="22888393">
      <w:pPr>
        <w:pStyle w:val="519"/>
        <w:spacing w:line="400" w:lineRule="exact"/>
        <w:rPr>
          <w:szCs w:val="21"/>
        </w:rPr>
      </w:pPr>
      <w:r>
        <w:rPr>
          <w:szCs w:val="21"/>
        </w:rPr>
        <w:t>（注：1.固定费用一般时2000，特殊情况最高不超过3000元。</w:t>
      </w:r>
    </w:p>
    <w:p w14:paraId="6A2C6BBA">
      <w:pPr>
        <w:pStyle w:val="519"/>
        <w:spacing w:line="400" w:lineRule="exact"/>
        <w:ind w:firstLine="1050" w:firstLineChars="500"/>
        <w:rPr>
          <w:szCs w:val="21"/>
        </w:rPr>
      </w:pPr>
      <w:r>
        <w:rPr>
          <w:szCs w:val="21"/>
        </w:rPr>
        <w:t>2.审计费不足3000元时，按3000元计算）</w:t>
      </w:r>
    </w:p>
    <w:p w14:paraId="452DA9CB">
      <w:pPr>
        <w:pStyle w:val="519"/>
        <w:spacing w:line="400" w:lineRule="exact"/>
        <w:rPr>
          <w:szCs w:val="21"/>
        </w:rPr>
      </w:pPr>
      <w:r>
        <w:rPr>
          <w:szCs w:val="21"/>
        </w:rPr>
        <w:t>当审减率大于5%时：</w:t>
      </w:r>
    </w:p>
    <w:p w14:paraId="03D7A7D1">
      <w:pPr>
        <w:pStyle w:val="519"/>
        <w:spacing w:line="400" w:lineRule="exact"/>
        <w:rPr>
          <w:szCs w:val="21"/>
        </w:rPr>
      </w:pPr>
      <w:r>
        <w:rPr>
          <w:szCs w:val="21"/>
        </w:rPr>
        <w:t>乙方应承担的审计费用=全部审计费÷审减率×（审减率-5%）</w:t>
      </w:r>
    </w:p>
    <w:p w14:paraId="034DB2F4">
      <w:pPr>
        <w:spacing w:line="400" w:lineRule="exact"/>
        <w:ind w:firstLine="420" w:firstLineChars="200"/>
        <w:rPr>
          <w:rFonts w:eastAsia="Cambria"/>
          <w:szCs w:val="21"/>
        </w:rPr>
      </w:pPr>
      <w:bookmarkStart w:id="2312" w:name="_Toc152045722"/>
      <w:bookmarkStart w:id="2313" w:name="_Toc144974693"/>
      <w:bookmarkStart w:id="2314" w:name="_Toc152042501"/>
      <w:bookmarkStart w:id="2315" w:name="_Toc179632740"/>
      <w:r>
        <w:rPr>
          <w:rFonts w:eastAsia="Cambria"/>
          <w:szCs w:val="21"/>
        </w:rPr>
        <w:t xml:space="preserve">17.3.5 </w:t>
      </w:r>
      <w:r>
        <w:rPr>
          <w:rFonts w:hint="eastAsia" w:ascii="宋体" w:hAnsi="宋体" w:cs="宋体"/>
          <w:szCs w:val="21"/>
        </w:rPr>
        <w:t>临时付款证书</w:t>
      </w:r>
    </w:p>
    <w:p w14:paraId="56D6ECB1">
      <w:pPr>
        <w:spacing w:line="400" w:lineRule="exact"/>
        <w:ind w:firstLine="420" w:firstLineChars="200"/>
        <w:rPr>
          <w:szCs w:val="21"/>
        </w:rPr>
      </w:pPr>
      <w:r>
        <w:rPr>
          <w:szCs w:val="21"/>
        </w:rPr>
        <w:t>在合同约定的期限内，承包人和监理人无法对当期已完工程量和按合同约定应当支付的其他款项达成一致的，监理人应当在收到承包人报送的进度付款申请单等文件后14天内，就承包人没有异议的金额准备一个临时付款证书，报送发包人审查。临时付款证书中应当说明承包人有异议部分的金额及其原因，经发包人签认后，由监理人向承包人出具临时付款证书。发包人应当在监理人收到进度付款申请单后28天内，将临时付款证书中确定的应付金额支付给承包人。发包人和监理人均不得以任何理由延期支付工程进度付款。</w:t>
      </w:r>
    </w:p>
    <w:p w14:paraId="0E432908">
      <w:pPr>
        <w:spacing w:line="400" w:lineRule="exact"/>
        <w:ind w:firstLine="420" w:firstLineChars="200"/>
        <w:rPr>
          <w:szCs w:val="21"/>
        </w:rPr>
      </w:pPr>
      <w:r>
        <w:rPr>
          <w:szCs w:val="21"/>
        </w:rPr>
        <w:t>对临时付款证书中列明的承包人有异议部分的金额，承包人应当按照监理人要求，提交进一步的支持性文件和（或）与监理人做进一步共同复核工作，经监理人进一步审核并认可的应付金额，应当按通用合同条款第17.3.4项的约定纳入到下一期进度付款证书中。经过进一步努力，承包人仍有异议的，按合同条款第24条的约定办理。</w:t>
      </w:r>
    </w:p>
    <w:p w14:paraId="4189E382">
      <w:pPr>
        <w:spacing w:line="400" w:lineRule="exact"/>
        <w:ind w:firstLine="420" w:firstLineChars="200"/>
        <w:rPr>
          <w:szCs w:val="21"/>
        </w:rPr>
      </w:pPr>
      <w:r>
        <w:rPr>
          <w:szCs w:val="21"/>
        </w:rPr>
        <w:t>有异议款项中经监理人进一步审核后认可的或者经过合同条款第24条约定的争议解决方式确定的应付金额，其应付之日为引发异议的进度付款证书的应付之日，承包人有权得到按专用合同条款17.3.3（2）目约定计算的逾期付款违约金。</w:t>
      </w:r>
    </w:p>
    <w:p w14:paraId="61E9D6A1">
      <w:pPr>
        <w:pStyle w:val="512"/>
        <w:spacing w:before="120" w:after="120"/>
      </w:pPr>
      <w:bookmarkStart w:id="2316" w:name="_Toc241459726"/>
      <w:bookmarkStart w:id="2317" w:name="_Toc129798464"/>
      <w:bookmarkStart w:id="2318" w:name="_Toc109914529"/>
      <w:bookmarkStart w:id="2319" w:name="_Toc132619213"/>
      <w:bookmarkStart w:id="2320" w:name="_Toc142385752"/>
      <w:bookmarkStart w:id="2321" w:name="_Toc342296485"/>
      <w:r>
        <w:t xml:space="preserve">17.4 </w:t>
      </w:r>
      <w:bookmarkEnd w:id="2312"/>
      <w:bookmarkEnd w:id="2313"/>
      <w:bookmarkEnd w:id="2314"/>
      <w:r>
        <w:t>质量保证金</w:t>
      </w:r>
      <w:bookmarkEnd w:id="2315"/>
      <w:bookmarkEnd w:id="2316"/>
      <w:bookmarkEnd w:id="2317"/>
      <w:bookmarkEnd w:id="2318"/>
      <w:bookmarkEnd w:id="2319"/>
      <w:bookmarkEnd w:id="2320"/>
      <w:bookmarkEnd w:id="2321"/>
    </w:p>
    <w:p w14:paraId="62DBC79C">
      <w:pPr>
        <w:spacing w:line="400" w:lineRule="exact"/>
        <w:ind w:firstLine="420" w:firstLineChars="200"/>
        <w:rPr>
          <w:szCs w:val="21"/>
        </w:rPr>
      </w:pPr>
      <w:bookmarkStart w:id="2322" w:name="_Toc152042502"/>
      <w:bookmarkStart w:id="2323" w:name="_Toc179632741"/>
      <w:bookmarkStart w:id="2324" w:name="_Toc144974694"/>
      <w:bookmarkStart w:id="2325" w:name="_Toc152045723"/>
      <w:r>
        <w:rPr>
          <w:szCs w:val="21"/>
        </w:rPr>
        <w:t>17.4.1</w:t>
      </w:r>
      <w:r>
        <w:rPr>
          <w:rFonts w:hint="eastAsia"/>
        </w:rPr>
        <w:t>质量保证金应在结算审定3</w:t>
      </w:r>
      <w:r>
        <w:t>0</w:t>
      </w:r>
      <w:r>
        <w:rPr>
          <w:rFonts w:hint="eastAsia"/>
        </w:rPr>
        <w:t>日内由承包方缴纳，金额为审定金额的3</w:t>
      </w:r>
      <w:r>
        <w:t>%</w:t>
      </w:r>
      <w:r>
        <w:rPr>
          <w:rFonts w:hint="eastAsia"/>
        </w:rPr>
        <w:t>。质保金返还时间为验收合格后5年，不计利息。若涉及保修责任，参照第1</w:t>
      </w:r>
      <w:r>
        <w:t>9.7</w:t>
      </w:r>
      <w:r>
        <w:rPr>
          <w:rFonts w:hint="eastAsia"/>
        </w:rPr>
        <w:t>条款执行。</w:t>
      </w:r>
    </w:p>
    <w:p w14:paraId="2485A5CF">
      <w:pPr>
        <w:pStyle w:val="512"/>
        <w:spacing w:before="120" w:after="120"/>
      </w:pPr>
      <w:bookmarkStart w:id="2326" w:name="_Toc129798465"/>
      <w:bookmarkStart w:id="2327" w:name="_Toc132619214"/>
      <w:bookmarkStart w:id="2328" w:name="_Toc142385753"/>
      <w:bookmarkStart w:id="2329" w:name="_Toc109914530"/>
      <w:bookmarkStart w:id="2330" w:name="_Toc241459727"/>
      <w:bookmarkStart w:id="2331" w:name="_Toc342296486"/>
      <w:r>
        <w:t>17.5 竣工结算</w:t>
      </w:r>
      <w:bookmarkEnd w:id="2322"/>
      <w:bookmarkEnd w:id="2323"/>
      <w:bookmarkEnd w:id="2324"/>
      <w:bookmarkEnd w:id="2325"/>
      <w:bookmarkEnd w:id="2326"/>
      <w:bookmarkEnd w:id="2327"/>
      <w:bookmarkEnd w:id="2328"/>
      <w:bookmarkEnd w:id="2329"/>
      <w:bookmarkEnd w:id="2330"/>
      <w:bookmarkEnd w:id="2331"/>
    </w:p>
    <w:p w14:paraId="3636AC86">
      <w:pPr>
        <w:spacing w:line="400" w:lineRule="exact"/>
        <w:ind w:firstLine="420" w:firstLineChars="200"/>
        <w:rPr>
          <w:rFonts w:eastAsia="Cambria"/>
          <w:szCs w:val="21"/>
        </w:rPr>
      </w:pPr>
      <w:bookmarkStart w:id="2332" w:name="_Toc144974695"/>
      <w:bookmarkStart w:id="2333" w:name="_Toc152042503"/>
      <w:bookmarkStart w:id="2334" w:name="_Toc179632742"/>
      <w:bookmarkStart w:id="2335" w:name="_Toc152045724"/>
      <w:r>
        <w:rPr>
          <w:rFonts w:eastAsia="Cambria"/>
          <w:szCs w:val="21"/>
        </w:rPr>
        <w:t>17.5.1</w:t>
      </w:r>
      <w:r>
        <w:rPr>
          <w:rFonts w:hint="eastAsia" w:ascii="宋体" w:hAnsi="宋体" w:cs="宋体"/>
          <w:szCs w:val="21"/>
        </w:rPr>
        <w:t>竣工付款申请单</w:t>
      </w:r>
    </w:p>
    <w:p w14:paraId="6A855E9A">
      <w:pPr>
        <w:spacing w:line="400" w:lineRule="exact"/>
        <w:ind w:firstLine="420" w:firstLineChars="200"/>
        <w:rPr>
          <w:szCs w:val="21"/>
          <w:u w:val="single"/>
        </w:rPr>
      </w:pPr>
      <w:r>
        <w:rPr>
          <w:szCs w:val="21"/>
        </w:rPr>
        <w:t>承包人提交竣工付款申请单的份数：</w:t>
      </w:r>
      <w:r>
        <w:rPr>
          <w:szCs w:val="21"/>
          <w:u w:val="single"/>
        </w:rPr>
        <w:t>一式五份</w:t>
      </w:r>
      <w:r>
        <w:rPr>
          <w:szCs w:val="21"/>
        </w:rPr>
        <w:t>。</w:t>
      </w:r>
    </w:p>
    <w:p w14:paraId="198B368E">
      <w:pPr>
        <w:spacing w:line="400" w:lineRule="exact"/>
        <w:ind w:firstLine="420" w:firstLineChars="200"/>
        <w:rPr>
          <w:szCs w:val="21"/>
          <w:u w:val="single"/>
        </w:rPr>
      </w:pPr>
      <w:r>
        <w:rPr>
          <w:szCs w:val="21"/>
        </w:rPr>
        <w:t>承包人提交竣工付款申请单的期限：</w:t>
      </w:r>
      <w:r>
        <w:rPr>
          <w:rFonts w:hint="eastAsia"/>
          <w:u w:val="single"/>
        </w:rPr>
        <w:t>工程</w:t>
      </w:r>
      <w:r>
        <w:rPr>
          <w:u w:val="single"/>
        </w:rPr>
        <w:t>竣工后</w:t>
      </w:r>
      <w:r>
        <w:rPr>
          <w:rFonts w:hint="eastAsia"/>
          <w:u w:val="single"/>
        </w:rPr>
        <w:t>28日内提交结算报告及完整的结算资料。</w:t>
      </w:r>
    </w:p>
    <w:p w14:paraId="0CB89BB0">
      <w:pPr>
        <w:spacing w:line="400" w:lineRule="exact"/>
        <w:ind w:firstLine="420" w:firstLineChars="200"/>
        <w:rPr>
          <w:szCs w:val="21"/>
        </w:rPr>
      </w:pPr>
      <w:r>
        <w:rPr>
          <w:szCs w:val="21"/>
        </w:rPr>
        <w:t>竣工付款申请单的内容：</w:t>
      </w:r>
      <w:r>
        <w:rPr>
          <w:u w:val="single"/>
        </w:rPr>
        <w:t>按照发包人规定的格式和内容填写，应包括但不限于竣工结算合同总价、已支付的工程价款、应扣回的预付款、应扣留的质量保证金、应支付的竣工付款金额、工程变更、工程洽商、现场签证等</w:t>
      </w:r>
      <w:r>
        <w:rPr>
          <w:szCs w:val="21"/>
        </w:rPr>
        <w:t>。</w:t>
      </w:r>
    </w:p>
    <w:p w14:paraId="213967F6">
      <w:pPr>
        <w:spacing w:line="400" w:lineRule="exact"/>
        <w:ind w:firstLine="420" w:firstLineChars="200"/>
        <w:rPr>
          <w:szCs w:val="21"/>
        </w:rPr>
      </w:pPr>
      <w:r>
        <w:rPr>
          <w:szCs w:val="21"/>
        </w:rPr>
        <w:t xml:space="preserve">承包人未按本项约定的期限和内容提交竣工付款申请单或者未按通用合同条款第17.5.1（2)目约定提交修正后的竣工付款申请单，经监理人催促后14天内仍未提交或者没有明确答复的，监理人和发包人有权根据已有资料进行审查，审查确定的竣工结算合同总价和竣工付款金额视同是经承包人认可的工程竣工结算合同总价和竣工付款金额。   </w:t>
      </w:r>
    </w:p>
    <w:p w14:paraId="3256049C">
      <w:pPr>
        <w:spacing w:line="400" w:lineRule="exact"/>
        <w:ind w:firstLine="420" w:firstLineChars="200"/>
        <w:rPr>
          <w:szCs w:val="21"/>
        </w:rPr>
      </w:pPr>
      <w:r>
        <w:rPr>
          <w:szCs w:val="21"/>
        </w:rPr>
        <w:t>不管通用合同条款17.5.2项如何约定，发包人和承包人应当在监理人颁发（出具）工程接收证书</w:t>
      </w:r>
      <w:r>
        <w:rPr>
          <w:rFonts w:hint="eastAsia"/>
          <w:szCs w:val="21"/>
        </w:rPr>
        <w:t>且验收通过后</w:t>
      </w:r>
      <w:r>
        <w:rPr>
          <w:szCs w:val="21"/>
        </w:rPr>
        <w:t>56天内办清竣工结算和竣工付款。但是，政府投资或者以政府投资为主的建设项目纳入审计项目计划的，发包人和承包人均负有配合、接受审计机关审计的义务，竣工结算应当依据审计结论，办清竣工结算和竣工付款的时间按照相关规定执行。</w:t>
      </w:r>
    </w:p>
    <w:p w14:paraId="28FBB003">
      <w:pPr>
        <w:pStyle w:val="512"/>
        <w:spacing w:before="120" w:after="120"/>
      </w:pPr>
      <w:bookmarkStart w:id="2336" w:name="_Toc132619215"/>
      <w:bookmarkStart w:id="2337" w:name="_Toc109914531"/>
      <w:bookmarkStart w:id="2338" w:name="_Toc142385754"/>
      <w:bookmarkStart w:id="2339" w:name="_Toc342296487"/>
      <w:bookmarkStart w:id="2340" w:name="_Toc129798466"/>
      <w:bookmarkStart w:id="2341" w:name="_Toc241459728"/>
      <w:r>
        <w:t>17.6 最终结清</w:t>
      </w:r>
      <w:bookmarkEnd w:id="2332"/>
      <w:bookmarkEnd w:id="2333"/>
      <w:bookmarkEnd w:id="2334"/>
      <w:bookmarkEnd w:id="2335"/>
      <w:bookmarkEnd w:id="2336"/>
      <w:bookmarkEnd w:id="2337"/>
      <w:bookmarkEnd w:id="2338"/>
      <w:bookmarkEnd w:id="2339"/>
      <w:bookmarkEnd w:id="2340"/>
      <w:bookmarkEnd w:id="2341"/>
    </w:p>
    <w:p w14:paraId="5A9C26AD">
      <w:pPr>
        <w:spacing w:line="400" w:lineRule="exact"/>
        <w:ind w:firstLine="420" w:firstLineChars="200"/>
        <w:rPr>
          <w:rFonts w:eastAsia="Cambria"/>
          <w:szCs w:val="21"/>
        </w:rPr>
      </w:pPr>
      <w:r>
        <w:rPr>
          <w:rFonts w:eastAsia="Cambria"/>
          <w:szCs w:val="21"/>
        </w:rPr>
        <w:t>17.6.1</w:t>
      </w:r>
      <w:r>
        <w:rPr>
          <w:rFonts w:hint="eastAsia" w:ascii="宋体" w:hAnsi="宋体" w:cs="宋体"/>
          <w:szCs w:val="21"/>
        </w:rPr>
        <w:t>最终结清申请单</w:t>
      </w:r>
    </w:p>
    <w:p w14:paraId="33848E8B">
      <w:pPr>
        <w:spacing w:line="400" w:lineRule="exact"/>
        <w:ind w:firstLine="420" w:firstLineChars="200"/>
        <w:rPr>
          <w:szCs w:val="21"/>
          <w:u w:val="single"/>
        </w:rPr>
      </w:pPr>
      <w:r>
        <w:rPr>
          <w:szCs w:val="21"/>
        </w:rPr>
        <w:t>承包人提交最终结清申请单的份数：</w:t>
      </w:r>
      <w:r>
        <w:rPr>
          <w:szCs w:val="21"/>
          <w:u w:val="single"/>
        </w:rPr>
        <w:t>一式五份</w:t>
      </w:r>
      <w:r>
        <w:rPr>
          <w:szCs w:val="21"/>
        </w:rPr>
        <w:t>。</w:t>
      </w:r>
    </w:p>
    <w:p w14:paraId="7F5D4036">
      <w:pPr>
        <w:spacing w:line="400" w:lineRule="exact"/>
        <w:ind w:firstLine="420" w:firstLineChars="200"/>
        <w:rPr>
          <w:szCs w:val="21"/>
        </w:rPr>
      </w:pPr>
      <w:r>
        <w:rPr>
          <w:szCs w:val="21"/>
        </w:rPr>
        <w:t>承包人提交最终结清申请单的期限：</w:t>
      </w:r>
      <w:r>
        <w:rPr>
          <w:u w:val="single"/>
        </w:rPr>
        <w:t>在缺陷责任期终止证书颁发后28日内</w:t>
      </w:r>
      <w:r>
        <w:rPr>
          <w:szCs w:val="21"/>
        </w:rPr>
        <w:t>。</w:t>
      </w:r>
    </w:p>
    <w:p w14:paraId="37755007">
      <w:pPr>
        <w:pStyle w:val="548"/>
        <w:spacing w:before="120" w:after="120"/>
        <w:rPr>
          <w:rFonts w:cs="仿宋_GB2312"/>
        </w:rPr>
      </w:pPr>
      <w:bookmarkStart w:id="2342" w:name="_Toc241459729"/>
      <w:bookmarkStart w:id="2343" w:name="_Toc132619216"/>
      <w:bookmarkStart w:id="2344" w:name="_Toc152042504"/>
      <w:bookmarkStart w:id="2345" w:name="_Toc109914532"/>
      <w:bookmarkStart w:id="2346" w:name="_Toc448758463"/>
      <w:bookmarkStart w:id="2347" w:name="_Toc142385755"/>
      <w:bookmarkStart w:id="2348" w:name="_Toc469660058"/>
      <w:bookmarkStart w:id="2349" w:name="_Toc152045725"/>
      <w:bookmarkStart w:id="2350" w:name="_Toc144974696"/>
      <w:bookmarkStart w:id="2351" w:name="_Toc342296488"/>
      <w:bookmarkStart w:id="2352" w:name="_Toc179632743"/>
      <w:bookmarkStart w:id="2353" w:name="_Toc448758563"/>
      <w:bookmarkStart w:id="2354" w:name="_Toc442365655"/>
      <w:bookmarkStart w:id="2355" w:name="_Toc129798467"/>
      <w:r>
        <w:rPr>
          <w:rFonts w:cs="仿宋_GB2312"/>
        </w:rPr>
        <w:t>18. 竣工验收</w:t>
      </w:r>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p>
    <w:p w14:paraId="2A8BF27D">
      <w:pPr>
        <w:pStyle w:val="512"/>
        <w:spacing w:before="120" w:after="120"/>
      </w:pPr>
      <w:bookmarkStart w:id="2356" w:name="_Toc109914533"/>
      <w:bookmarkStart w:id="2357" w:name="_Toc241459730"/>
      <w:bookmarkStart w:id="2358" w:name="_Toc132619217"/>
      <w:bookmarkStart w:id="2359" w:name="_Toc179632745"/>
      <w:bookmarkStart w:id="2360" w:name="_Toc142385756"/>
      <w:bookmarkStart w:id="2361" w:name="_Toc342296489"/>
      <w:bookmarkStart w:id="2362" w:name="_Toc152045727"/>
      <w:bookmarkStart w:id="2363" w:name="_Toc152042506"/>
      <w:bookmarkStart w:id="2364" w:name="_Toc129798468"/>
      <w:bookmarkStart w:id="2365" w:name="_Toc144974698"/>
      <w:r>
        <w:t>18.2 竣工验收申请报告</w:t>
      </w:r>
      <w:bookmarkEnd w:id="2356"/>
      <w:bookmarkEnd w:id="2357"/>
      <w:bookmarkEnd w:id="2358"/>
      <w:bookmarkEnd w:id="2359"/>
      <w:bookmarkEnd w:id="2360"/>
      <w:bookmarkEnd w:id="2361"/>
      <w:bookmarkEnd w:id="2362"/>
      <w:bookmarkEnd w:id="2363"/>
      <w:bookmarkEnd w:id="2364"/>
      <w:bookmarkEnd w:id="2365"/>
    </w:p>
    <w:p w14:paraId="55E265FF">
      <w:pPr>
        <w:spacing w:line="400" w:lineRule="exact"/>
        <w:ind w:firstLine="420" w:firstLineChars="200"/>
        <w:rPr>
          <w:szCs w:val="21"/>
        </w:rPr>
      </w:pPr>
      <w:r>
        <w:rPr>
          <w:szCs w:val="21"/>
        </w:rPr>
        <w:t>（2）承包人负责整理和提交的竣工验收资料应当符合工程所在地建设行政主管部门和（或）城市建设档案管理机构有关施工资料的要求，具体内容包括：</w:t>
      </w:r>
      <w:r>
        <w:rPr>
          <w:szCs w:val="21"/>
          <w:u w:val="single"/>
        </w:rPr>
        <w:t>除监理人同意列入缺陷责任期内完成的尾工（甩项）工程和缺陷修补工作外，合同范围内的全部单位工程以及有关工作，包括合同要求的试验，试运行以及检验和验收均已完成，并符合合同要求；已按合同约定的内容和份数备齐了符合要求的竣工资料；已按监理人的要求编制了在缺陷责任期内完成的尾工（甩项）工程和缺陷修补工作清单以及相应施工计划；监理人要求在竣工验收前应完成的其他工作；监理人要求提交的竣工验收资料清单；由监理人确认的工程相关项目管理系统电子版竣工验收资料。归档要求及范围详见发包方要求。</w:t>
      </w:r>
    </w:p>
    <w:p w14:paraId="696FD781">
      <w:pPr>
        <w:spacing w:line="400" w:lineRule="exact"/>
        <w:ind w:firstLine="420" w:firstLineChars="200"/>
        <w:rPr>
          <w:szCs w:val="21"/>
        </w:rPr>
      </w:pPr>
      <w:r>
        <w:rPr>
          <w:szCs w:val="21"/>
        </w:rPr>
        <w:t>竣工验收资料的份数：</w:t>
      </w:r>
      <w:r>
        <w:rPr>
          <w:szCs w:val="21"/>
          <w:u w:val="single"/>
        </w:rPr>
        <w:t>6套竣工图及2套工程档案资料。</w:t>
      </w:r>
    </w:p>
    <w:p w14:paraId="02AB50F9">
      <w:pPr>
        <w:spacing w:line="400" w:lineRule="exact"/>
        <w:ind w:firstLine="420" w:firstLineChars="200"/>
        <w:rPr>
          <w:szCs w:val="21"/>
        </w:rPr>
      </w:pPr>
      <w:bookmarkStart w:id="2366" w:name="_Toc144974699"/>
      <w:bookmarkStart w:id="2367" w:name="_Toc152045728"/>
      <w:bookmarkStart w:id="2368" w:name="_Toc179632746"/>
      <w:bookmarkStart w:id="2369" w:name="_Toc152042507"/>
      <w:r>
        <w:rPr>
          <w:szCs w:val="21"/>
        </w:rPr>
        <w:t>竣工验收资料的费用支付方式：</w:t>
      </w:r>
      <w:r>
        <w:rPr>
          <w:szCs w:val="21"/>
          <w:u w:val="single"/>
        </w:rPr>
        <w:t>已包含在合同价款中，由承包人承担。</w:t>
      </w:r>
    </w:p>
    <w:p w14:paraId="014E2386">
      <w:pPr>
        <w:pStyle w:val="512"/>
        <w:spacing w:before="120" w:after="120"/>
      </w:pPr>
      <w:bookmarkStart w:id="2370" w:name="_Toc129798469"/>
      <w:bookmarkStart w:id="2371" w:name="_Toc142385757"/>
      <w:bookmarkStart w:id="2372" w:name="_Toc342296490"/>
      <w:bookmarkStart w:id="2373" w:name="_Toc132619218"/>
      <w:bookmarkStart w:id="2374" w:name="_Toc109914534"/>
      <w:bookmarkStart w:id="2375" w:name="_Toc241459731"/>
      <w:r>
        <w:t>18.3 验 收</w:t>
      </w:r>
      <w:bookmarkEnd w:id="2366"/>
      <w:bookmarkEnd w:id="2367"/>
      <w:bookmarkEnd w:id="2368"/>
      <w:bookmarkEnd w:id="2369"/>
      <w:bookmarkEnd w:id="2370"/>
      <w:bookmarkEnd w:id="2371"/>
      <w:bookmarkEnd w:id="2372"/>
      <w:bookmarkEnd w:id="2373"/>
      <w:bookmarkEnd w:id="2374"/>
      <w:bookmarkEnd w:id="2375"/>
    </w:p>
    <w:p w14:paraId="2DB56E9A">
      <w:pPr>
        <w:spacing w:line="400" w:lineRule="exact"/>
        <w:ind w:firstLine="420" w:firstLineChars="200"/>
      </w:pPr>
      <w:r>
        <w:rPr>
          <w:szCs w:val="21"/>
        </w:rPr>
        <w:t>18.3.5经验收合格的工程, 实际竣工日期为承包人按照第18.2款提交竣工验收申请报告或按照本款重新提交竣工验收申请报告的日期（以两者中时间在后者为准）。</w:t>
      </w:r>
    </w:p>
    <w:p w14:paraId="2460C6C9">
      <w:pPr>
        <w:pStyle w:val="512"/>
        <w:spacing w:before="120" w:after="120"/>
      </w:pPr>
      <w:bookmarkStart w:id="2376" w:name="_Toc152045730"/>
      <w:bookmarkStart w:id="2377" w:name="_Toc142385758"/>
      <w:bookmarkStart w:id="2378" w:name="_Toc179632748"/>
      <w:bookmarkStart w:id="2379" w:name="_Toc132619219"/>
      <w:bookmarkStart w:id="2380" w:name="_Toc152042509"/>
      <w:bookmarkStart w:id="2381" w:name="_Toc342296491"/>
      <w:bookmarkStart w:id="2382" w:name="_Toc241459732"/>
      <w:bookmarkStart w:id="2383" w:name="_Toc144974701"/>
      <w:bookmarkStart w:id="2384" w:name="_Toc129798470"/>
      <w:bookmarkStart w:id="2385" w:name="_Toc109914535"/>
      <w:r>
        <w:t>18.5 施工期运行</w:t>
      </w:r>
      <w:bookmarkEnd w:id="2376"/>
      <w:bookmarkEnd w:id="2377"/>
      <w:bookmarkEnd w:id="2378"/>
      <w:bookmarkEnd w:id="2379"/>
      <w:bookmarkEnd w:id="2380"/>
      <w:bookmarkEnd w:id="2381"/>
      <w:bookmarkEnd w:id="2382"/>
      <w:bookmarkEnd w:id="2383"/>
      <w:bookmarkEnd w:id="2384"/>
      <w:bookmarkEnd w:id="2385"/>
    </w:p>
    <w:p w14:paraId="2FB6C03C">
      <w:pPr>
        <w:spacing w:line="400" w:lineRule="exact"/>
        <w:ind w:firstLine="420" w:firstLineChars="200"/>
        <w:rPr>
          <w:szCs w:val="21"/>
          <w:u w:val="single"/>
        </w:rPr>
      </w:pPr>
      <w:bookmarkStart w:id="2386" w:name="_Toc152045731"/>
      <w:bookmarkStart w:id="2387" w:name="_Toc179632749"/>
      <w:bookmarkStart w:id="2388" w:name="_Toc144974702"/>
      <w:bookmarkStart w:id="2389" w:name="_Toc152042510"/>
      <w:r>
        <w:rPr>
          <w:szCs w:val="21"/>
        </w:rPr>
        <w:t>18.5.1需要施工期运行的单位工程或设备安装工程：</w:t>
      </w:r>
      <w:r>
        <w:rPr>
          <w:szCs w:val="21"/>
          <w:u w:val="single"/>
        </w:rPr>
        <w:t xml:space="preserve">     /      </w:t>
      </w:r>
      <w:r>
        <w:rPr>
          <w:szCs w:val="21"/>
        </w:rPr>
        <w:t>。</w:t>
      </w:r>
    </w:p>
    <w:p w14:paraId="10F98A44">
      <w:pPr>
        <w:pStyle w:val="512"/>
        <w:spacing w:before="120" w:after="120"/>
      </w:pPr>
      <w:bookmarkStart w:id="2390" w:name="_Toc109914536"/>
      <w:bookmarkStart w:id="2391" w:name="_Toc129798471"/>
      <w:bookmarkStart w:id="2392" w:name="_Toc132619220"/>
      <w:bookmarkStart w:id="2393" w:name="_Toc241459733"/>
      <w:bookmarkStart w:id="2394" w:name="_Toc342296492"/>
      <w:bookmarkStart w:id="2395" w:name="_Toc142385759"/>
      <w:r>
        <w:t>18.6 试运行</w:t>
      </w:r>
      <w:bookmarkEnd w:id="2386"/>
      <w:bookmarkEnd w:id="2387"/>
      <w:bookmarkEnd w:id="2388"/>
      <w:bookmarkEnd w:id="2389"/>
      <w:bookmarkEnd w:id="2390"/>
      <w:bookmarkEnd w:id="2391"/>
      <w:bookmarkEnd w:id="2392"/>
      <w:bookmarkEnd w:id="2393"/>
      <w:bookmarkEnd w:id="2394"/>
      <w:bookmarkEnd w:id="2395"/>
    </w:p>
    <w:p w14:paraId="503A00F8">
      <w:pPr>
        <w:spacing w:line="400" w:lineRule="exact"/>
        <w:ind w:firstLine="420" w:firstLineChars="200"/>
        <w:rPr>
          <w:szCs w:val="21"/>
        </w:rPr>
      </w:pPr>
      <w:bookmarkStart w:id="2396" w:name="_Toc152042511"/>
      <w:bookmarkStart w:id="2397" w:name="_Toc152045732"/>
      <w:bookmarkStart w:id="2398" w:name="_Toc179632750"/>
      <w:bookmarkStart w:id="2399" w:name="_Toc144974703"/>
      <w:r>
        <w:rPr>
          <w:szCs w:val="21"/>
        </w:rPr>
        <w:t>18.6.1工程及工程设备试运行的组织与费用承担</w:t>
      </w:r>
    </w:p>
    <w:p w14:paraId="5C441D5F">
      <w:pPr>
        <w:spacing w:line="400" w:lineRule="exact"/>
        <w:ind w:firstLine="420" w:firstLineChars="200"/>
        <w:rPr>
          <w:szCs w:val="21"/>
        </w:rPr>
      </w:pPr>
      <w:r>
        <w:rPr>
          <w:szCs w:val="21"/>
        </w:rPr>
        <w:t>（1）工程设备安装具备单机无负荷试运行条件，由承包人组织试运行，费用由承包人承担。</w:t>
      </w:r>
    </w:p>
    <w:p w14:paraId="3C279DA1">
      <w:pPr>
        <w:spacing w:line="400" w:lineRule="exact"/>
        <w:ind w:firstLine="420" w:firstLineChars="200"/>
        <w:rPr>
          <w:szCs w:val="21"/>
        </w:rPr>
      </w:pPr>
      <w:r>
        <w:rPr>
          <w:szCs w:val="21"/>
        </w:rPr>
        <w:t>（2） 工程设备安装具备无负荷联动试运行条件，由发包人组织试运行，费用由发包人承担。</w:t>
      </w:r>
    </w:p>
    <w:p w14:paraId="56D6F457">
      <w:pPr>
        <w:spacing w:line="400" w:lineRule="exact"/>
        <w:ind w:firstLine="420" w:firstLineChars="200"/>
      </w:pPr>
      <w:r>
        <w:t>（3）</w:t>
      </w:r>
      <w:r>
        <w:rPr>
          <w:szCs w:val="21"/>
        </w:rPr>
        <w:t>投料试运行应在工程竣工验收后由发包人负责，如发包人要求在工程竣工验收前进行或需要承包人配合时，应征得承包人同意，另行签订补充协议。</w:t>
      </w:r>
    </w:p>
    <w:p w14:paraId="0F68990E">
      <w:pPr>
        <w:pStyle w:val="512"/>
        <w:spacing w:before="120" w:after="120"/>
      </w:pPr>
      <w:bookmarkStart w:id="2400" w:name="_Toc132619221"/>
      <w:bookmarkStart w:id="2401" w:name="_Toc109914537"/>
      <w:bookmarkStart w:id="2402" w:name="_Toc241459734"/>
      <w:bookmarkStart w:id="2403" w:name="_Toc342296493"/>
      <w:bookmarkStart w:id="2404" w:name="_Toc129798472"/>
      <w:bookmarkStart w:id="2405" w:name="_Toc142385760"/>
      <w:r>
        <w:t>18.7 竣工清场</w:t>
      </w:r>
      <w:bookmarkEnd w:id="2396"/>
      <w:bookmarkEnd w:id="2397"/>
      <w:bookmarkEnd w:id="2398"/>
      <w:bookmarkEnd w:id="2399"/>
      <w:bookmarkEnd w:id="2400"/>
      <w:bookmarkEnd w:id="2401"/>
      <w:bookmarkEnd w:id="2402"/>
      <w:bookmarkEnd w:id="2403"/>
      <w:bookmarkEnd w:id="2404"/>
      <w:bookmarkEnd w:id="2405"/>
    </w:p>
    <w:p w14:paraId="3AC473B2">
      <w:pPr>
        <w:spacing w:line="400" w:lineRule="exact"/>
        <w:ind w:firstLine="420" w:firstLineChars="200"/>
        <w:rPr>
          <w:szCs w:val="21"/>
        </w:rPr>
      </w:pPr>
      <w:r>
        <w:rPr>
          <w:szCs w:val="21"/>
        </w:rPr>
        <w:t>18.7.1监理人颁发（出具）工程接收证书后，承包人负责按照通用合同条款本项约定的要求对施工场地进行清理并承担相关费用，直至监理人检验合格为止。</w:t>
      </w:r>
    </w:p>
    <w:p w14:paraId="1D9743B1">
      <w:pPr>
        <w:pStyle w:val="512"/>
        <w:spacing w:before="120" w:after="120"/>
      </w:pPr>
      <w:bookmarkStart w:id="2406" w:name="_Toc241459735"/>
      <w:bookmarkStart w:id="2407" w:name="_Toc144974704"/>
      <w:bookmarkStart w:id="2408" w:name="_Toc109914538"/>
      <w:bookmarkStart w:id="2409" w:name="_Toc142385761"/>
      <w:bookmarkStart w:id="2410" w:name="_Toc129798473"/>
      <w:bookmarkStart w:id="2411" w:name="_Toc342296494"/>
      <w:bookmarkStart w:id="2412" w:name="_Toc152045733"/>
      <w:bookmarkStart w:id="2413" w:name="_Toc152042512"/>
      <w:bookmarkStart w:id="2414" w:name="_Toc179632751"/>
      <w:bookmarkStart w:id="2415" w:name="_Toc132619222"/>
      <w:r>
        <w:t>18.8 施工队伍的撤离</w:t>
      </w:r>
      <w:bookmarkEnd w:id="2406"/>
      <w:bookmarkEnd w:id="2407"/>
      <w:bookmarkEnd w:id="2408"/>
      <w:bookmarkEnd w:id="2409"/>
      <w:bookmarkEnd w:id="2410"/>
      <w:bookmarkEnd w:id="2411"/>
      <w:bookmarkEnd w:id="2412"/>
      <w:bookmarkEnd w:id="2413"/>
      <w:bookmarkEnd w:id="2414"/>
      <w:bookmarkEnd w:id="2415"/>
    </w:p>
    <w:p w14:paraId="4F0C907A">
      <w:pPr>
        <w:spacing w:line="400" w:lineRule="exact"/>
        <w:ind w:firstLine="420" w:firstLineChars="200"/>
        <w:rPr>
          <w:szCs w:val="21"/>
        </w:rPr>
      </w:pPr>
      <w:bookmarkStart w:id="2416" w:name="_Toc152042513"/>
      <w:bookmarkStart w:id="2417" w:name="_Toc179632752"/>
      <w:bookmarkStart w:id="2418" w:name="_Toc144974705"/>
      <w:bookmarkStart w:id="2419" w:name="_Toc152045734"/>
      <w:r>
        <w:rPr>
          <w:szCs w:val="21"/>
        </w:rPr>
        <w:t>承包人按照通用合同条款第18.8款约定撤离施工场地（现场）时，监理人和承包人应当办理永久工程和施工场地移交手续，移交手续以书面方式出具，并分别经过发包人、监理人和承包人的签认。</w:t>
      </w:r>
    </w:p>
    <w:p w14:paraId="300F747C">
      <w:pPr>
        <w:spacing w:line="400" w:lineRule="exact"/>
        <w:ind w:firstLine="420" w:firstLineChars="200"/>
        <w:rPr>
          <w:szCs w:val="21"/>
          <w:u w:val="single"/>
        </w:rPr>
      </w:pPr>
      <w:r>
        <w:rPr>
          <w:szCs w:val="21"/>
        </w:rPr>
        <w:t>缺陷责任期满时，承包人可以继续在施工场地保留的人员和施工设备以及最终撤离的期限：</w:t>
      </w:r>
      <w:r>
        <w:rPr>
          <w:szCs w:val="21"/>
          <w:u w:val="single"/>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r>
        <w:rPr>
          <w:szCs w:val="21"/>
        </w:rPr>
        <w:t>。</w:t>
      </w:r>
    </w:p>
    <w:p w14:paraId="5BF47C8E">
      <w:pPr>
        <w:pStyle w:val="512"/>
        <w:spacing w:before="120" w:after="120"/>
      </w:pPr>
      <w:bookmarkStart w:id="2420" w:name="_Toc129798474"/>
      <w:bookmarkStart w:id="2421" w:name="_Toc132619223"/>
      <w:bookmarkStart w:id="2422" w:name="_Toc142385762"/>
      <w:bookmarkStart w:id="2423" w:name="_Toc241459736"/>
      <w:bookmarkStart w:id="2424" w:name="_Toc109914539"/>
      <w:bookmarkStart w:id="2425" w:name="_Toc342296495"/>
      <w:r>
        <w:t>18.9 中间验收</w:t>
      </w:r>
      <w:bookmarkEnd w:id="2420"/>
      <w:bookmarkEnd w:id="2421"/>
      <w:bookmarkEnd w:id="2422"/>
      <w:bookmarkEnd w:id="2423"/>
      <w:bookmarkEnd w:id="2424"/>
      <w:bookmarkEnd w:id="2425"/>
    </w:p>
    <w:p w14:paraId="4D5B46AD">
      <w:pPr>
        <w:spacing w:line="400" w:lineRule="exact"/>
        <w:ind w:firstLine="525" w:firstLineChars="250"/>
        <w:rPr>
          <w:szCs w:val="21"/>
        </w:rPr>
      </w:pPr>
      <w:r>
        <w:rPr>
          <w:szCs w:val="21"/>
        </w:rPr>
        <w:t>本工程需要进行中间验收的部位如下：</w:t>
      </w:r>
      <w:r>
        <w:rPr>
          <w:szCs w:val="21"/>
          <w:u w:val="single"/>
        </w:rPr>
        <w:t xml:space="preserve">   /    </w:t>
      </w:r>
      <w:r>
        <w:rPr>
          <w:szCs w:val="21"/>
        </w:rPr>
        <w:t>。</w:t>
      </w:r>
    </w:p>
    <w:p w14:paraId="41B334B0">
      <w:pPr>
        <w:spacing w:line="400" w:lineRule="exact"/>
        <w:ind w:firstLine="420" w:firstLineChars="200"/>
        <w:rPr>
          <w:szCs w:val="21"/>
        </w:rPr>
      </w:pPr>
      <w:r>
        <w:rPr>
          <w:szCs w:val="21"/>
        </w:rPr>
        <w:t>当工程进度达到本款约定的中间验收部位时，承包人应当进行自检，并在中间验收前48小时以书面形式通知监理人验收。书面通知应包括中间验收的内容、验收时间和地点。承包人应当准备验收记录。只有监理人验收合格并在验收记录上签字后，承包人方可继续施工。验收不合格的，承包人在</w:t>
      </w:r>
      <w:r>
        <w:rPr>
          <w:szCs w:val="21"/>
          <w:u w:val="single"/>
        </w:rPr>
        <w:t xml:space="preserve">      /      </w:t>
      </w:r>
      <w:r>
        <w:rPr>
          <w:szCs w:val="21"/>
        </w:rPr>
        <w:t>期限内进行修改后重新验收。</w:t>
      </w:r>
    </w:p>
    <w:p w14:paraId="12F9159D">
      <w:pPr>
        <w:spacing w:line="400" w:lineRule="exact"/>
        <w:ind w:firstLine="420" w:firstLineChars="200"/>
        <w:rPr>
          <w:szCs w:val="21"/>
        </w:rPr>
      </w:pPr>
      <w:r>
        <w:rPr>
          <w:szCs w:val="21"/>
        </w:rPr>
        <w:t>监理人不能按时进行验收的，应在验收前24小时以书面形式向承包人提出延期要求，延期不能超过48小时。监理人未能按本款约定的时限提出延期要求，又未按期进行验收的，承包人可自行组织验收，监理人必须认同验收记录。</w:t>
      </w:r>
    </w:p>
    <w:p w14:paraId="78BEDB0F">
      <w:pPr>
        <w:spacing w:line="400" w:lineRule="exact"/>
        <w:ind w:firstLine="420" w:firstLineChars="200"/>
        <w:rPr>
          <w:szCs w:val="21"/>
        </w:rPr>
      </w:pPr>
      <w:r>
        <w:rPr>
          <w:szCs w:val="21"/>
        </w:rPr>
        <w:t>经监理人验收后工程质量符合约定的验收标准，但验收24小时后监理人仍不在验收记录上签字的，视为监理人已经认可验收记录，承包人可继续施工。</w:t>
      </w:r>
    </w:p>
    <w:p w14:paraId="4CE6C30A">
      <w:pPr>
        <w:pStyle w:val="548"/>
        <w:spacing w:before="120" w:after="120"/>
        <w:rPr>
          <w:rFonts w:cs="仿宋_GB2312"/>
        </w:rPr>
      </w:pPr>
      <w:bookmarkStart w:id="2426" w:name="_Toc132619224"/>
      <w:bookmarkStart w:id="2427" w:name="_Toc469660059"/>
      <w:bookmarkStart w:id="2428" w:name="_Toc448758464"/>
      <w:bookmarkStart w:id="2429" w:name="_Toc442365656"/>
      <w:bookmarkStart w:id="2430" w:name="_Toc109914540"/>
      <w:bookmarkStart w:id="2431" w:name="_Toc142385763"/>
      <w:bookmarkStart w:id="2432" w:name="_Toc342296496"/>
      <w:bookmarkStart w:id="2433" w:name="_Toc241459737"/>
      <w:bookmarkStart w:id="2434" w:name="_Toc448758564"/>
      <w:bookmarkStart w:id="2435" w:name="_Toc129798475"/>
      <w:r>
        <w:rPr>
          <w:rFonts w:cs="仿宋_GB2312"/>
        </w:rPr>
        <w:t>19. 缺陷责任与保修责任</w:t>
      </w:r>
      <w:bookmarkEnd w:id="2416"/>
      <w:bookmarkEnd w:id="2417"/>
      <w:bookmarkEnd w:id="2418"/>
      <w:bookmarkEnd w:id="2419"/>
      <w:bookmarkEnd w:id="2426"/>
      <w:bookmarkEnd w:id="2427"/>
      <w:bookmarkEnd w:id="2428"/>
      <w:bookmarkEnd w:id="2429"/>
      <w:bookmarkEnd w:id="2430"/>
      <w:bookmarkEnd w:id="2431"/>
      <w:bookmarkEnd w:id="2432"/>
      <w:bookmarkEnd w:id="2433"/>
      <w:bookmarkEnd w:id="2434"/>
      <w:bookmarkEnd w:id="2435"/>
    </w:p>
    <w:p w14:paraId="4BD52263">
      <w:pPr>
        <w:pStyle w:val="512"/>
        <w:spacing w:before="120" w:after="120"/>
      </w:pPr>
      <w:bookmarkStart w:id="2436" w:name="_Toc144974712"/>
      <w:bookmarkStart w:id="2437" w:name="_Toc109914541"/>
      <w:bookmarkStart w:id="2438" w:name="_Toc179632759"/>
      <w:bookmarkStart w:id="2439" w:name="_Toc142385764"/>
      <w:bookmarkStart w:id="2440" w:name="_Toc342296497"/>
      <w:bookmarkStart w:id="2441" w:name="_Toc152045741"/>
      <w:bookmarkStart w:id="2442" w:name="_Toc152042520"/>
      <w:bookmarkStart w:id="2443" w:name="_Toc129798476"/>
      <w:bookmarkStart w:id="2444" w:name="_Toc132619225"/>
      <w:bookmarkStart w:id="2445" w:name="_Toc241459738"/>
      <w:r>
        <w:t>19.7 保修责任</w:t>
      </w:r>
      <w:bookmarkEnd w:id="2436"/>
      <w:bookmarkEnd w:id="2437"/>
      <w:bookmarkEnd w:id="2438"/>
      <w:bookmarkEnd w:id="2439"/>
      <w:bookmarkEnd w:id="2440"/>
      <w:bookmarkEnd w:id="2441"/>
      <w:bookmarkEnd w:id="2442"/>
      <w:bookmarkEnd w:id="2443"/>
      <w:bookmarkEnd w:id="2444"/>
      <w:bookmarkEnd w:id="2445"/>
    </w:p>
    <w:p w14:paraId="4A94FBF1">
      <w:pPr>
        <w:spacing w:line="400" w:lineRule="exact"/>
        <w:ind w:firstLine="420" w:firstLineChars="200"/>
        <w:rPr>
          <w:szCs w:val="21"/>
        </w:rPr>
      </w:pPr>
      <w:r>
        <w:rPr>
          <w:szCs w:val="21"/>
        </w:rPr>
        <w:t>（1）工程质量保修范围：</w:t>
      </w:r>
      <w:r>
        <w:rPr>
          <w:rFonts w:hint="eastAsia"/>
          <w:szCs w:val="21"/>
          <w:u w:val="single"/>
        </w:rPr>
        <w:t>由施工单位负责实施的所有项目</w:t>
      </w:r>
      <w:r>
        <w:rPr>
          <w:szCs w:val="21"/>
        </w:rPr>
        <w:t>。</w:t>
      </w:r>
    </w:p>
    <w:p w14:paraId="50922D6F">
      <w:pPr>
        <w:spacing w:line="400" w:lineRule="exact"/>
        <w:ind w:firstLine="420" w:firstLineChars="200"/>
        <w:rPr>
          <w:szCs w:val="21"/>
        </w:rPr>
      </w:pPr>
      <w:r>
        <w:rPr>
          <w:szCs w:val="21"/>
        </w:rPr>
        <w:t>（2）工程质量保修期限：</w:t>
      </w:r>
      <w:r>
        <w:rPr>
          <w:szCs w:val="21"/>
          <w:u w:val="single"/>
        </w:rPr>
        <w:t>根据《建设工程质量管理条例》的规定，供热与供冷系统，为两个采暖期、供冷期；电气管线、给排水管道、设备安装和装修工程为两年；其他工程的保修期限为两年。</w:t>
      </w:r>
      <w:r>
        <w:rPr>
          <w:rFonts w:hint="eastAsia"/>
          <w:szCs w:val="21"/>
          <w:u w:val="single"/>
        </w:rPr>
        <w:t>本项目粉刷部分质保期2年，防水部分质保期5年，</w:t>
      </w:r>
      <w:r>
        <w:rPr>
          <w:szCs w:val="21"/>
          <w:u w:val="single"/>
        </w:rPr>
        <w:t>建设工程的保修期，自竣工验收合格之日起计算</w:t>
      </w:r>
      <w:r>
        <w:rPr>
          <w:szCs w:val="21"/>
        </w:rPr>
        <w:t>。</w:t>
      </w:r>
    </w:p>
    <w:p w14:paraId="12E5CFD9">
      <w:pPr>
        <w:spacing w:line="400" w:lineRule="exact"/>
        <w:ind w:firstLine="420" w:firstLineChars="200"/>
        <w:rPr>
          <w:szCs w:val="21"/>
        </w:rPr>
      </w:pPr>
      <w:r>
        <w:rPr>
          <w:szCs w:val="21"/>
        </w:rPr>
        <w:t>（3）工程质量保修责任：</w:t>
      </w:r>
      <w:r>
        <w:rPr>
          <w:szCs w:val="21"/>
          <w:u w:val="single"/>
        </w:rPr>
        <w:t>缺陷责任期内，由承包人原因造成的缺陷，承包人应负责维修，并承担鉴定及维修费用。并承担鉴定及维修费用。如承包人不维修</w:t>
      </w:r>
      <w:r>
        <w:rPr>
          <w:rFonts w:hint="eastAsia"/>
          <w:szCs w:val="21"/>
          <w:u w:val="single"/>
        </w:rPr>
        <w:t>或</w:t>
      </w:r>
      <w:r>
        <w:rPr>
          <w:szCs w:val="21"/>
          <w:u w:val="single"/>
        </w:rPr>
        <w:t>不承担费用，发包人可扣除保证金，并由承包人承担违约责任，保证金不足以支付维修费用的，承包人仍应承担全部差额。承包人维修并承担相应费用后，不免除对工程的一般损失赔偿责任</w:t>
      </w:r>
      <w:r>
        <w:rPr>
          <w:szCs w:val="21"/>
        </w:rPr>
        <w:t>。</w:t>
      </w:r>
    </w:p>
    <w:p w14:paraId="1563671D">
      <w:pPr>
        <w:spacing w:line="400" w:lineRule="exact"/>
        <w:ind w:firstLine="420" w:firstLineChars="200"/>
        <w:rPr>
          <w:szCs w:val="21"/>
        </w:rPr>
      </w:pPr>
      <w:r>
        <w:rPr>
          <w:szCs w:val="21"/>
        </w:rPr>
        <w:t>质量保修书是竣工验收申请报告的组成内容。承包人应当按照有关法律法规规定和合同所附的格式出具质量保修书，质量保修书的主要内容应当与本款上述约定内容一致。承包人在递交合同条款第18.2款约定的竣工验收报告的同时，将质量保修书一并报送监理人。</w:t>
      </w:r>
    </w:p>
    <w:p w14:paraId="21778E9E">
      <w:pPr>
        <w:pStyle w:val="548"/>
        <w:spacing w:before="120" w:after="120"/>
        <w:rPr>
          <w:rFonts w:cs="仿宋_GB2312"/>
        </w:rPr>
      </w:pPr>
      <w:bookmarkStart w:id="2446" w:name="_Toc152042521"/>
      <w:bookmarkStart w:id="2447" w:name="_Toc152045742"/>
      <w:bookmarkStart w:id="2448" w:name="_Toc241459739"/>
      <w:bookmarkStart w:id="2449" w:name="_Toc144974713"/>
      <w:bookmarkStart w:id="2450" w:name="_Toc179632760"/>
      <w:bookmarkStart w:id="2451" w:name="_Toc342296498"/>
      <w:bookmarkStart w:id="2452" w:name="_Toc129798477"/>
      <w:bookmarkStart w:id="2453" w:name="_Toc448758565"/>
      <w:bookmarkStart w:id="2454" w:name="_Toc109914542"/>
      <w:bookmarkStart w:id="2455" w:name="_Toc132619226"/>
      <w:bookmarkStart w:id="2456" w:name="_Toc469660060"/>
      <w:bookmarkStart w:id="2457" w:name="_Toc448758465"/>
      <w:bookmarkStart w:id="2458" w:name="_Toc442365657"/>
      <w:bookmarkStart w:id="2459" w:name="_Toc142385765"/>
      <w:r>
        <w:rPr>
          <w:rFonts w:cs="仿宋_GB2312"/>
        </w:rPr>
        <w:t>20. 保险</w:t>
      </w:r>
      <w:bookmarkEnd w:id="2446"/>
      <w:bookmarkEnd w:id="2447"/>
      <w:bookmarkEnd w:id="2448"/>
      <w:bookmarkEnd w:id="2449"/>
      <w:bookmarkEnd w:id="2450"/>
      <w:bookmarkEnd w:id="2451"/>
      <w:r>
        <w:rPr>
          <w:rFonts w:cs="仿宋_GB2312"/>
        </w:rPr>
        <w:t xml:space="preserve"> （本项目不适用）</w:t>
      </w:r>
      <w:bookmarkEnd w:id="2452"/>
      <w:bookmarkEnd w:id="2453"/>
      <w:bookmarkEnd w:id="2454"/>
      <w:bookmarkEnd w:id="2455"/>
      <w:bookmarkEnd w:id="2456"/>
      <w:bookmarkEnd w:id="2457"/>
      <w:bookmarkEnd w:id="2458"/>
      <w:bookmarkEnd w:id="2459"/>
    </w:p>
    <w:p w14:paraId="02A6F707">
      <w:pPr>
        <w:pStyle w:val="512"/>
        <w:spacing w:before="120" w:after="120"/>
      </w:pPr>
      <w:bookmarkStart w:id="2460" w:name="_Toc342296499"/>
      <w:bookmarkStart w:id="2461" w:name="_Toc152042522"/>
      <w:bookmarkStart w:id="2462" w:name="_Toc109914543"/>
      <w:bookmarkStart w:id="2463" w:name="_Toc142385766"/>
      <w:bookmarkStart w:id="2464" w:name="_Toc179632761"/>
      <w:bookmarkStart w:id="2465" w:name="_Toc132619227"/>
      <w:bookmarkStart w:id="2466" w:name="_Toc144974714"/>
      <w:bookmarkStart w:id="2467" w:name="_Toc152045743"/>
      <w:bookmarkStart w:id="2468" w:name="_Toc129798478"/>
      <w:bookmarkStart w:id="2469" w:name="_Toc241459740"/>
      <w:r>
        <w:t>20.1 工程保险</w:t>
      </w:r>
      <w:bookmarkEnd w:id="2460"/>
      <w:bookmarkEnd w:id="2461"/>
      <w:bookmarkEnd w:id="2462"/>
      <w:bookmarkEnd w:id="2463"/>
      <w:bookmarkEnd w:id="2464"/>
      <w:bookmarkEnd w:id="2465"/>
      <w:bookmarkEnd w:id="2466"/>
      <w:bookmarkEnd w:id="2467"/>
      <w:bookmarkEnd w:id="2468"/>
      <w:bookmarkEnd w:id="2469"/>
    </w:p>
    <w:p w14:paraId="5A5F80C9">
      <w:pPr>
        <w:spacing w:line="400" w:lineRule="exact"/>
        <w:ind w:firstLine="420" w:firstLineChars="200"/>
        <w:rPr>
          <w:szCs w:val="21"/>
        </w:rPr>
      </w:pPr>
      <w:bookmarkStart w:id="2470" w:name="_Toc152042523"/>
      <w:bookmarkStart w:id="2471" w:name="_Toc179632762"/>
      <w:bookmarkStart w:id="2472" w:name="_Toc152045744"/>
      <w:bookmarkStart w:id="2473" w:name="_Toc144974715"/>
      <w:r>
        <w:rPr>
          <w:szCs w:val="21"/>
        </w:rPr>
        <w:t>本工程</w:t>
      </w:r>
      <w:r>
        <w:rPr>
          <w:szCs w:val="21"/>
          <w:u w:val="single"/>
        </w:rPr>
        <w:t xml:space="preserve">         </w:t>
      </w:r>
      <w:r>
        <w:rPr>
          <w:szCs w:val="21"/>
        </w:rPr>
        <w:t>(投保/不投保)工程保险。投保工程保险时，险种为：</w:t>
      </w:r>
      <w:r>
        <w:rPr>
          <w:szCs w:val="21"/>
          <w:u w:val="single"/>
        </w:rPr>
        <w:t xml:space="preserve">                 </w:t>
      </w:r>
      <w:r>
        <w:rPr>
          <w:szCs w:val="21"/>
        </w:rPr>
        <w:t>，并符合以下约定。</w:t>
      </w:r>
    </w:p>
    <w:p w14:paraId="1CDC9689">
      <w:pPr>
        <w:spacing w:line="400" w:lineRule="exact"/>
        <w:ind w:firstLine="420" w:firstLineChars="200"/>
        <w:rPr>
          <w:szCs w:val="21"/>
        </w:rPr>
      </w:pPr>
      <w:r>
        <w:rPr>
          <w:szCs w:val="21"/>
        </w:rPr>
        <w:t>（1）投保人：</w:t>
      </w:r>
      <w:r>
        <w:rPr>
          <w:szCs w:val="21"/>
          <w:u w:val="single"/>
        </w:rPr>
        <w:t xml:space="preserve">                                                              </w:t>
      </w:r>
      <w:r>
        <w:rPr>
          <w:szCs w:val="21"/>
        </w:rPr>
        <w:t>。</w:t>
      </w:r>
    </w:p>
    <w:p w14:paraId="5587C562">
      <w:pPr>
        <w:spacing w:line="400" w:lineRule="exact"/>
        <w:ind w:firstLine="420" w:firstLineChars="200"/>
        <w:rPr>
          <w:szCs w:val="21"/>
        </w:rPr>
      </w:pPr>
      <w:r>
        <w:rPr>
          <w:szCs w:val="21"/>
        </w:rPr>
        <w:t>（2）投保内容：</w:t>
      </w:r>
      <w:r>
        <w:rPr>
          <w:szCs w:val="21"/>
          <w:u w:val="single"/>
        </w:rPr>
        <w:t xml:space="preserve">                                                            </w:t>
      </w:r>
      <w:r>
        <w:rPr>
          <w:szCs w:val="21"/>
        </w:rPr>
        <w:t>。</w:t>
      </w:r>
    </w:p>
    <w:p w14:paraId="54AC229B">
      <w:pPr>
        <w:spacing w:line="400" w:lineRule="exact"/>
        <w:ind w:firstLine="420" w:firstLineChars="200"/>
      </w:pPr>
      <w:r>
        <w:rPr>
          <w:szCs w:val="21"/>
        </w:rPr>
        <w:t>（3）保险费率：由投保人与合同双方同意的保险人商定</w:t>
      </w:r>
      <w:r>
        <w:t>。</w:t>
      </w:r>
    </w:p>
    <w:p w14:paraId="6AB884A0">
      <w:pPr>
        <w:spacing w:line="400" w:lineRule="exact"/>
        <w:ind w:firstLine="420" w:firstLineChars="200"/>
        <w:rPr>
          <w:szCs w:val="21"/>
        </w:rPr>
      </w:pPr>
      <w:r>
        <w:rPr>
          <w:szCs w:val="21"/>
        </w:rPr>
        <w:t>（4）保险金额：</w:t>
      </w:r>
      <w:r>
        <w:rPr>
          <w:szCs w:val="21"/>
          <w:u w:val="single"/>
        </w:rPr>
        <w:t xml:space="preserve">  </w:t>
      </w:r>
      <w:r>
        <w:rPr>
          <w:u w:val="single"/>
        </w:rPr>
        <w:t xml:space="preserve">                                                          </w:t>
      </w:r>
      <w:r>
        <w:t>。</w:t>
      </w:r>
    </w:p>
    <w:p w14:paraId="43C4D2AE">
      <w:pPr>
        <w:spacing w:line="400" w:lineRule="exact"/>
        <w:ind w:firstLine="420" w:firstLineChars="200"/>
        <w:rPr>
          <w:szCs w:val="21"/>
          <w:u w:val="single"/>
        </w:rPr>
      </w:pPr>
      <w:r>
        <w:rPr>
          <w:szCs w:val="21"/>
        </w:rPr>
        <w:t>（5）保险期限：</w:t>
      </w:r>
      <w:r>
        <w:rPr>
          <w:szCs w:val="21"/>
          <w:u w:val="single"/>
        </w:rPr>
        <w:t xml:space="preserve">  </w:t>
      </w:r>
      <w:r>
        <w:rPr>
          <w:u w:val="single"/>
        </w:rPr>
        <w:t xml:space="preserve">                                                          </w:t>
      </w:r>
      <w:r>
        <w:t>。</w:t>
      </w:r>
    </w:p>
    <w:bookmarkEnd w:id="2470"/>
    <w:bookmarkEnd w:id="2471"/>
    <w:bookmarkEnd w:id="2472"/>
    <w:bookmarkEnd w:id="2473"/>
    <w:p w14:paraId="70D32DE8">
      <w:pPr>
        <w:pStyle w:val="512"/>
        <w:spacing w:before="120" w:after="120"/>
      </w:pPr>
      <w:bookmarkStart w:id="2474" w:name="_Toc144974717"/>
      <w:bookmarkStart w:id="2475" w:name="_Toc342296500"/>
      <w:bookmarkStart w:id="2476" w:name="_Toc129798479"/>
      <w:bookmarkStart w:id="2477" w:name="_Toc109914544"/>
      <w:bookmarkStart w:id="2478" w:name="_Toc132619228"/>
      <w:bookmarkStart w:id="2479" w:name="_Toc142385767"/>
      <w:bookmarkStart w:id="2480" w:name="_Toc241459741"/>
      <w:bookmarkStart w:id="2481" w:name="_Toc179632764"/>
      <w:bookmarkStart w:id="2482" w:name="_Toc152042525"/>
      <w:bookmarkStart w:id="2483" w:name="_Toc152045746"/>
      <w:r>
        <w:t>20.4 第三者责任险</w:t>
      </w:r>
      <w:bookmarkEnd w:id="2474"/>
      <w:bookmarkEnd w:id="2475"/>
      <w:bookmarkEnd w:id="2476"/>
      <w:bookmarkEnd w:id="2477"/>
      <w:bookmarkEnd w:id="2478"/>
      <w:bookmarkEnd w:id="2479"/>
      <w:bookmarkEnd w:id="2480"/>
      <w:bookmarkEnd w:id="2481"/>
      <w:bookmarkEnd w:id="2482"/>
      <w:bookmarkEnd w:id="2483"/>
    </w:p>
    <w:p w14:paraId="70950F2B">
      <w:pPr>
        <w:spacing w:line="400" w:lineRule="exact"/>
        <w:ind w:firstLine="420" w:firstLineChars="200"/>
      </w:pPr>
      <w:r>
        <w:rPr>
          <w:szCs w:val="21"/>
        </w:rPr>
        <w:t>20.4.2保险金额：</w:t>
      </w:r>
      <w:r>
        <w:rPr>
          <w:szCs w:val="21"/>
          <w:u w:val="single"/>
        </w:rPr>
        <w:t xml:space="preserve">  </w:t>
      </w:r>
      <w:r>
        <w:rPr>
          <w:u w:val="single"/>
        </w:rPr>
        <w:t xml:space="preserve">                                                    </w:t>
      </w:r>
      <w:r>
        <w:t xml:space="preserve"> ，</w:t>
      </w:r>
      <w:r>
        <w:rPr>
          <w:szCs w:val="21"/>
        </w:rPr>
        <w:t>保险费率由承包人与发包人同意的保险人商定，相关保险费由</w:t>
      </w:r>
      <w:r>
        <w:rPr>
          <w:szCs w:val="21"/>
          <w:u w:val="single"/>
        </w:rPr>
        <w:t xml:space="preserve">             </w:t>
      </w:r>
      <w:r>
        <w:rPr>
          <w:szCs w:val="21"/>
        </w:rPr>
        <w:t>承担</w:t>
      </w:r>
      <w:r>
        <w:t>。</w:t>
      </w:r>
    </w:p>
    <w:p w14:paraId="2173E86C">
      <w:pPr>
        <w:pStyle w:val="512"/>
        <w:spacing w:before="120" w:after="120"/>
      </w:pPr>
      <w:bookmarkStart w:id="2484" w:name="_Toc342296501"/>
      <w:bookmarkStart w:id="2485" w:name="_Toc152042526"/>
      <w:bookmarkStart w:id="2486" w:name="_Toc179632765"/>
      <w:bookmarkStart w:id="2487" w:name="_Toc144974718"/>
      <w:bookmarkStart w:id="2488" w:name="_Toc109914545"/>
      <w:bookmarkStart w:id="2489" w:name="_Toc241459742"/>
      <w:bookmarkStart w:id="2490" w:name="_Toc132619229"/>
      <w:bookmarkStart w:id="2491" w:name="_Toc152045747"/>
      <w:bookmarkStart w:id="2492" w:name="_Toc129798480"/>
      <w:bookmarkStart w:id="2493" w:name="_Toc142385768"/>
      <w:r>
        <w:t>20.5 其他保险</w:t>
      </w:r>
      <w:bookmarkEnd w:id="2484"/>
      <w:bookmarkEnd w:id="2485"/>
      <w:bookmarkEnd w:id="2486"/>
      <w:bookmarkEnd w:id="2487"/>
      <w:bookmarkEnd w:id="2488"/>
      <w:bookmarkEnd w:id="2489"/>
      <w:bookmarkEnd w:id="2490"/>
      <w:bookmarkEnd w:id="2491"/>
      <w:bookmarkEnd w:id="2492"/>
      <w:bookmarkEnd w:id="2493"/>
    </w:p>
    <w:p w14:paraId="76A83E30">
      <w:pPr>
        <w:spacing w:line="400" w:lineRule="exact"/>
        <w:ind w:firstLine="420" w:firstLineChars="200"/>
        <w:rPr>
          <w:szCs w:val="21"/>
          <w:u w:val="single"/>
        </w:rPr>
      </w:pPr>
      <w:r>
        <w:rPr>
          <w:szCs w:val="21"/>
        </w:rPr>
        <w:t>承包人应为其施工设备、进场材料和工程设备等办理的保险：</w:t>
      </w:r>
      <w:r>
        <w:rPr>
          <w:szCs w:val="21"/>
          <w:u w:val="single"/>
        </w:rPr>
        <w:t xml:space="preserve">                    </w:t>
      </w:r>
    </w:p>
    <w:p w14:paraId="2F66B82A">
      <w:pPr>
        <w:spacing w:line="400" w:lineRule="exact"/>
        <w:ind w:firstLine="420" w:firstLineChars="200"/>
      </w:pPr>
      <w:r>
        <w:rPr>
          <w:szCs w:val="21"/>
          <w:u w:val="single"/>
        </w:rPr>
        <w:t xml:space="preserve">  </w:t>
      </w:r>
      <w:r>
        <w:rPr>
          <w:u w:val="single"/>
        </w:rPr>
        <w:t xml:space="preserve">                                                                        </w:t>
      </w:r>
      <w:r>
        <w:t>。</w:t>
      </w:r>
    </w:p>
    <w:p w14:paraId="12B3FF7F">
      <w:pPr>
        <w:pStyle w:val="512"/>
        <w:spacing w:before="120" w:after="120"/>
      </w:pPr>
      <w:bookmarkStart w:id="2494" w:name="_Toc144974719"/>
      <w:bookmarkStart w:id="2495" w:name="_Toc241459743"/>
      <w:bookmarkStart w:id="2496" w:name="_Toc152042527"/>
      <w:bookmarkStart w:id="2497" w:name="_Toc342296502"/>
      <w:bookmarkStart w:id="2498" w:name="_Toc129798481"/>
      <w:bookmarkStart w:id="2499" w:name="_Toc152045748"/>
      <w:bookmarkStart w:id="2500" w:name="_Toc142385769"/>
      <w:bookmarkStart w:id="2501" w:name="_Toc179632766"/>
      <w:bookmarkStart w:id="2502" w:name="_Toc109914546"/>
      <w:bookmarkStart w:id="2503" w:name="_Toc132619230"/>
      <w:r>
        <w:t>20.6 对各项保险的一般要求</w:t>
      </w:r>
      <w:bookmarkEnd w:id="2494"/>
      <w:bookmarkEnd w:id="2495"/>
      <w:bookmarkEnd w:id="2496"/>
      <w:bookmarkEnd w:id="2497"/>
      <w:bookmarkEnd w:id="2498"/>
      <w:bookmarkEnd w:id="2499"/>
      <w:bookmarkEnd w:id="2500"/>
      <w:bookmarkEnd w:id="2501"/>
      <w:bookmarkEnd w:id="2502"/>
      <w:bookmarkEnd w:id="2503"/>
    </w:p>
    <w:p w14:paraId="1E5D759E">
      <w:pPr>
        <w:spacing w:line="400" w:lineRule="exact"/>
        <w:rPr>
          <w:rFonts w:eastAsia="Cambria"/>
          <w:szCs w:val="21"/>
        </w:rPr>
      </w:pPr>
      <w:r>
        <w:rPr>
          <w:rFonts w:eastAsia="Cambria"/>
          <w:szCs w:val="21"/>
        </w:rPr>
        <w:t>20.6.1</w:t>
      </w:r>
      <w:r>
        <w:rPr>
          <w:rFonts w:hint="eastAsia" w:ascii="宋体" w:hAnsi="宋体" w:cs="宋体"/>
          <w:szCs w:val="21"/>
        </w:rPr>
        <w:t>保险凭证</w:t>
      </w:r>
    </w:p>
    <w:p w14:paraId="0275F702">
      <w:pPr>
        <w:spacing w:line="400" w:lineRule="exact"/>
        <w:ind w:firstLine="525"/>
        <w:rPr>
          <w:szCs w:val="21"/>
          <w:u w:val="single"/>
        </w:rPr>
      </w:pPr>
      <w:r>
        <w:rPr>
          <w:szCs w:val="21"/>
        </w:rPr>
        <w:t>承包人向发包人提交各项保险生效的证据和保险单副本的期限：</w:t>
      </w:r>
      <w:r>
        <w:rPr>
          <w:szCs w:val="21"/>
          <w:u w:val="single"/>
        </w:rPr>
        <w:t xml:space="preserve">                 </w:t>
      </w:r>
    </w:p>
    <w:p w14:paraId="0291BB95">
      <w:pPr>
        <w:spacing w:line="400" w:lineRule="exact"/>
        <w:rPr>
          <w:szCs w:val="21"/>
          <w:u w:val="single"/>
        </w:rPr>
      </w:pPr>
      <w:r>
        <w:rPr>
          <w:szCs w:val="21"/>
          <w:u w:val="single"/>
        </w:rPr>
        <w:t xml:space="preserve">  </w:t>
      </w:r>
      <w:r>
        <w:rPr>
          <w:u w:val="single"/>
        </w:rPr>
        <w:t xml:space="preserve">                                                                            </w:t>
      </w:r>
      <w:r>
        <w:t>。</w:t>
      </w:r>
    </w:p>
    <w:p w14:paraId="2BD5EAEB">
      <w:pPr>
        <w:spacing w:line="400" w:lineRule="exact"/>
        <w:rPr>
          <w:rFonts w:eastAsia="Cambria"/>
          <w:szCs w:val="21"/>
        </w:rPr>
      </w:pPr>
      <w:r>
        <w:rPr>
          <w:rFonts w:eastAsia="Cambria"/>
          <w:szCs w:val="21"/>
        </w:rPr>
        <w:t>20.6.4</w:t>
      </w:r>
      <w:r>
        <w:rPr>
          <w:rFonts w:hint="eastAsia" w:ascii="宋体" w:hAnsi="宋体" w:cs="宋体"/>
          <w:szCs w:val="21"/>
        </w:rPr>
        <w:t>保险金不足的补偿</w:t>
      </w:r>
    </w:p>
    <w:p w14:paraId="48A21527">
      <w:pPr>
        <w:spacing w:line="400" w:lineRule="exact"/>
        <w:ind w:firstLine="525"/>
        <w:rPr>
          <w:szCs w:val="21"/>
          <w:u w:val="single"/>
        </w:rPr>
      </w:pPr>
      <w:r>
        <w:rPr>
          <w:szCs w:val="21"/>
        </w:rPr>
        <w:t>保险金不足以补偿损失时，承包人和发包人负责补偿的责任分摊：</w:t>
      </w:r>
      <w:r>
        <w:rPr>
          <w:szCs w:val="21"/>
          <w:u w:val="single"/>
        </w:rPr>
        <w:t xml:space="preserve">               </w:t>
      </w:r>
    </w:p>
    <w:p w14:paraId="0D125EED">
      <w:pPr>
        <w:spacing w:line="400" w:lineRule="exact"/>
      </w:pPr>
      <w:r>
        <w:rPr>
          <w:szCs w:val="21"/>
          <w:u w:val="single"/>
        </w:rPr>
        <w:t xml:space="preserve">                    </w:t>
      </w:r>
      <w:r>
        <w:rPr>
          <w:u w:val="single"/>
        </w:rPr>
        <w:t xml:space="preserve">                                                          </w:t>
      </w:r>
      <w:r>
        <w:t>。</w:t>
      </w:r>
    </w:p>
    <w:p w14:paraId="14D050D7">
      <w:pPr>
        <w:pStyle w:val="548"/>
        <w:spacing w:before="120" w:after="120"/>
        <w:rPr>
          <w:rFonts w:cs="仿宋_GB2312"/>
        </w:rPr>
      </w:pPr>
      <w:bookmarkStart w:id="2504" w:name="_Toc448758466"/>
      <w:bookmarkStart w:id="2505" w:name="_Toc152045749"/>
      <w:bookmarkStart w:id="2506" w:name="_Toc469660061"/>
      <w:bookmarkStart w:id="2507" w:name="_Toc442365658"/>
      <w:bookmarkStart w:id="2508" w:name="_Toc132619231"/>
      <w:bookmarkStart w:id="2509" w:name="_Toc144974720"/>
      <w:bookmarkStart w:id="2510" w:name="_Toc179632767"/>
      <w:bookmarkStart w:id="2511" w:name="_Toc241459744"/>
      <w:bookmarkStart w:id="2512" w:name="_Toc109914547"/>
      <w:bookmarkStart w:id="2513" w:name="_Toc152042528"/>
      <w:bookmarkStart w:id="2514" w:name="_Toc342296503"/>
      <w:bookmarkStart w:id="2515" w:name="_Toc448758566"/>
      <w:bookmarkStart w:id="2516" w:name="_Toc129798482"/>
      <w:bookmarkStart w:id="2517" w:name="_Toc142385770"/>
      <w:r>
        <w:rPr>
          <w:rFonts w:cs="仿宋_GB2312"/>
        </w:rPr>
        <w:t>21. 不可抗力</w:t>
      </w:r>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p>
    <w:p w14:paraId="16B9F810">
      <w:pPr>
        <w:pStyle w:val="512"/>
        <w:spacing w:before="120" w:after="120"/>
      </w:pPr>
      <w:bookmarkStart w:id="2518" w:name="_Toc241459745"/>
      <w:bookmarkStart w:id="2519" w:name="_Toc132619232"/>
      <w:bookmarkStart w:id="2520" w:name="_Toc152042529"/>
      <w:bookmarkStart w:id="2521" w:name="_Toc144974721"/>
      <w:bookmarkStart w:id="2522" w:name="_Toc152045750"/>
      <w:bookmarkStart w:id="2523" w:name="_Toc109914548"/>
      <w:bookmarkStart w:id="2524" w:name="_Toc179632768"/>
      <w:bookmarkStart w:id="2525" w:name="_Toc142385771"/>
      <w:bookmarkStart w:id="2526" w:name="_Toc342296504"/>
      <w:bookmarkStart w:id="2527" w:name="_Toc129798483"/>
      <w:r>
        <w:t>21.1 不可抗力的确认</w:t>
      </w:r>
      <w:bookmarkEnd w:id="2518"/>
      <w:bookmarkEnd w:id="2519"/>
      <w:bookmarkEnd w:id="2520"/>
      <w:bookmarkEnd w:id="2521"/>
      <w:bookmarkEnd w:id="2522"/>
      <w:bookmarkEnd w:id="2523"/>
      <w:bookmarkEnd w:id="2524"/>
      <w:bookmarkEnd w:id="2525"/>
      <w:bookmarkEnd w:id="2526"/>
      <w:bookmarkEnd w:id="2527"/>
    </w:p>
    <w:p w14:paraId="776E3AE0">
      <w:pPr>
        <w:spacing w:line="400" w:lineRule="exact"/>
        <w:ind w:firstLine="525"/>
      </w:pPr>
      <w:r>
        <w:rPr>
          <w:szCs w:val="21"/>
        </w:rPr>
        <w:t>21.1.1通用合同条款第21.1.1项约定的不可抗力以外的其他情形：</w:t>
      </w:r>
      <w:r>
        <w:rPr>
          <w:szCs w:val="21"/>
          <w:u w:val="single"/>
        </w:rPr>
        <w:t xml:space="preserve">        /     </w:t>
      </w:r>
      <w:r>
        <w:t>。</w:t>
      </w:r>
    </w:p>
    <w:p w14:paraId="5AD5A500">
      <w:pPr>
        <w:spacing w:line="400" w:lineRule="exact"/>
        <w:ind w:firstLine="420" w:firstLineChars="200"/>
      </w:pPr>
      <w:r>
        <w:rPr>
          <w:szCs w:val="21"/>
        </w:rPr>
        <w:t>不可抗力的等级范围约定：</w:t>
      </w:r>
      <w:r>
        <w:rPr>
          <w:szCs w:val="21"/>
          <w:u w:val="single"/>
        </w:rPr>
        <w:t>烈度7度（不含7度）以上地震，10级以上（不含10级）台风，日雨量60mm以上暴雨（以国家县（市）级以上气象局（台）、地震局（台）等专门机构公布为准），以及县市级以上政府公告不允许在本场地施工的时段</w:t>
      </w:r>
      <w:r>
        <w:t>。</w:t>
      </w:r>
    </w:p>
    <w:p w14:paraId="5127D421">
      <w:pPr>
        <w:pStyle w:val="512"/>
        <w:spacing w:before="120" w:after="120"/>
      </w:pPr>
      <w:bookmarkStart w:id="2528" w:name="_Toc144974723"/>
      <w:bookmarkStart w:id="2529" w:name="_Toc179632770"/>
      <w:bookmarkStart w:id="2530" w:name="_Toc152045752"/>
      <w:bookmarkStart w:id="2531" w:name="_Toc129798484"/>
      <w:bookmarkStart w:id="2532" w:name="_Toc142385772"/>
      <w:bookmarkStart w:id="2533" w:name="_Toc241459746"/>
      <w:bookmarkStart w:id="2534" w:name="_Toc132619233"/>
      <w:bookmarkStart w:id="2535" w:name="_Toc152042531"/>
      <w:bookmarkStart w:id="2536" w:name="_Toc109914549"/>
      <w:bookmarkStart w:id="2537" w:name="_Toc342296505"/>
      <w:r>
        <w:t>21.3 不可抗力后果及其处理</w:t>
      </w:r>
      <w:bookmarkEnd w:id="2528"/>
      <w:bookmarkEnd w:id="2529"/>
      <w:bookmarkEnd w:id="2530"/>
      <w:bookmarkEnd w:id="2531"/>
      <w:bookmarkEnd w:id="2532"/>
      <w:bookmarkEnd w:id="2533"/>
      <w:bookmarkEnd w:id="2534"/>
      <w:bookmarkEnd w:id="2535"/>
      <w:bookmarkEnd w:id="2536"/>
      <w:bookmarkEnd w:id="2537"/>
    </w:p>
    <w:p w14:paraId="0001DBBF">
      <w:pPr>
        <w:spacing w:line="400" w:lineRule="exact"/>
        <w:ind w:firstLine="420" w:firstLineChars="200"/>
        <w:rPr>
          <w:rFonts w:eastAsia="Cambria"/>
          <w:szCs w:val="21"/>
        </w:rPr>
      </w:pPr>
      <w:r>
        <w:rPr>
          <w:rFonts w:eastAsia="Cambria"/>
          <w:szCs w:val="21"/>
        </w:rPr>
        <w:t>21.3.1</w:t>
      </w:r>
      <w:r>
        <w:rPr>
          <w:rFonts w:hint="eastAsia" w:ascii="宋体" w:hAnsi="宋体" w:cs="宋体"/>
          <w:szCs w:val="21"/>
        </w:rPr>
        <w:t>不可抗力造成损害的责任</w:t>
      </w:r>
    </w:p>
    <w:p w14:paraId="6257D51F">
      <w:pPr>
        <w:spacing w:line="400" w:lineRule="exact"/>
        <w:ind w:firstLine="420" w:firstLineChars="200"/>
      </w:pPr>
      <w:r>
        <w:rPr>
          <w:szCs w:val="21"/>
        </w:rPr>
        <w:t xml:space="preserve">不可抗力导致的人员伤亡、财产损失、费用增加和（或）工期延误等后果，由合同双方按通用合同条款第21.3.1项约定的原则承担。                                                                      </w:t>
      </w:r>
    </w:p>
    <w:p w14:paraId="5E9802F1">
      <w:pPr>
        <w:pStyle w:val="548"/>
        <w:spacing w:before="120" w:after="120"/>
        <w:rPr>
          <w:rFonts w:cs="仿宋_GB2312"/>
        </w:rPr>
      </w:pPr>
      <w:bookmarkStart w:id="2538" w:name="_Toc442365659"/>
      <w:bookmarkStart w:id="2539" w:name="_Toc342296506"/>
      <w:bookmarkStart w:id="2540" w:name="_Toc132619234"/>
      <w:bookmarkStart w:id="2541" w:name="_Toc469660062"/>
      <w:bookmarkStart w:id="2542" w:name="_Toc179632780"/>
      <w:bookmarkStart w:id="2543" w:name="_Toc129798485"/>
      <w:bookmarkStart w:id="2544" w:name="_Toc152045762"/>
      <w:bookmarkStart w:id="2545" w:name="_Toc144974732"/>
      <w:bookmarkStart w:id="2546" w:name="_Toc448758567"/>
      <w:bookmarkStart w:id="2547" w:name="_Toc448758467"/>
      <w:bookmarkStart w:id="2548" w:name="_Toc241459747"/>
      <w:bookmarkStart w:id="2549" w:name="_Toc152042541"/>
      <w:bookmarkStart w:id="2550" w:name="_Toc109914550"/>
      <w:bookmarkStart w:id="2551" w:name="_Toc142385773"/>
      <w:r>
        <w:rPr>
          <w:rFonts w:cs="仿宋_GB2312"/>
        </w:rPr>
        <w:t>24. 争议的解决</w:t>
      </w:r>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p>
    <w:p w14:paraId="08B5C8D9">
      <w:pPr>
        <w:pStyle w:val="512"/>
        <w:spacing w:before="120" w:after="120"/>
      </w:pPr>
      <w:bookmarkStart w:id="2552" w:name="_Toc152042542"/>
      <w:bookmarkStart w:id="2553" w:name="_Toc179632781"/>
      <w:bookmarkStart w:id="2554" w:name="_Toc152045763"/>
      <w:bookmarkStart w:id="2555" w:name="_Toc241459748"/>
      <w:bookmarkStart w:id="2556" w:name="_Toc144974733"/>
      <w:bookmarkStart w:id="2557" w:name="_Toc109914551"/>
      <w:bookmarkStart w:id="2558" w:name="_Toc342296507"/>
      <w:bookmarkStart w:id="2559" w:name="_Toc129798486"/>
      <w:bookmarkStart w:id="2560" w:name="_Toc142385774"/>
      <w:bookmarkStart w:id="2561" w:name="_Toc132619235"/>
      <w:r>
        <w:t>24.1 争议的解决方式</w:t>
      </w:r>
      <w:bookmarkEnd w:id="2552"/>
      <w:bookmarkEnd w:id="2553"/>
      <w:bookmarkEnd w:id="2554"/>
      <w:bookmarkEnd w:id="2555"/>
      <w:bookmarkEnd w:id="2556"/>
      <w:bookmarkEnd w:id="2557"/>
      <w:bookmarkEnd w:id="2558"/>
      <w:bookmarkEnd w:id="2559"/>
      <w:bookmarkEnd w:id="2560"/>
      <w:bookmarkEnd w:id="2561"/>
    </w:p>
    <w:p w14:paraId="40E6D285">
      <w:pPr>
        <w:spacing w:line="400" w:lineRule="exact"/>
        <w:ind w:firstLine="525"/>
        <w:rPr>
          <w:szCs w:val="21"/>
        </w:rPr>
      </w:pPr>
      <w:bookmarkStart w:id="2562" w:name="_Toc179632782"/>
      <w:bookmarkStart w:id="2563" w:name="_Toc152042543"/>
      <w:bookmarkStart w:id="2564" w:name="_Toc152045764"/>
      <w:bookmarkStart w:id="2565" w:name="_Toc144974734"/>
      <w:r>
        <w:rPr>
          <w:szCs w:val="21"/>
        </w:rPr>
        <w:t>因本合同引起的或与本合同有关的任何争议，合同双方友好协商不成、不愿提请争议组评审或者不愿接受争议评审组意见的，选择下列第</w:t>
      </w:r>
      <w:r>
        <w:rPr>
          <w:szCs w:val="21"/>
          <w:u w:val="single"/>
        </w:rPr>
        <w:t xml:space="preserve"> </w:t>
      </w:r>
      <w:r>
        <w:rPr>
          <w:rFonts w:hint="eastAsia"/>
          <w:szCs w:val="21"/>
          <w:u w:val="single"/>
        </w:rPr>
        <w:t>2</w:t>
      </w:r>
      <w:r>
        <w:rPr>
          <w:szCs w:val="21"/>
          <w:u w:val="single"/>
        </w:rPr>
        <w:t xml:space="preserve"> </w:t>
      </w:r>
      <w:r>
        <w:rPr>
          <w:szCs w:val="21"/>
        </w:rPr>
        <w:t>种方式解决：</w:t>
      </w:r>
    </w:p>
    <w:p w14:paraId="7227202A">
      <w:pPr>
        <w:spacing w:line="400" w:lineRule="exact"/>
        <w:ind w:firstLine="525"/>
      </w:pPr>
      <w:r>
        <w:rPr>
          <w:u w:val="single"/>
        </w:rPr>
        <w:t>（</w:t>
      </w:r>
      <w:r>
        <w:rPr>
          <w:rFonts w:hint="eastAsia"/>
          <w:u w:val="single"/>
        </w:rPr>
        <w:t>1</w:t>
      </w:r>
      <w:r>
        <w:rPr>
          <w:u w:val="single"/>
        </w:rPr>
        <w:t>）</w:t>
      </w:r>
      <w:r>
        <w:t>提请</w:t>
      </w:r>
      <w:r>
        <w:rPr>
          <w:u w:val="single"/>
        </w:rPr>
        <w:t xml:space="preserve"> 北京</w:t>
      </w:r>
      <w:r>
        <w:t>仲裁委员会按照该会仲裁规则进行仲裁，仲裁裁决是终局的，对合同双方均有约束力。</w:t>
      </w:r>
    </w:p>
    <w:p w14:paraId="6209E204">
      <w:pPr>
        <w:spacing w:line="400" w:lineRule="exact"/>
        <w:ind w:firstLine="525"/>
        <w:rPr>
          <w:szCs w:val="21"/>
        </w:rPr>
      </w:pPr>
      <w:r>
        <w:rPr>
          <w:szCs w:val="21"/>
          <w:u w:val="single"/>
        </w:rPr>
        <w:t>（</w:t>
      </w:r>
      <w:r>
        <w:rPr>
          <w:rFonts w:hint="eastAsia"/>
          <w:szCs w:val="21"/>
          <w:u w:val="single"/>
        </w:rPr>
        <w:t>2</w:t>
      </w:r>
      <w:r>
        <w:rPr>
          <w:szCs w:val="21"/>
          <w:u w:val="single"/>
        </w:rPr>
        <w:t>）</w:t>
      </w:r>
      <w:r>
        <w:rPr>
          <w:szCs w:val="21"/>
        </w:rPr>
        <w:t>向</w:t>
      </w:r>
      <w:r>
        <w:rPr>
          <w:rFonts w:hint="eastAsia"/>
          <w:szCs w:val="21"/>
        </w:rPr>
        <w:t>海淀区</w:t>
      </w:r>
      <w:r>
        <w:rPr>
          <w:szCs w:val="21"/>
        </w:rPr>
        <w:t>人民法院提起诉讼。</w:t>
      </w:r>
    </w:p>
    <w:bookmarkEnd w:id="2562"/>
    <w:bookmarkEnd w:id="2563"/>
    <w:bookmarkEnd w:id="2564"/>
    <w:bookmarkEnd w:id="2565"/>
    <w:p w14:paraId="3030AFE9">
      <w:pPr>
        <w:pStyle w:val="512"/>
        <w:spacing w:before="120" w:after="120"/>
      </w:pPr>
      <w:bookmarkStart w:id="2566" w:name="_Toc109914552"/>
      <w:bookmarkStart w:id="2567" w:name="_Toc132619236"/>
      <w:bookmarkStart w:id="2568" w:name="_Toc241459749"/>
      <w:bookmarkStart w:id="2569" w:name="_Toc179632783"/>
      <w:bookmarkStart w:id="2570" w:name="_Toc144974735"/>
      <w:bookmarkStart w:id="2571" w:name="_Toc342296508"/>
      <w:bookmarkStart w:id="2572" w:name="_Toc152045765"/>
      <w:bookmarkStart w:id="2573" w:name="_Toc152042544"/>
      <w:bookmarkStart w:id="2574" w:name="_Toc129798487"/>
      <w:bookmarkStart w:id="2575" w:name="_Toc142385775"/>
      <w:r>
        <w:t>24.3 争议评审</w:t>
      </w:r>
      <w:bookmarkEnd w:id="2566"/>
      <w:bookmarkEnd w:id="2567"/>
      <w:bookmarkEnd w:id="2568"/>
      <w:bookmarkEnd w:id="2569"/>
      <w:bookmarkEnd w:id="2570"/>
      <w:bookmarkEnd w:id="2571"/>
      <w:bookmarkEnd w:id="2572"/>
      <w:bookmarkEnd w:id="2573"/>
      <w:bookmarkEnd w:id="2574"/>
      <w:bookmarkEnd w:id="2575"/>
    </w:p>
    <w:p w14:paraId="56D94C2B">
      <w:pPr>
        <w:spacing w:line="400" w:lineRule="exact"/>
        <w:ind w:firstLine="525"/>
        <w:rPr>
          <w:szCs w:val="21"/>
        </w:rPr>
      </w:pPr>
      <w:r>
        <w:rPr>
          <w:szCs w:val="21"/>
        </w:rPr>
        <w:t>24.3.4争议评审组邀请合同双方代表人和有关人员举行调查会的期限：</w:t>
      </w:r>
      <w:r>
        <w:rPr>
          <w:szCs w:val="21"/>
          <w:u w:val="single"/>
        </w:rPr>
        <w:t>14日内</w:t>
      </w:r>
      <w:r>
        <w:rPr>
          <w:szCs w:val="21"/>
        </w:rPr>
        <w:t>。</w:t>
      </w:r>
    </w:p>
    <w:p w14:paraId="694BF53F">
      <w:pPr>
        <w:spacing w:line="400" w:lineRule="exact"/>
        <w:ind w:firstLine="525"/>
        <w:rPr>
          <w:szCs w:val="21"/>
        </w:rPr>
      </w:pPr>
      <w:r>
        <w:rPr>
          <w:szCs w:val="21"/>
        </w:rPr>
        <w:t>24.3.5争议评审组在调查会后作出争议评审意见的期限：</w:t>
      </w:r>
      <w:r>
        <w:rPr>
          <w:szCs w:val="21"/>
          <w:u w:val="single"/>
        </w:rPr>
        <w:t>14日内</w:t>
      </w:r>
      <w:r>
        <w:rPr>
          <w:szCs w:val="21"/>
        </w:rPr>
        <w:t>。</w:t>
      </w:r>
    </w:p>
    <w:p w14:paraId="220C53BF">
      <w:bookmarkStart w:id="2576" w:name="_Toc179632785"/>
      <w:bookmarkStart w:id="2577" w:name="_Toc152045767"/>
      <w:bookmarkStart w:id="2578" w:name="_Toc144974826"/>
      <w:bookmarkStart w:id="2579" w:name="_Toc152042546"/>
    </w:p>
    <w:p w14:paraId="4DF58267">
      <w:pPr>
        <w:keepNext/>
        <w:keepLines/>
        <w:spacing w:line="400" w:lineRule="exact"/>
        <w:outlineLvl w:val="1"/>
        <w:rPr>
          <w:rFonts w:hint="eastAsia" w:ascii="宋体" w:hAnsi="宋体"/>
          <w:sz w:val="28"/>
          <w:szCs w:val="20"/>
        </w:rPr>
      </w:pPr>
      <w:bookmarkStart w:id="2580" w:name="_Toc17524"/>
      <w:bookmarkStart w:id="2581" w:name="_Toc12149"/>
      <w:bookmarkStart w:id="2582" w:name="_Toc129798488"/>
      <w:bookmarkStart w:id="2583" w:name="_Toc132619237"/>
      <w:bookmarkStart w:id="2584" w:name="_Toc109914553"/>
      <w:bookmarkStart w:id="2585" w:name="_Toc142385776"/>
      <w:bookmarkStart w:id="2586" w:name="OLE_LINK32"/>
      <w:bookmarkStart w:id="2587" w:name="OLE_LINK31"/>
      <w:r>
        <w:rPr>
          <w:rFonts w:hint="eastAsia" w:ascii="宋体" w:hAnsi="宋体"/>
          <w:sz w:val="28"/>
          <w:szCs w:val="20"/>
        </w:rPr>
        <w:t>25．其他</w:t>
      </w:r>
      <w:bookmarkEnd w:id="2580"/>
      <w:bookmarkEnd w:id="2581"/>
      <w:bookmarkEnd w:id="2582"/>
      <w:bookmarkEnd w:id="2583"/>
      <w:bookmarkEnd w:id="2584"/>
      <w:bookmarkEnd w:id="2585"/>
    </w:p>
    <w:p w14:paraId="5E989636">
      <w:pPr>
        <w:keepNext/>
        <w:keepLines/>
        <w:numPr>
          <w:ilvl w:val="1"/>
          <w:numId w:val="8"/>
        </w:numPr>
        <w:spacing w:line="400" w:lineRule="exact"/>
        <w:outlineLvl w:val="2"/>
        <w:rPr>
          <w:rFonts w:hint="eastAsia" w:ascii="宋体" w:hAnsi="宋体" w:cs="宋体"/>
          <w:sz w:val="24"/>
          <w:szCs w:val="20"/>
        </w:rPr>
      </w:pPr>
      <w:bookmarkStart w:id="2588" w:name="_Toc109914554"/>
      <w:bookmarkStart w:id="2589" w:name="_Toc22737"/>
      <w:bookmarkStart w:id="2590" w:name="_Toc129798489"/>
      <w:bookmarkStart w:id="2591" w:name="_Toc132619238"/>
      <w:bookmarkStart w:id="2592" w:name="_Toc142385777"/>
      <w:bookmarkStart w:id="2593" w:name="_Toc5847"/>
      <w:r>
        <w:rPr>
          <w:rFonts w:hint="eastAsia" w:ascii="宋体" w:hAnsi="宋体" w:cs="宋体"/>
          <w:sz w:val="24"/>
          <w:szCs w:val="20"/>
        </w:rPr>
        <w:t>施工单位应注意事项</w:t>
      </w:r>
      <w:bookmarkEnd w:id="2588"/>
      <w:bookmarkEnd w:id="2589"/>
      <w:bookmarkEnd w:id="2590"/>
      <w:bookmarkEnd w:id="2591"/>
      <w:bookmarkEnd w:id="2592"/>
      <w:bookmarkEnd w:id="2593"/>
      <w:r>
        <w:rPr>
          <w:rFonts w:hint="eastAsia" w:ascii="宋体" w:hAnsi="宋体" w:cs="宋体"/>
          <w:sz w:val="24"/>
          <w:szCs w:val="20"/>
        </w:rPr>
        <w:t xml:space="preserve">   </w:t>
      </w:r>
    </w:p>
    <w:p w14:paraId="1EC78BEE">
      <w:pPr>
        <w:spacing w:line="400" w:lineRule="exact"/>
        <w:ind w:firstLine="525"/>
        <w:rPr>
          <w:rFonts w:hint="eastAsia" w:ascii="宋体" w:hAnsi="宋体"/>
          <w:szCs w:val="21"/>
        </w:rPr>
      </w:pPr>
      <w:r>
        <w:rPr>
          <w:rFonts w:hint="eastAsia" w:ascii="宋体" w:hAnsi="宋体"/>
          <w:szCs w:val="21"/>
        </w:rPr>
        <w:t>施工过程中可能会对周边设备及器具进行移位，以现场踏勘为准，此项内容已投标报价中综合考虑，不再单独计取。</w:t>
      </w:r>
    </w:p>
    <w:bookmarkEnd w:id="2586"/>
    <w:bookmarkEnd w:id="2587"/>
    <w:p w14:paraId="684FFC08">
      <w:pPr>
        <w:spacing w:line="400" w:lineRule="exact"/>
        <w:ind w:firstLine="525"/>
        <w:rPr>
          <w:rFonts w:hint="eastAsia" w:ascii="宋体" w:hAnsi="宋体"/>
          <w:szCs w:val="21"/>
        </w:rPr>
      </w:pPr>
    </w:p>
    <w:p w14:paraId="499DA196">
      <w:pPr>
        <w:spacing w:line="400" w:lineRule="exact"/>
        <w:ind w:firstLine="525"/>
        <w:sectPr>
          <w:headerReference r:id="rId12" w:type="default"/>
          <w:headerReference r:id="rId13" w:type="even"/>
          <w:footerReference r:id="rId14" w:type="even"/>
          <w:pgSz w:w="11906" w:h="16838"/>
          <w:pgMar w:top="1440" w:right="1797" w:bottom="1440" w:left="1797" w:header="851" w:footer="992" w:gutter="0"/>
          <w:cols w:space="720" w:num="1"/>
          <w:docGrid w:linePitch="312" w:charSpace="0"/>
        </w:sectPr>
      </w:pPr>
    </w:p>
    <w:p w14:paraId="7DDBDDEF">
      <w:pPr>
        <w:jc w:val="center"/>
        <w:rPr>
          <w:b/>
          <w:sz w:val="44"/>
          <w:szCs w:val="44"/>
        </w:rPr>
      </w:pPr>
    </w:p>
    <w:p w14:paraId="76DE106F">
      <w:pPr>
        <w:jc w:val="center"/>
        <w:rPr>
          <w:b/>
          <w:sz w:val="44"/>
          <w:szCs w:val="44"/>
        </w:rPr>
      </w:pPr>
    </w:p>
    <w:p w14:paraId="402960D8">
      <w:pPr>
        <w:jc w:val="center"/>
        <w:rPr>
          <w:b/>
          <w:sz w:val="44"/>
          <w:szCs w:val="44"/>
        </w:rPr>
      </w:pPr>
    </w:p>
    <w:p w14:paraId="0E751550">
      <w:pPr>
        <w:jc w:val="center"/>
        <w:rPr>
          <w:b/>
          <w:sz w:val="44"/>
          <w:szCs w:val="44"/>
        </w:rPr>
      </w:pPr>
    </w:p>
    <w:p w14:paraId="3CBF658B">
      <w:pPr>
        <w:jc w:val="center"/>
      </w:pPr>
      <w:r>
        <w:rPr>
          <w:b/>
          <w:sz w:val="44"/>
          <w:szCs w:val="44"/>
        </w:rPr>
        <w:t>第</w:t>
      </w:r>
      <w:r>
        <w:rPr>
          <w:rFonts w:hint="eastAsia"/>
          <w:b/>
          <w:sz w:val="44"/>
          <w:szCs w:val="44"/>
        </w:rPr>
        <w:t>四节 工程质量保修书</w:t>
      </w:r>
    </w:p>
    <w:p w14:paraId="15A76A47">
      <w:pPr>
        <w:spacing w:line="360" w:lineRule="auto"/>
      </w:pPr>
    </w:p>
    <w:p w14:paraId="52A4E508">
      <w:pPr>
        <w:widowControl/>
        <w:jc w:val="left"/>
      </w:pPr>
      <w:r>
        <w:br w:type="page"/>
      </w:r>
    </w:p>
    <w:p w14:paraId="1AF34970">
      <w:pPr>
        <w:snapToGrid w:val="0"/>
        <w:spacing w:line="360" w:lineRule="auto"/>
        <w:jc w:val="center"/>
        <w:rPr>
          <w:rFonts w:ascii="Cambria" w:hAnsi="Cambria"/>
          <w:sz w:val="32"/>
          <w:szCs w:val="32"/>
        </w:rPr>
      </w:pPr>
      <w:r>
        <w:rPr>
          <w:rFonts w:hint="eastAsia" w:ascii="Cambria" w:hAnsi="Cambria"/>
          <w:b/>
          <w:sz w:val="32"/>
          <w:szCs w:val="32"/>
        </w:rPr>
        <w:t>工程质量保修书</w:t>
      </w:r>
    </w:p>
    <w:p w14:paraId="025505E3">
      <w:pPr>
        <w:adjustRightInd w:val="0"/>
        <w:snapToGrid w:val="0"/>
        <w:spacing w:line="360" w:lineRule="auto"/>
        <w:rPr>
          <w:rFonts w:ascii="Cambria" w:hAnsi="Cambria"/>
          <w:szCs w:val="21"/>
        </w:rPr>
      </w:pPr>
    </w:p>
    <w:p w14:paraId="12CF91C9">
      <w:pPr>
        <w:adjustRightInd w:val="0"/>
        <w:snapToGrid w:val="0"/>
        <w:spacing w:line="360" w:lineRule="auto"/>
        <w:ind w:firstLine="316" w:firstLineChars="150"/>
        <w:rPr>
          <w:rFonts w:ascii="Cambria" w:hAnsi="Cambria"/>
          <w:b/>
          <w:szCs w:val="21"/>
        </w:rPr>
      </w:pPr>
      <w:r>
        <w:rPr>
          <w:rFonts w:hint="eastAsia" w:ascii="Cambria" w:hAnsi="Cambria"/>
          <w:b/>
          <w:szCs w:val="21"/>
        </w:rPr>
        <w:t>建设单位：</w:t>
      </w:r>
      <w:r>
        <w:rPr>
          <w:rFonts w:hint="eastAsia" w:ascii="Cambria" w:hAnsi="Cambria"/>
          <w:b/>
          <w:szCs w:val="21"/>
          <w:u w:val="single"/>
        </w:rPr>
        <w:t>北京外国语大学同文教育发展培训中心</w:t>
      </w:r>
    </w:p>
    <w:p w14:paraId="401887F7">
      <w:pPr>
        <w:adjustRightInd w:val="0"/>
        <w:snapToGrid w:val="0"/>
        <w:spacing w:line="360" w:lineRule="auto"/>
        <w:ind w:firstLine="316" w:firstLineChars="150"/>
        <w:rPr>
          <w:rFonts w:ascii="Cambria" w:hAnsi="Cambria"/>
          <w:b/>
          <w:szCs w:val="21"/>
          <w:u w:val="single"/>
        </w:rPr>
      </w:pPr>
      <w:r>
        <w:rPr>
          <w:rFonts w:hint="eastAsia" w:ascii="Cambria" w:hAnsi="Cambria"/>
          <w:b/>
          <w:szCs w:val="21"/>
        </w:rPr>
        <w:t>承 包 人：</w:t>
      </w:r>
      <w:r>
        <w:rPr>
          <w:rFonts w:hint="eastAsia" w:ascii="Cambria" w:hAnsi="Cambria"/>
          <w:b/>
          <w:szCs w:val="21"/>
          <w:u w:val="single"/>
        </w:rPr>
        <w:t xml:space="preserve">                     </w:t>
      </w:r>
    </w:p>
    <w:p w14:paraId="0824E534">
      <w:pPr>
        <w:adjustRightInd w:val="0"/>
        <w:snapToGrid w:val="0"/>
        <w:spacing w:line="360" w:lineRule="auto"/>
        <w:ind w:left="332" w:leftChars="158" w:firstLine="420" w:firstLineChars="200"/>
        <w:rPr>
          <w:rFonts w:ascii="Cambria" w:hAnsi="Cambria"/>
          <w:szCs w:val="21"/>
        </w:rPr>
      </w:pPr>
      <w:r>
        <w:rPr>
          <w:rFonts w:hint="eastAsia" w:ascii="Cambria" w:hAnsi="Cambria"/>
          <w:szCs w:val="21"/>
        </w:rPr>
        <w:t>为保证</w:t>
      </w:r>
      <w:r>
        <w:rPr>
          <w:rFonts w:hint="eastAsia" w:ascii="Cambria" w:hAnsi="Cambria"/>
          <w:b/>
          <w:bCs/>
          <w:szCs w:val="21"/>
          <w:u w:val="single"/>
        </w:rPr>
        <w:t xml:space="preserve"> </w:t>
      </w:r>
      <w:r>
        <w:rPr>
          <w:rFonts w:hint="eastAsia" w:ascii="Cambria" w:hAnsi="Cambria"/>
          <w:b/>
          <w:szCs w:val="21"/>
          <w:u w:val="single"/>
        </w:rPr>
        <w:t>久凌大厦南楼五层改造工程</w:t>
      </w:r>
      <w:r>
        <w:rPr>
          <w:rFonts w:hint="eastAsia" w:ascii="Cambria" w:hAnsi="Cambria"/>
          <w:szCs w:val="21"/>
        </w:rPr>
        <w:t>在合理使用期限内正常使用，经甲、乙双方协商一致并签定本工程质量保修书。承包人在质量保修期内按照《建设工程质量管理条例》、《房屋建筑工程质量保修办法》和国家、北京市有关管理规定承担工程质量保修责任。</w:t>
      </w:r>
    </w:p>
    <w:p w14:paraId="0A79A089">
      <w:pPr>
        <w:pStyle w:val="4"/>
        <w:tabs>
          <w:tab w:val="left" w:pos="840"/>
        </w:tabs>
        <w:snapToGrid w:val="0"/>
        <w:spacing w:before="0" w:line="360" w:lineRule="auto"/>
        <w:rPr>
          <w:sz w:val="21"/>
          <w:szCs w:val="21"/>
        </w:rPr>
      </w:pPr>
      <w:bookmarkStart w:id="2594" w:name="_Toc109914556"/>
      <w:bookmarkStart w:id="2595" w:name="_Toc129798491"/>
      <w:bookmarkStart w:id="2596" w:name="_Toc115802048"/>
      <w:bookmarkStart w:id="2597" w:name="_Toc142385778"/>
      <w:bookmarkStart w:id="2598" w:name="_Toc132619239"/>
      <w:r>
        <w:rPr>
          <w:rFonts w:hint="eastAsia"/>
          <w:sz w:val="21"/>
          <w:szCs w:val="21"/>
        </w:rPr>
        <w:t>一、工程质量保修范围和内容</w:t>
      </w:r>
      <w:bookmarkEnd w:id="2594"/>
      <w:bookmarkEnd w:id="2595"/>
      <w:bookmarkEnd w:id="2596"/>
      <w:bookmarkEnd w:id="2597"/>
      <w:bookmarkEnd w:id="2598"/>
    </w:p>
    <w:p w14:paraId="7710546C">
      <w:pPr>
        <w:adjustRightInd w:val="0"/>
        <w:snapToGrid w:val="0"/>
        <w:spacing w:line="360" w:lineRule="auto"/>
        <w:ind w:left="332"/>
        <w:rPr>
          <w:rFonts w:ascii="Cambria" w:hAnsi="Cambria"/>
          <w:szCs w:val="21"/>
          <w:u w:val="single"/>
        </w:rPr>
      </w:pPr>
      <w:r>
        <w:rPr>
          <w:rFonts w:hint="eastAsia" w:ascii="Cambria" w:hAnsi="Cambria"/>
          <w:szCs w:val="21"/>
        </w:rPr>
        <w:t>质量保修范围包括：</w:t>
      </w:r>
      <w:r>
        <w:rPr>
          <w:rFonts w:hint="eastAsia" w:ascii="Cambria" w:hAnsi="Cambria"/>
          <w:szCs w:val="21"/>
          <w:u w:val="single"/>
        </w:rPr>
        <w:t xml:space="preserve"> 根据清单及洽商范围内所有相关内容。</w:t>
      </w:r>
    </w:p>
    <w:p w14:paraId="4883BD54">
      <w:pPr>
        <w:adjustRightInd w:val="0"/>
        <w:snapToGrid w:val="0"/>
        <w:spacing w:line="360" w:lineRule="auto"/>
        <w:ind w:left="332"/>
        <w:rPr>
          <w:rFonts w:ascii="Cambria" w:hAnsi="Cambria"/>
          <w:szCs w:val="21"/>
        </w:rPr>
      </w:pPr>
      <w:r>
        <w:rPr>
          <w:rFonts w:hint="eastAsia" w:ascii="Cambria" w:hAnsi="Cambria"/>
          <w:szCs w:val="21"/>
        </w:rPr>
        <w:t>具体质量保修内容双方约定如下:</w:t>
      </w:r>
    </w:p>
    <w:p w14:paraId="0103105E">
      <w:pPr>
        <w:adjustRightInd w:val="0"/>
        <w:snapToGrid w:val="0"/>
        <w:spacing w:line="360" w:lineRule="auto"/>
        <w:ind w:left="332"/>
        <w:rPr>
          <w:rFonts w:ascii="Cambria" w:hAnsi="Cambria"/>
          <w:szCs w:val="21"/>
        </w:rPr>
      </w:pPr>
      <w:r>
        <w:rPr>
          <w:rFonts w:hint="eastAsia" w:ascii="Cambria" w:hAnsi="Cambria"/>
          <w:szCs w:val="21"/>
          <w:u w:val="single"/>
        </w:rPr>
        <w:t xml:space="preserve">承包人在施工过程中所实际发生的全部施工内容。                        </w:t>
      </w:r>
    </w:p>
    <w:p w14:paraId="6D97993F">
      <w:pPr>
        <w:pStyle w:val="4"/>
        <w:tabs>
          <w:tab w:val="left" w:pos="840"/>
        </w:tabs>
        <w:snapToGrid w:val="0"/>
        <w:spacing w:before="0" w:line="360" w:lineRule="auto"/>
        <w:rPr>
          <w:sz w:val="21"/>
          <w:szCs w:val="21"/>
        </w:rPr>
      </w:pPr>
      <w:bookmarkStart w:id="2599" w:name="_Toc115802049"/>
      <w:bookmarkStart w:id="2600" w:name="_Toc142385779"/>
      <w:bookmarkStart w:id="2601" w:name="_Toc132619240"/>
      <w:bookmarkStart w:id="2602" w:name="_Toc129798492"/>
      <w:bookmarkStart w:id="2603" w:name="_Toc109914557"/>
      <w:r>
        <w:rPr>
          <w:rFonts w:hint="eastAsia"/>
          <w:sz w:val="21"/>
          <w:szCs w:val="21"/>
        </w:rPr>
        <w:t>二、质量保修期</w:t>
      </w:r>
      <w:bookmarkEnd w:id="2599"/>
      <w:bookmarkEnd w:id="2600"/>
      <w:bookmarkEnd w:id="2601"/>
      <w:bookmarkEnd w:id="2602"/>
      <w:bookmarkEnd w:id="2603"/>
    </w:p>
    <w:p w14:paraId="6BDF0171">
      <w:pPr>
        <w:adjustRightInd w:val="0"/>
        <w:snapToGrid w:val="0"/>
        <w:spacing w:line="360" w:lineRule="auto"/>
        <w:ind w:left="332"/>
        <w:rPr>
          <w:rFonts w:ascii="Cambria" w:hAnsi="Cambria"/>
          <w:szCs w:val="21"/>
        </w:rPr>
      </w:pPr>
      <w:r>
        <w:rPr>
          <w:rFonts w:hint="eastAsia" w:ascii="Cambria" w:hAnsi="Cambria"/>
          <w:szCs w:val="21"/>
        </w:rPr>
        <w:t>本工程质量保修期限从本工程竣工验收合格之日（颁发竣工验收证书之日）起计算。双方根据国家有关规定，约定粉刷部分质量保修期限为</w:t>
      </w:r>
      <w:r>
        <w:rPr>
          <w:rFonts w:hint="eastAsia" w:ascii="Cambria" w:hAnsi="Cambria"/>
          <w:szCs w:val="21"/>
          <w:u w:val="single"/>
        </w:rPr>
        <w:t>2年</w:t>
      </w:r>
      <w:r>
        <w:rPr>
          <w:rFonts w:hint="eastAsia" w:ascii="Cambria" w:hAnsi="Cambria"/>
          <w:szCs w:val="21"/>
        </w:rPr>
        <w:t>，防水部分质量保修期限为</w:t>
      </w:r>
      <w:r>
        <w:rPr>
          <w:rFonts w:hint="eastAsia" w:ascii="Cambria" w:hAnsi="Cambria"/>
          <w:szCs w:val="21"/>
          <w:u w:val="single"/>
        </w:rPr>
        <w:t>5年</w:t>
      </w:r>
      <w:r>
        <w:rPr>
          <w:rFonts w:hint="eastAsia" w:ascii="Cambria" w:hAnsi="Cambria"/>
          <w:szCs w:val="21"/>
        </w:rPr>
        <w:t>。</w:t>
      </w:r>
    </w:p>
    <w:p w14:paraId="654745A8">
      <w:pPr>
        <w:pStyle w:val="4"/>
        <w:tabs>
          <w:tab w:val="left" w:pos="840"/>
        </w:tabs>
        <w:snapToGrid w:val="0"/>
        <w:spacing w:before="0" w:line="360" w:lineRule="auto"/>
        <w:rPr>
          <w:sz w:val="21"/>
          <w:szCs w:val="21"/>
        </w:rPr>
      </w:pPr>
      <w:bookmarkStart w:id="2604" w:name="_Toc132619241"/>
      <w:bookmarkStart w:id="2605" w:name="_Toc142385780"/>
      <w:bookmarkStart w:id="2606" w:name="_Toc109914558"/>
      <w:bookmarkStart w:id="2607" w:name="_Toc115802050"/>
      <w:bookmarkStart w:id="2608" w:name="_Toc129798493"/>
      <w:r>
        <w:rPr>
          <w:rFonts w:hint="eastAsia"/>
          <w:sz w:val="21"/>
          <w:szCs w:val="21"/>
        </w:rPr>
        <w:t>三、质量保修责任</w:t>
      </w:r>
      <w:bookmarkEnd w:id="2604"/>
      <w:bookmarkEnd w:id="2605"/>
      <w:bookmarkEnd w:id="2606"/>
      <w:bookmarkEnd w:id="2607"/>
      <w:bookmarkEnd w:id="2608"/>
    </w:p>
    <w:p w14:paraId="7A4836BD">
      <w:pPr>
        <w:adjustRightInd w:val="0"/>
        <w:snapToGrid w:val="0"/>
        <w:spacing w:line="360" w:lineRule="auto"/>
        <w:ind w:left="382" w:hanging="382"/>
        <w:rPr>
          <w:rFonts w:ascii="Cambria" w:hAnsi="Cambria"/>
          <w:szCs w:val="21"/>
        </w:rPr>
      </w:pPr>
      <w:r>
        <w:rPr>
          <w:rFonts w:hint="eastAsia" w:ascii="Cambria" w:hAnsi="Cambria"/>
          <w:szCs w:val="21"/>
        </w:rPr>
        <w:t>1、本工程在保修期限出现质量缺陷，建设单位应当向承包人发出保修通知。承包人接到保修通知后24小时内，应当到现场核查情况并派人修理。承包人不在约定期限内派人修理，建设单位可委托其他人员修理，修理费用从承包人质量保留金内支付。</w:t>
      </w:r>
    </w:p>
    <w:p w14:paraId="3F68E267">
      <w:pPr>
        <w:adjustRightInd w:val="0"/>
        <w:snapToGrid w:val="0"/>
        <w:spacing w:line="360" w:lineRule="auto"/>
        <w:ind w:left="382" w:hanging="382"/>
        <w:rPr>
          <w:rFonts w:ascii="Cambria" w:hAnsi="Cambria"/>
          <w:szCs w:val="21"/>
        </w:rPr>
      </w:pPr>
      <w:r>
        <w:rPr>
          <w:rFonts w:hint="eastAsia" w:ascii="Cambria" w:hAnsi="Cambria"/>
          <w:szCs w:val="21"/>
        </w:rPr>
        <w:t>2、发生紧急抢修事故（龙骨、支架脱落、玻璃爆裂等），承包人接到事故通知后，应立即到达事故现场抢修。非承包人施工质量引起的事故，抢修费用由责任人承担。</w:t>
      </w:r>
    </w:p>
    <w:p w14:paraId="35C25911">
      <w:pPr>
        <w:adjustRightInd w:val="0"/>
        <w:snapToGrid w:val="0"/>
        <w:spacing w:line="360" w:lineRule="auto"/>
        <w:ind w:left="382" w:hanging="382"/>
        <w:rPr>
          <w:rFonts w:ascii="Cambria" w:hAnsi="Cambria"/>
          <w:szCs w:val="21"/>
        </w:rPr>
      </w:pPr>
      <w:r>
        <w:rPr>
          <w:rFonts w:hint="eastAsia" w:ascii="Cambria" w:hAnsi="Cambria"/>
          <w:szCs w:val="21"/>
        </w:rPr>
        <w:t>3、在国家规定的工程合理使用期限内，承包人确保工程的质量。因承包人原因致使工程在合理使用期限内造成人身和财产损害的，承包人应承担损害赔偿责任。</w:t>
      </w:r>
    </w:p>
    <w:p w14:paraId="7BDFBE3C">
      <w:pPr>
        <w:pStyle w:val="4"/>
        <w:tabs>
          <w:tab w:val="left" w:pos="840"/>
        </w:tabs>
        <w:snapToGrid w:val="0"/>
        <w:spacing w:before="0" w:line="360" w:lineRule="auto"/>
        <w:rPr>
          <w:sz w:val="21"/>
          <w:szCs w:val="21"/>
        </w:rPr>
      </w:pPr>
      <w:bookmarkStart w:id="2609" w:name="_Toc115802051"/>
      <w:bookmarkStart w:id="2610" w:name="_Toc142385781"/>
      <w:bookmarkStart w:id="2611" w:name="_Toc129798494"/>
      <w:bookmarkStart w:id="2612" w:name="_Toc109914559"/>
      <w:bookmarkStart w:id="2613" w:name="_Toc132619242"/>
      <w:r>
        <w:rPr>
          <w:rFonts w:hint="eastAsia"/>
          <w:sz w:val="21"/>
          <w:szCs w:val="21"/>
        </w:rPr>
        <w:t>四、</w:t>
      </w:r>
      <w:bookmarkEnd w:id="2609"/>
      <w:r>
        <w:rPr>
          <w:rFonts w:hint="eastAsia"/>
          <w:sz w:val="21"/>
          <w:szCs w:val="21"/>
        </w:rPr>
        <w:t>质量保证金金额及支付</w:t>
      </w:r>
      <w:bookmarkEnd w:id="2610"/>
      <w:bookmarkEnd w:id="2611"/>
      <w:bookmarkEnd w:id="2612"/>
      <w:bookmarkEnd w:id="2613"/>
    </w:p>
    <w:p w14:paraId="5191F490">
      <w:pPr>
        <w:adjustRightInd w:val="0"/>
        <w:snapToGrid w:val="0"/>
        <w:spacing w:line="360" w:lineRule="auto"/>
        <w:ind w:left="382" w:hanging="382"/>
        <w:rPr>
          <w:rFonts w:ascii="Cambria" w:hAnsi="Cambria"/>
          <w:szCs w:val="21"/>
        </w:rPr>
      </w:pPr>
      <w:r>
        <w:rPr>
          <w:rFonts w:hint="eastAsia" w:ascii="Cambria" w:hAnsi="Cambria"/>
          <w:szCs w:val="21"/>
        </w:rPr>
        <w:t>1、本工程约定的工程质量保修金为</w:t>
      </w:r>
      <w:r>
        <w:rPr>
          <w:rFonts w:hint="eastAsia" w:ascii="Cambria" w:hAnsi="Cambria"/>
          <w:szCs w:val="21"/>
          <w:u w:val="single"/>
        </w:rPr>
        <w:t>本工程竣工决算金额的3%</w:t>
      </w:r>
      <w:r>
        <w:rPr>
          <w:rFonts w:hint="eastAsia" w:ascii="Cambria" w:hAnsi="Cambria"/>
          <w:szCs w:val="21"/>
        </w:rPr>
        <w:t>。</w:t>
      </w:r>
    </w:p>
    <w:p w14:paraId="67602063">
      <w:pPr>
        <w:adjustRightInd w:val="0"/>
        <w:snapToGrid w:val="0"/>
        <w:spacing w:line="360" w:lineRule="auto"/>
        <w:ind w:left="210" w:hanging="210" w:hangingChars="100"/>
        <w:rPr>
          <w:rFonts w:ascii="Cambria" w:hAnsi="Cambria"/>
          <w:szCs w:val="21"/>
        </w:rPr>
      </w:pPr>
      <w:r>
        <w:rPr>
          <w:rFonts w:hint="eastAsia" w:ascii="Cambria" w:hAnsi="Cambria"/>
          <w:szCs w:val="21"/>
        </w:rPr>
        <w:t>2、在承包人已经完成本合同所规定的保修义务，并已得到建设单位向承包人颁发的保修责任终止证书之日后56天内，建设单位将剩余的质量保证金金额全部支付给承包人。</w:t>
      </w:r>
      <w:bookmarkStart w:id="2614" w:name="_Toc115802053"/>
    </w:p>
    <w:p w14:paraId="6DC75B44">
      <w:pPr>
        <w:pStyle w:val="4"/>
        <w:tabs>
          <w:tab w:val="left" w:pos="840"/>
        </w:tabs>
        <w:snapToGrid w:val="0"/>
        <w:spacing w:before="0" w:line="360" w:lineRule="auto"/>
        <w:rPr>
          <w:sz w:val="21"/>
          <w:szCs w:val="21"/>
        </w:rPr>
      </w:pPr>
      <w:bookmarkStart w:id="2615" w:name="_Toc132619243"/>
      <w:bookmarkStart w:id="2616" w:name="_Toc142385782"/>
      <w:bookmarkStart w:id="2617" w:name="_Toc109914560"/>
      <w:bookmarkStart w:id="2618" w:name="_Toc129798495"/>
      <w:r>
        <w:rPr>
          <w:rFonts w:hint="eastAsia"/>
          <w:sz w:val="21"/>
          <w:szCs w:val="21"/>
        </w:rPr>
        <w:t>五、其他</w:t>
      </w:r>
      <w:bookmarkEnd w:id="2614"/>
      <w:bookmarkEnd w:id="2615"/>
      <w:bookmarkEnd w:id="2616"/>
      <w:bookmarkEnd w:id="2617"/>
      <w:bookmarkEnd w:id="2618"/>
    </w:p>
    <w:p w14:paraId="14052FB9">
      <w:pPr>
        <w:adjustRightInd w:val="0"/>
        <w:snapToGrid w:val="0"/>
        <w:spacing w:line="360" w:lineRule="auto"/>
        <w:ind w:left="332"/>
        <w:rPr>
          <w:rFonts w:ascii="Cambria" w:hAnsi="Cambria"/>
          <w:szCs w:val="21"/>
        </w:rPr>
      </w:pPr>
      <w:r>
        <w:rPr>
          <w:rFonts w:hint="eastAsia" w:ascii="Cambria" w:hAnsi="Cambria"/>
          <w:szCs w:val="21"/>
        </w:rPr>
        <w:t>双方约定的其他工程质量保修事项：如果国家和项目发包人对该工程的质量保修有特殊要求时则按特殊要求执行。</w:t>
      </w:r>
    </w:p>
    <w:p w14:paraId="260494F7">
      <w:pPr>
        <w:adjustRightInd w:val="0"/>
        <w:snapToGrid w:val="0"/>
        <w:spacing w:line="360" w:lineRule="auto"/>
        <w:ind w:left="692"/>
        <w:rPr>
          <w:rFonts w:ascii="Cambria" w:hAnsi="Cambria"/>
          <w:szCs w:val="21"/>
        </w:rPr>
      </w:pPr>
      <w:r>
        <w:rPr>
          <w:rFonts w:hint="eastAsia" w:ascii="Cambria" w:hAnsi="Cambria"/>
          <w:szCs w:val="21"/>
        </w:rPr>
        <w:t xml:space="preserve">       </w:t>
      </w:r>
    </w:p>
    <w:p w14:paraId="18D38985">
      <w:pPr>
        <w:adjustRightInd w:val="0"/>
        <w:snapToGrid w:val="0"/>
        <w:spacing w:line="360" w:lineRule="auto"/>
        <w:ind w:left="332"/>
        <w:rPr>
          <w:rFonts w:ascii="Cambria" w:hAnsi="Cambria"/>
          <w:szCs w:val="21"/>
        </w:rPr>
      </w:pPr>
    </w:p>
    <w:p w14:paraId="064F793A">
      <w:pPr>
        <w:adjustRightInd w:val="0"/>
        <w:snapToGrid w:val="0"/>
        <w:spacing w:line="360" w:lineRule="auto"/>
        <w:ind w:left="332"/>
        <w:rPr>
          <w:rFonts w:ascii="Cambria" w:hAnsi="Cambria"/>
          <w:szCs w:val="21"/>
        </w:rPr>
      </w:pPr>
    </w:p>
    <w:p w14:paraId="31EA6B9B">
      <w:pPr>
        <w:tabs>
          <w:tab w:val="left" w:pos="1695"/>
        </w:tabs>
        <w:adjustRightInd w:val="0"/>
        <w:snapToGrid w:val="0"/>
        <w:spacing w:line="360" w:lineRule="auto"/>
        <w:ind w:firstLine="480"/>
        <w:rPr>
          <w:rFonts w:ascii="Cambria" w:hAnsi="Cambria"/>
          <w:szCs w:val="21"/>
        </w:rPr>
      </w:pPr>
      <w:r>
        <w:rPr>
          <w:rFonts w:hint="eastAsia" w:ascii="Cambria" w:hAnsi="Cambria"/>
          <w:szCs w:val="21"/>
        </w:rPr>
        <w:t>（此页无正文）</w:t>
      </w:r>
    </w:p>
    <w:p w14:paraId="092EE25E">
      <w:pPr>
        <w:tabs>
          <w:tab w:val="left" w:pos="1695"/>
        </w:tabs>
        <w:adjustRightInd w:val="0"/>
        <w:snapToGrid w:val="0"/>
        <w:spacing w:line="360" w:lineRule="auto"/>
        <w:ind w:firstLine="480"/>
        <w:rPr>
          <w:rFonts w:ascii="Cambria" w:hAnsi="Cambria"/>
          <w:szCs w:val="21"/>
        </w:rPr>
      </w:pPr>
    </w:p>
    <w:p w14:paraId="66AEE772">
      <w:pPr>
        <w:spacing w:before="312" w:beforeLines="100" w:after="312" w:afterLines="100" w:line="400" w:lineRule="exact"/>
        <w:rPr>
          <w:szCs w:val="21"/>
        </w:rPr>
      </w:pPr>
      <w:r>
        <w:rPr>
          <w:b/>
          <w:bCs/>
          <w:szCs w:val="21"/>
        </w:rPr>
        <w:t>发包人：</w:t>
      </w:r>
      <w:r>
        <w:rPr>
          <w:szCs w:val="21"/>
          <w:u w:val="single"/>
        </w:rPr>
        <w:t xml:space="preserve">               </w:t>
      </w:r>
      <w:r>
        <w:rPr>
          <w:szCs w:val="21"/>
        </w:rPr>
        <w:t>（盖单位章）</w:t>
      </w:r>
      <w:r>
        <w:rPr>
          <w:rFonts w:eastAsia="Cambria"/>
          <w:b/>
          <w:bCs/>
          <w:szCs w:val="21"/>
        </w:rPr>
        <w:t xml:space="preserve"> </w:t>
      </w:r>
      <w:r>
        <w:rPr>
          <w:b/>
          <w:bCs/>
          <w:szCs w:val="21"/>
        </w:rPr>
        <w:t>承包人：</w:t>
      </w:r>
      <w:r>
        <w:rPr>
          <w:rFonts w:hint="eastAsia"/>
          <w:szCs w:val="21"/>
          <w:u w:val="single"/>
        </w:rPr>
        <w:t xml:space="preserve">            </w:t>
      </w:r>
      <w:r>
        <w:rPr>
          <w:szCs w:val="21"/>
          <w:u w:val="single"/>
        </w:rPr>
        <w:t>（</w:t>
      </w:r>
      <w:r>
        <w:rPr>
          <w:szCs w:val="21"/>
        </w:rPr>
        <w:t>盖单位章）</w:t>
      </w:r>
    </w:p>
    <w:p w14:paraId="5EF1DC33">
      <w:pPr>
        <w:spacing w:before="312" w:beforeLines="100" w:after="312" w:afterLines="100" w:line="400" w:lineRule="exact"/>
        <w:rPr>
          <w:szCs w:val="21"/>
        </w:rPr>
      </w:pPr>
    </w:p>
    <w:p w14:paraId="7F997DEB">
      <w:pPr>
        <w:spacing w:line="240" w:lineRule="exact"/>
        <w:rPr>
          <w:szCs w:val="21"/>
        </w:rPr>
      </w:pPr>
      <w:r>
        <w:rPr>
          <w:b/>
          <w:bCs/>
          <w:szCs w:val="21"/>
        </w:rPr>
        <w:t>法定代表人或其</w:t>
      </w:r>
      <w:r>
        <w:rPr>
          <w:szCs w:val="21"/>
        </w:rPr>
        <w:t xml:space="preserve">                      </w:t>
      </w:r>
      <w:r>
        <w:rPr>
          <w:b/>
          <w:bCs/>
          <w:szCs w:val="21"/>
        </w:rPr>
        <w:t>法定代表人或其</w:t>
      </w:r>
    </w:p>
    <w:p w14:paraId="3E80A811">
      <w:pPr>
        <w:spacing w:line="240" w:lineRule="exact"/>
        <w:rPr>
          <w:szCs w:val="21"/>
        </w:rPr>
      </w:pPr>
      <w:r>
        <w:rPr>
          <w:b/>
          <w:bCs/>
          <w:szCs w:val="21"/>
        </w:rPr>
        <w:t>委托代理人：</w:t>
      </w:r>
      <w:r>
        <w:rPr>
          <w:szCs w:val="21"/>
          <w:u w:val="single"/>
        </w:rPr>
        <w:t xml:space="preserve">              </w:t>
      </w:r>
      <w:r>
        <w:rPr>
          <w:szCs w:val="21"/>
        </w:rPr>
        <w:t xml:space="preserve">（签字） </w:t>
      </w:r>
      <w:r>
        <w:rPr>
          <w:b/>
          <w:bCs/>
          <w:szCs w:val="21"/>
        </w:rPr>
        <w:t xml:space="preserve"> 委托代理人：</w:t>
      </w:r>
      <w:r>
        <w:rPr>
          <w:szCs w:val="21"/>
          <w:u w:val="single"/>
        </w:rPr>
        <w:t xml:space="preserve">                   </w:t>
      </w:r>
      <w:r>
        <w:rPr>
          <w:szCs w:val="21"/>
        </w:rPr>
        <w:t>（签字）</w:t>
      </w:r>
    </w:p>
    <w:p w14:paraId="68BC6C37">
      <w:pPr>
        <w:spacing w:before="312" w:beforeLines="100" w:after="312" w:afterLines="100" w:line="400" w:lineRule="exact"/>
        <w:rPr>
          <w:szCs w:val="21"/>
          <w:u w:val="single"/>
        </w:rPr>
      </w:pPr>
    </w:p>
    <w:p w14:paraId="1F90643B">
      <w:pPr>
        <w:spacing w:before="312" w:beforeLines="100" w:after="312" w:afterLines="100" w:line="400" w:lineRule="exact"/>
        <w:ind w:firstLine="525" w:firstLineChars="250"/>
        <w:rPr>
          <w:szCs w:val="21"/>
        </w:rPr>
      </w:pPr>
      <w:r>
        <w:rPr>
          <w:szCs w:val="21"/>
          <w:u w:val="single"/>
        </w:rPr>
        <w:t xml:space="preserve">        </w:t>
      </w:r>
      <w:r>
        <w:rPr>
          <w:szCs w:val="21"/>
        </w:rPr>
        <w:t>年</w:t>
      </w:r>
      <w:r>
        <w:rPr>
          <w:szCs w:val="21"/>
          <w:u w:val="single"/>
        </w:rPr>
        <w:t xml:space="preserve">      </w:t>
      </w:r>
      <w:r>
        <w:rPr>
          <w:szCs w:val="21"/>
        </w:rPr>
        <w:t xml:space="preserve">月 </w:t>
      </w:r>
      <w:r>
        <w:rPr>
          <w:szCs w:val="21"/>
          <w:u w:val="single"/>
        </w:rPr>
        <w:t xml:space="preserve">  </w:t>
      </w:r>
      <w:r>
        <w:rPr>
          <w:rFonts w:hint="eastAsia"/>
          <w:szCs w:val="21"/>
          <w:u w:val="single"/>
        </w:rPr>
        <w:t xml:space="preserve">   </w:t>
      </w:r>
      <w:r>
        <w:rPr>
          <w:szCs w:val="21"/>
        </w:rPr>
        <w:t xml:space="preserve"> 日      </w:t>
      </w:r>
      <w:r>
        <w:rPr>
          <w:rFonts w:hint="eastAsia"/>
          <w:szCs w:val="21"/>
        </w:rPr>
        <w:t xml:space="preserve"> </w:t>
      </w:r>
      <w:r>
        <w:rPr>
          <w:szCs w:val="21"/>
        </w:rPr>
        <w:t xml:space="preserve"> </w:t>
      </w:r>
      <w:r>
        <w:rPr>
          <w:szCs w:val="21"/>
          <w:u w:val="single"/>
        </w:rPr>
        <w:t xml:space="preserve">     </w:t>
      </w:r>
      <w:r>
        <w:rPr>
          <w:szCs w:val="21"/>
        </w:rPr>
        <w:t>年</w:t>
      </w:r>
      <w:r>
        <w:rPr>
          <w:szCs w:val="21"/>
          <w:u w:val="single"/>
        </w:rPr>
        <w:t xml:space="preserve">     </w:t>
      </w:r>
      <w:r>
        <w:rPr>
          <w:szCs w:val="21"/>
        </w:rPr>
        <w:t xml:space="preserve">月 </w:t>
      </w:r>
      <w:r>
        <w:rPr>
          <w:szCs w:val="21"/>
          <w:u w:val="single"/>
        </w:rPr>
        <w:t xml:space="preserve">     </w:t>
      </w:r>
      <w:r>
        <w:rPr>
          <w:szCs w:val="21"/>
        </w:rPr>
        <w:t>日</w:t>
      </w:r>
    </w:p>
    <w:p w14:paraId="0161F4A5">
      <w:pPr>
        <w:spacing w:before="312" w:beforeLines="100" w:after="312" w:afterLines="100" w:line="400" w:lineRule="exact"/>
        <w:rPr>
          <w:szCs w:val="21"/>
        </w:rPr>
      </w:pPr>
    </w:p>
    <w:p w14:paraId="25F2FCD0">
      <w:pPr>
        <w:spacing w:before="312" w:beforeLines="100" w:after="312" w:afterLines="100" w:line="400" w:lineRule="exact"/>
        <w:rPr>
          <w:szCs w:val="21"/>
          <w:u w:val="single"/>
        </w:rPr>
      </w:pPr>
      <w:r>
        <w:rPr>
          <w:b/>
          <w:szCs w:val="21"/>
        </w:rPr>
        <w:t>签约地点：</w:t>
      </w:r>
      <w:r>
        <w:rPr>
          <w:szCs w:val="21"/>
          <w:u w:val="single"/>
        </w:rPr>
        <w:t xml:space="preserve"> </w:t>
      </w:r>
      <w:r>
        <w:rPr>
          <w:rFonts w:hint="eastAsia"/>
          <w:szCs w:val="21"/>
          <w:u w:val="single"/>
        </w:rPr>
        <w:t xml:space="preserve"> </w:t>
      </w:r>
      <w:r>
        <w:rPr>
          <w:szCs w:val="21"/>
          <w:u w:val="single"/>
        </w:rPr>
        <w:t xml:space="preserve">             </w:t>
      </w:r>
    </w:p>
    <w:p w14:paraId="75D98B1B">
      <w:pPr>
        <w:jc w:val="center"/>
        <w:rPr>
          <w:b/>
          <w:sz w:val="44"/>
          <w:szCs w:val="44"/>
        </w:rPr>
      </w:pPr>
      <w:r>
        <w:rPr>
          <w:b/>
          <w:sz w:val="44"/>
          <w:szCs w:val="44"/>
        </w:rPr>
        <w:br w:type="page"/>
      </w:r>
    </w:p>
    <w:p w14:paraId="35BA8475">
      <w:pPr>
        <w:jc w:val="center"/>
        <w:rPr>
          <w:b/>
          <w:sz w:val="44"/>
          <w:szCs w:val="44"/>
        </w:rPr>
      </w:pPr>
    </w:p>
    <w:p w14:paraId="4F783F1D">
      <w:pPr>
        <w:jc w:val="center"/>
        <w:rPr>
          <w:b/>
          <w:sz w:val="44"/>
          <w:szCs w:val="44"/>
        </w:rPr>
      </w:pPr>
    </w:p>
    <w:p w14:paraId="531A27BB">
      <w:pPr>
        <w:jc w:val="center"/>
        <w:rPr>
          <w:b/>
          <w:sz w:val="44"/>
          <w:szCs w:val="44"/>
        </w:rPr>
      </w:pPr>
    </w:p>
    <w:p w14:paraId="2D7315DD">
      <w:pPr>
        <w:jc w:val="center"/>
      </w:pPr>
      <w:r>
        <w:rPr>
          <w:b/>
          <w:sz w:val="44"/>
          <w:szCs w:val="44"/>
        </w:rPr>
        <w:t>第</w:t>
      </w:r>
      <w:r>
        <w:rPr>
          <w:rFonts w:hint="eastAsia"/>
          <w:b/>
          <w:sz w:val="44"/>
          <w:szCs w:val="44"/>
        </w:rPr>
        <w:t>五节 工程建设项目廉政责任书</w:t>
      </w:r>
    </w:p>
    <w:p w14:paraId="331A8C76">
      <w:pPr>
        <w:spacing w:line="360" w:lineRule="auto"/>
      </w:pPr>
    </w:p>
    <w:p w14:paraId="1C8B6828">
      <w:pPr>
        <w:spacing w:line="440" w:lineRule="exact"/>
        <w:jc w:val="center"/>
        <w:rPr>
          <w:rFonts w:ascii="Cambria" w:hAnsi="Cambria"/>
          <w:b/>
          <w:sz w:val="32"/>
          <w:szCs w:val="32"/>
        </w:rPr>
      </w:pPr>
      <w:r>
        <w:br w:type="page"/>
      </w:r>
      <w:r>
        <w:rPr>
          <w:rFonts w:hint="eastAsia" w:ascii="Cambria" w:hAnsi="Cambria"/>
          <w:b/>
          <w:sz w:val="32"/>
          <w:szCs w:val="32"/>
        </w:rPr>
        <w:t>工程建设项目廉政责任书</w:t>
      </w:r>
    </w:p>
    <w:p w14:paraId="2B277F7A">
      <w:pPr>
        <w:jc w:val="center"/>
        <w:rPr>
          <w:rFonts w:ascii="Cambria" w:hAnsi="Cambria"/>
          <w:spacing w:val="10"/>
          <w:szCs w:val="21"/>
        </w:rPr>
      </w:pPr>
    </w:p>
    <w:p w14:paraId="255246F6">
      <w:pPr>
        <w:spacing w:line="360" w:lineRule="auto"/>
        <w:ind w:left="1446" w:hanging="1446" w:hangingChars="686"/>
        <w:rPr>
          <w:rFonts w:ascii="Cambria" w:hAnsi="Cambria"/>
          <w:b/>
          <w:szCs w:val="21"/>
          <w:u w:val="single"/>
        </w:rPr>
      </w:pPr>
      <w:r>
        <w:rPr>
          <w:rFonts w:hint="eastAsia" w:ascii="Cambria" w:hAnsi="Cambria"/>
          <w:b/>
          <w:szCs w:val="21"/>
        </w:rPr>
        <w:t>工程项目名称：</w:t>
      </w:r>
      <w:r>
        <w:rPr>
          <w:rFonts w:hint="eastAsia" w:ascii="Cambria" w:hAnsi="Cambria"/>
          <w:b/>
          <w:szCs w:val="21"/>
          <w:u w:val="single"/>
        </w:rPr>
        <w:t>久凌大厦南楼五层改造工程</w:t>
      </w:r>
    </w:p>
    <w:p w14:paraId="60790476">
      <w:pPr>
        <w:spacing w:line="360" w:lineRule="auto"/>
        <w:ind w:left="1446" w:hanging="1446" w:hangingChars="686"/>
        <w:rPr>
          <w:rFonts w:ascii="Cambria" w:hAnsi="Cambria"/>
          <w:b/>
          <w:szCs w:val="21"/>
          <w:u w:val="single"/>
        </w:rPr>
      </w:pPr>
      <w:r>
        <w:rPr>
          <w:rFonts w:hint="eastAsia" w:ascii="Cambria" w:hAnsi="Cambria"/>
          <w:b/>
          <w:szCs w:val="21"/>
        </w:rPr>
        <w:t>工程项目地址：</w:t>
      </w:r>
      <w:r>
        <w:rPr>
          <w:rFonts w:hint="eastAsia" w:ascii="Cambria" w:hAnsi="Cambria"/>
          <w:b/>
          <w:szCs w:val="21"/>
          <w:u w:val="single"/>
        </w:rPr>
        <w:t>北京市海淀区西三环北路21号</w:t>
      </w:r>
    </w:p>
    <w:p w14:paraId="1DAD0C72">
      <w:pPr>
        <w:spacing w:line="360" w:lineRule="auto"/>
        <w:rPr>
          <w:rFonts w:ascii="Cambria" w:hAnsi="Cambria"/>
          <w:b/>
          <w:szCs w:val="21"/>
          <w:u w:val="single"/>
        </w:rPr>
      </w:pPr>
      <w:r>
        <w:rPr>
          <w:rFonts w:hint="eastAsia" w:ascii="Cambria" w:hAnsi="Cambria"/>
          <w:b/>
          <w:szCs w:val="21"/>
        </w:rPr>
        <w:t>发包人（甲方）：</w:t>
      </w:r>
      <w:r>
        <w:rPr>
          <w:rFonts w:hint="eastAsia" w:ascii="Cambria" w:hAnsi="Cambria"/>
          <w:b/>
          <w:szCs w:val="21"/>
          <w:u w:val="single"/>
        </w:rPr>
        <w:t>北京外国语大学同文教育发展培训中心</w:t>
      </w:r>
    </w:p>
    <w:p w14:paraId="12C32245">
      <w:pPr>
        <w:spacing w:line="360" w:lineRule="auto"/>
        <w:rPr>
          <w:rFonts w:ascii="Cambria" w:hAnsi="Cambria"/>
          <w:b/>
          <w:szCs w:val="21"/>
          <w:u w:val="single"/>
        </w:rPr>
      </w:pPr>
      <w:r>
        <w:rPr>
          <w:rFonts w:hint="eastAsia" w:ascii="Cambria" w:hAnsi="Cambria"/>
          <w:b/>
          <w:szCs w:val="21"/>
        </w:rPr>
        <w:t>承包人（乙方）：</w:t>
      </w:r>
      <w:r>
        <w:rPr>
          <w:rFonts w:hint="eastAsia" w:ascii="Cambria" w:hAnsi="Cambria"/>
          <w:b/>
          <w:szCs w:val="21"/>
          <w:u w:val="single"/>
        </w:rPr>
        <w:t xml:space="preserve">           </w:t>
      </w:r>
      <w:r>
        <w:rPr>
          <w:rFonts w:ascii="Cambria" w:hAnsi="Cambria"/>
          <w:b/>
          <w:szCs w:val="21"/>
          <w:u w:val="single"/>
        </w:rPr>
        <w:t xml:space="preserve">    </w:t>
      </w:r>
      <w:r>
        <w:rPr>
          <w:rFonts w:hint="eastAsia" w:ascii="Cambria" w:hAnsi="Cambria"/>
          <w:b/>
          <w:szCs w:val="21"/>
          <w:u w:val="single"/>
        </w:rPr>
        <w:t xml:space="preserve">       </w:t>
      </w:r>
    </w:p>
    <w:p w14:paraId="63067506">
      <w:pPr>
        <w:spacing w:line="400" w:lineRule="exact"/>
        <w:ind w:firstLine="420" w:firstLineChars="200"/>
        <w:rPr>
          <w:rFonts w:ascii="Cambria" w:hAnsi="Cambria"/>
          <w:szCs w:val="21"/>
        </w:rPr>
      </w:pPr>
      <w:r>
        <w:rPr>
          <w:rFonts w:hint="eastAsia" w:ascii="Cambria" w:hAnsi="Cambria"/>
          <w:szCs w:val="21"/>
        </w:rPr>
        <w:t>为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09C45DB8">
      <w:pPr>
        <w:spacing w:line="400" w:lineRule="exact"/>
        <w:ind w:firstLine="420" w:firstLineChars="200"/>
        <w:rPr>
          <w:rFonts w:ascii="Cambria" w:hAnsi="Cambria"/>
          <w:szCs w:val="21"/>
        </w:rPr>
      </w:pPr>
      <w:r>
        <w:rPr>
          <w:rFonts w:hint="eastAsia" w:ascii="Cambria" w:hAnsi="Cambria"/>
          <w:szCs w:val="21"/>
        </w:rPr>
        <w:t>第一条  甲乙双方的责任</w:t>
      </w:r>
    </w:p>
    <w:p w14:paraId="4D4C1CF5">
      <w:pPr>
        <w:spacing w:line="400" w:lineRule="exact"/>
        <w:ind w:firstLine="420" w:firstLineChars="200"/>
        <w:rPr>
          <w:rFonts w:ascii="Cambria" w:hAnsi="Cambria"/>
          <w:szCs w:val="21"/>
        </w:rPr>
      </w:pPr>
      <w:r>
        <w:rPr>
          <w:rFonts w:hint="eastAsia" w:ascii="Cambria" w:hAnsi="Cambria"/>
          <w:szCs w:val="21"/>
        </w:rPr>
        <w:t>（一）应严格遵守国家关于市场准入、项目招标投标、工程建设、施工安装和市场活动的有关法律、法规，相关政策，以及廉政建设的各项规定。</w:t>
      </w:r>
    </w:p>
    <w:p w14:paraId="7BFFB6EC">
      <w:pPr>
        <w:spacing w:line="400" w:lineRule="exact"/>
        <w:ind w:firstLine="420" w:firstLineChars="200"/>
        <w:rPr>
          <w:rFonts w:ascii="Cambria" w:hAnsi="Cambria"/>
          <w:szCs w:val="21"/>
        </w:rPr>
      </w:pPr>
      <w:r>
        <w:rPr>
          <w:rFonts w:hint="eastAsia" w:ascii="Cambria" w:hAnsi="Cambria"/>
          <w:szCs w:val="21"/>
        </w:rPr>
        <w:t>（二）严格执行建设工程项目承发包合同文件，自觉按合同办事。</w:t>
      </w:r>
    </w:p>
    <w:p w14:paraId="1C19665C">
      <w:pPr>
        <w:spacing w:line="400" w:lineRule="exact"/>
        <w:ind w:firstLine="420" w:firstLineChars="200"/>
        <w:rPr>
          <w:rFonts w:ascii="Cambria" w:hAnsi="Cambria"/>
          <w:szCs w:val="21"/>
        </w:rPr>
      </w:pPr>
      <w:r>
        <w:rPr>
          <w:rFonts w:hint="eastAsia" w:ascii="Cambria" w:hAnsi="Cambria"/>
          <w:szCs w:val="21"/>
        </w:rPr>
        <w:t>（三）业务活动必须坚持公开、公平、公正、诚信、透明的原则（除法律法规另有规定者外），不得为获取不正当的利益，损害国家、集体和对方利益，不得违反工程建设管理、施工安装的规章制度。</w:t>
      </w:r>
    </w:p>
    <w:p w14:paraId="15789D2F">
      <w:pPr>
        <w:spacing w:line="400" w:lineRule="exact"/>
        <w:rPr>
          <w:rFonts w:ascii="Cambria" w:hAnsi="Cambria"/>
          <w:szCs w:val="21"/>
        </w:rPr>
      </w:pPr>
      <w:r>
        <w:rPr>
          <w:rFonts w:hint="eastAsia" w:ascii="Cambria" w:hAnsi="Cambria"/>
          <w:szCs w:val="21"/>
        </w:rPr>
        <w:t xml:space="preserve">    （四）发现对方在业务活动中有违规、违纪、违法行为的，应及时提醒对方，情节严重的，应向其上级主管部门或纪检监察、司法等有关机关举报。</w:t>
      </w:r>
    </w:p>
    <w:p w14:paraId="4F32CBAC">
      <w:pPr>
        <w:spacing w:line="400" w:lineRule="exact"/>
        <w:ind w:firstLine="420" w:firstLineChars="200"/>
        <w:rPr>
          <w:rFonts w:ascii="Cambria" w:hAnsi="Cambria"/>
          <w:szCs w:val="21"/>
        </w:rPr>
      </w:pPr>
      <w:r>
        <w:rPr>
          <w:rFonts w:hint="eastAsia" w:ascii="Cambria" w:hAnsi="Cambria"/>
          <w:szCs w:val="21"/>
        </w:rPr>
        <w:t>第二条 甲方的责任</w:t>
      </w:r>
    </w:p>
    <w:p w14:paraId="6ABC56C7">
      <w:pPr>
        <w:spacing w:line="400" w:lineRule="exact"/>
        <w:ind w:firstLine="420" w:firstLineChars="200"/>
        <w:rPr>
          <w:rFonts w:ascii="Cambria" w:hAnsi="Cambria"/>
          <w:szCs w:val="21"/>
        </w:rPr>
      </w:pPr>
      <w:r>
        <w:rPr>
          <w:rFonts w:hint="eastAsia" w:ascii="Cambria" w:hAnsi="Cambria"/>
          <w:szCs w:val="21"/>
        </w:rPr>
        <w:t>甲方的领导和从事该建设工程项目的工作人员，在工程建设的事前、事中、事后应遵守以下规定：</w:t>
      </w:r>
    </w:p>
    <w:p w14:paraId="565A1391">
      <w:pPr>
        <w:spacing w:line="400" w:lineRule="exact"/>
        <w:ind w:firstLine="420" w:firstLineChars="200"/>
        <w:rPr>
          <w:rFonts w:ascii="Cambria" w:hAnsi="Cambria"/>
          <w:szCs w:val="21"/>
        </w:rPr>
      </w:pPr>
      <w:r>
        <w:rPr>
          <w:rFonts w:hint="eastAsia" w:ascii="Cambria" w:hAnsi="Cambria"/>
          <w:szCs w:val="21"/>
        </w:rPr>
        <w:t>（一）不准向乙方和相关单位索要或接受回扣、礼金、有价证券、贵重物品和好处费、感谢费等。</w:t>
      </w:r>
    </w:p>
    <w:p w14:paraId="58AD8481">
      <w:pPr>
        <w:spacing w:line="400" w:lineRule="exact"/>
        <w:ind w:firstLine="420" w:firstLineChars="200"/>
        <w:rPr>
          <w:rFonts w:ascii="Cambria" w:hAnsi="Cambria"/>
          <w:szCs w:val="21"/>
        </w:rPr>
      </w:pPr>
      <w:r>
        <w:rPr>
          <w:rFonts w:hint="eastAsia" w:ascii="Cambria" w:hAnsi="Cambria"/>
          <w:szCs w:val="21"/>
        </w:rPr>
        <w:t>（二）不准在乙方和相关单位报销任何应由甲方或个人支付的费用。</w:t>
      </w:r>
    </w:p>
    <w:p w14:paraId="13C1391C">
      <w:pPr>
        <w:spacing w:line="400" w:lineRule="exact"/>
        <w:ind w:firstLine="420" w:firstLineChars="200"/>
        <w:rPr>
          <w:rFonts w:ascii="Cambria" w:hAnsi="Cambria"/>
          <w:szCs w:val="21"/>
        </w:rPr>
      </w:pPr>
      <w:r>
        <w:rPr>
          <w:rFonts w:hint="eastAsia" w:ascii="Cambria" w:hAnsi="Cambria"/>
          <w:szCs w:val="21"/>
        </w:rPr>
        <w:t>（三）不准要求、暗示或接受乙方和相关单位为个人装修住房、婚丧嫁娶、配偶子女的工作安排以及出国（境）、旅游等提供方便。</w:t>
      </w:r>
    </w:p>
    <w:p w14:paraId="76B89E64">
      <w:pPr>
        <w:spacing w:line="400" w:lineRule="exact"/>
        <w:ind w:firstLine="420" w:firstLineChars="200"/>
        <w:rPr>
          <w:rFonts w:ascii="Cambria" w:hAnsi="Cambria"/>
          <w:szCs w:val="21"/>
        </w:rPr>
      </w:pPr>
      <w:r>
        <w:rPr>
          <w:rFonts w:hint="eastAsia" w:ascii="Cambria" w:hAnsi="Cambria"/>
          <w:szCs w:val="21"/>
        </w:rPr>
        <w:t>（四）不准参加有可能影响公正执行公务的乙方和相关单位的宴请、健身、娱乐等活动。</w:t>
      </w:r>
    </w:p>
    <w:p w14:paraId="23A15D83">
      <w:pPr>
        <w:spacing w:line="400" w:lineRule="exact"/>
        <w:ind w:firstLine="420" w:firstLineChars="200"/>
        <w:rPr>
          <w:rFonts w:ascii="Cambria" w:hAnsi="Cambria"/>
          <w:szCs w:val="21"/>
        </w:rPr>
      </w:pPr>
      <w:r>
        <w:rPr>
          <w:rFonts w:hint="eastAsia" w:ascii="Cambria" w:hAnsi="Cambria"/>
          <w:szCs w:val="21"/>
        </w:rPr>
        <w:t>（五）不准向乙方介绍或为配偶、子女、亲属参与同甲方项目工程施工合同有关的设备、材料工程分包、劳务等经济活动。不得以任何理由要求乙方和相关单位推荐分包单位和要求乙方购买项目工程施工合同约定以外的材料、设备等。</w:t>
      </w:r>
    </w:p>
    <w:p w14:paraId="008D35BF">
      <w:pPr>
        <w:spacing w:line="400" w:lineRule="exact"/>
        <w:ind w:firstLine="420" w:firstLineChars="200"/>
        <w:rPr>
          <w:rFonts w:ascii="Cambria" w:hAnsi="Cambria"/>
          <w:szCs w:val="21"/>
        </w:rPr>
      </w:pPr>
      <w:r>
        <w:rPr>
          <w:rFonts w:hint="eastAsia" w:ascii="Cambria" w:hAnsi="Cambria"/>
          <w:szCs w:val="21"/>
        </w:rPr>
        <w:t>第三条 乙方的责任</w:t>
      </w:r>
    </w:p>
    <w:p w14:paraId="44539AFB">
      <w:pPr>
        <w:spacing w:line="400" w:lineRule="exact"/>
        <w:ind w:firstLine="420" w:firstLineChars="200"/>
        <w:rPr>
          <w:rFonts w:ascii="Cambria" w:hAnsi="Cambria"/>
          <w:szCs w:val="21"/>
        </w:rPr>
      </w:pPr>
      <w:r>
        <w:rPr>
          <w:rFonts w:hint="eastAsia" w:ascii="Cambria" w:hAnsi="Cambria"/>
          <w:szCs w:val="21"/>
        </w:rPr>
        <w:t>应与甲方保持正常的业务交往，按照有关法律法规和程序开展业务工作，严格执行工程建设的有关方针、政策，尤其是有关建筑施工安装的强制性标准和规范，并遵守以下规定：</w:t>
      </w:r>
    </w:p>
    <w:p w14:paraId="566D6AAC">
      <w:pPr>
        <w:spacing w:line="400" w:lineRule="exact"/>
        <w:ind w:firstLine="420" w:firstLineChars="200"/>
        <w:rPr>
          <w:rFonts w:ascii="Cambria" w:hAnsi="Cambria"/>
          <w:szCs w:val="21"/>
        </w:rPr>
      </w:pPr>
      <w:r>
        <w:rPr>
          <w:rFonts w:hint="eastAsia" w:ascii="Cambria" w:hAnsi="Cambria"/>
          <w:szCs w:val="21"/>
        </w:rPr>
        <w:t>（一）不准以任何理由向甲方、相关单位及其工作人员索要、接受或赠送礼金、有价证券、贵重物品和回扣、好处费、感谢费等。</w:t>
      </w:r>
    </w:p>
    <w:p w14:paraId="3EA22579">
      <w:pPr>
        <w:spacing w:line="400" w:lineRule="exact"/>
        <w:ind w:firstLine="420" w:firstLineChars="200"/>
        <w:rPr>
          <w:rFonts w:ascii="Cambria" w:hAnsi="Cambria"/>
          <w:szCs w:val="21"/>
        </w:rPr>
      </w:pPr>
      <w:r>
        <w:rPr>
          <w:rFonts w:hint="eastAsia" w:ascii="Cambria" w:hAnsi="Cambria"/>
          <w:szCs w:val="21"/>
        </w:rPr>
        <w:t>（二）不准以任何理由为甲方和相关单位报销应由对方或个人支付的费用。</w:t>
      </w:r>
    </w:p>
    <w:p w14:paraId="6D845664">
      <w:pPr>
        <w:spacing w:line="400" w:lineRule="exact"/>
        <w:ind w:firstLine="420" w:firstLineChars="200"/>
        <w:rPr>
          <w:rFonts w:ascii="Cambria" w:hAnsi="Cambria"/>
          <w:szCs w:val="21"/>
        </w:rPr>
      </w:pPr>
      <w:r>
        <w:rPr>
          <w:rFonts w:hint="eastAsia" w:ascii="Cambria" w:hAnsi="Cambria"/>
          <w:szCs w:val="21"/>
        </w:rPr>
        <w:t>（三）不准接受或暗示为甲方、相关单位或个人装修住房、婚丧嫁娶、配偶子女的工作安排以及出国（境）、旅游等提供方便。</w:t>
      </w:r>
    </w:p>
    <w:p w14:paraId="08F32674">
      <w:pPr>
        <w:spacing w:line="400" w:lineRule="exact"/>
        <w:ind w:firstLine="420" w:firstLineChars="200"/>
        <w:rPr>
          <w:rFonts w:ascii="Cambria" w:hAnsi="Cambria"/>
          <w:szCs w:val="21"/>
        </w:rPr>
      </w:pPr>
      <w:r>
        <w:rPr>
          <w:rFonts w:hint="eastAsia" w:ascii="Cambria" w:hAnsi="Cambria"/>
          <w:szCs w:val="21"/>
        </w:rPr>
        <w:t>（四）不准以任何理由为甲方、相关单位或个人组织有可能影响公正执行公务的宴请、健身、娱乐等活动。</w:t>
      </w:r>
    </w:p>
    <w:p w14:paraId="7316E7CF">
      <w:pPr>
        <w:spacing w:line="400" w:lineRule="exact"/>
        <w:ind w:firstLine="420" w:firstLineChars="200"/>
        <w:rPr>
          <w:rFonts w:ascii="Cambria" w:hAnsi="Cambria"/>
          <w:szCs w:val="21"/>
        </w:rPr>
      </w:pPr>
      <w:r>
        <w:rPr>
          <w:rFonts w:hint="eastAsia" w:ascii="Cambria" w:hAnsi="Cambria"/>
          <w:szCs w:val="21"/>
        </w:rPr>
        <w:t xml:space="preserve">第四条  违约责任 </w:t>
      </w:r>
    </w:p>
    <w:p w14:paraId="50C7EED4">
      <w:pPr>
        <w:spacing w:line="400" w:lineRule="exact"/>
        <w:ind w:firstLine="420" w:firstLineChars="200"/>
        <w:rPr>
          <w:rFonts w:ascii="Cambria" w:hAnsi="Cambria"/>
          <w:szCs w:val="21"/>
        </w:rPr>
      </w:pPr>
      <w:r>
        <w:rPr>
          <w:rFonts w:hint="eastAsia" w:ascii="Cambria" w:hAnsi="Cambria"/>
          <w:szCs w:val="21"/>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212213F5">
      <w:pPr>
        <w:spacing w:line="400" w:lineRule="exact"/>
        <w:ind w:firstLine="420" w:firstLineChars="200"/>
        <w:rPr>
          <w:rFonts w:ascii="Cambria" w:hAnsi="Cambria"/>
          <w:szCs w:val="21"/>
        </w:rPr>
      </w:pPr>
      <w:r>
        <w:rPr>
          <w:rFonts w:hint="eastAsia" w:ascii="Cambria" w:hAnsi="Cambria"/>
          <w:szCs w:val="21"/>
        </w:rPr>
        <w:t>（二）乙方工作人员有违反本责任书第一、三条责任行为的，按照管理权限，依据有关法律法规和规定给予党纪、政纪处分或组织处理；涉嫌犯罪的，移交司法机关追究刑事责任；给甲方单位造成经济损失的，应予以赔偿。</w:t>
      </w:r>
    </w:p>
    <w:p w14:paraId="336468C9">
      <w:pPr>
        <w:spacing w:line="400" w:lineRule="exact"/>
        <w:rPr>
          <w:rFonts w:ascii="Cambria" w:hAnsi="Cambria"/>
          <w:szCs w:val="21"/>
        </w:rPr>
      </w:pPr>
      <w:r>
        <w:rPr>
          <w:rFonts w:hint="eastAsia" w:ascii="Cambria" w:hAnsi="Cambria"/>
          <w:szCs w:val="21"/>
        </w:rPr>
        <w:t xml:space="preserve">    第五条  本责任书作为工程施工合同的附件，与工程施工合同具有同等法律效力。经双方签署后立即生效。</w:t>
      </w:r>
    </w:p>
    <w:p w14:paraId="2E14A523">
      <w:pPr>
        <w:spacing w:line="400" w:lineRule="exact"/>
        <w:ind w:firstLine="420" w:firstLineChars="200"/>
        <w:rPr>
          <w:rFonts w:ascii="Cambria" w:hAnsi="Cambria"/>
          <w:szCs w:val="21"/>
        </w:rPr>
      </w:pPr>
      <w:r>
        <w:rPr>
          <w:rFonts w:hint="eastAsia" w:ascii="Cambria" w:hAnsi="Cambria"/>
          <w:szCs w:val="21"/>
        </w:rPr>
        <w:t>第六条  本责任书的有效期为双方签署之日起至该工程项目竣工验收合格时止。</w:t>
      </w:r>
    </w:p>
    <w:p w14:paraId="690FF971">
      <w:pPr>
        <w:spacing w:line="400" w:lineRule="exact"/>
        <w:rPr>
          <w:rFonts w:ascii="Cambria" w:hAnsi="Cambria"/>
          <w:szCs w:val="21"/>
        </w:rPr>
      </w:pPr>
    </w:p>
    <w:p w14:paraId="24E15A11">
      <w:pPr>
        <w:spacing w:line="400" w:lineRule="exact"/>
        <w:rPr>
          <w:rFonts w:ascii="Cambria" w:hAnsi="Cambria"/>
          <w:szCs w:val="21"/>
        </w:rPr>
      </w:pPr>
      <w:r>
        <w:rPr>
          <w:rFonts w:hint="eastAsia" w:ascii="Cambria" w:hAnsi="Cambria"/>
          <w:szCs w:val="21"/>
        </w:rPr>
        <w:t>甲方单位：（盖章）                         乙方单位：</w:t>
      </w:r>
      <w:r>
        <w:rPr>
          <w:rFonts w:ascii="Cambria" w:hAnsi="Cambria"/>
          <w:szCs w:val="21"/>
        </w:rPr>
        <w:t xml:space="preserve"> </w:t>
      </w:r>
    </w:p>
    <w:p w14:paraId="7448F4DF">
      <w:pPr>
        <w:spacing w:line="400" w:lineRule="exact"/>
        <w:rPr>
          <w:rFonts w:ascii="Cambria" w:hAnsi="Cambria"/>
          <w:szCs w:val="21"/>
        </w:rPr>
      </w:pPr>
    </w:p>
    <w:p w14:paraId="2DE6FFC8">
      <w:pPr>
        <w:spacing w:line="400" w:lineRule="exact"/>
        <w:rPr>
          <w:rFonts w:ascii="Cambria" w:hAnsi="Cambria"/>
          <w:szCs w:val="21"/>
        </w:rPr>
      </w:pPr>
      <w:r>
        <w:rPr>
          <w:rFonts w:hint="eastAsia" w:ascii="Cambria" w:hAnsi="Cambria"/>
          <w:szCs w:val="21"/>
        </w:rPr>
        <w:t>法定代表人或委托代理人（签字或盖章）：    法定代表人或委托代理人（签字或盖章）：</w:t>
      </w:r>
    </w:p>
    <w:p w14:paraId="11EF5D5F">
      <w:pPr>
        <w:spacing w:line="400" w:lineRule="exact"/>
        <w:rPr>
          <w:rFonts w:ascii="Cambria" w:hAnsi="Cambria"/>
          <w:szCs w:val="21"/>
        </w:rPr>
      </w:pPr>
    </w:p>
    <w:p w14:paraId="26DDC474">
      <w:pPr>
        <w:spacing w:line="400" w:lineRule="exact"/>
        <w:rPr>
          <w:rFonts w:ascii="Cambria" w:hAnsi="Cambria"/>
          <w:szCs w:val="21"/>
        </w:rPr>
      </w:pPr>
    </w:p>
    <w:p w14:paraId="24C65FCC">
      <w:pPr>
        <w:spacing w:line="400" w:lineRule="exact"/>
        <w:ind w:left="5040" w:hanging="5040" w:hangingChars="2400"/>
        <w:rPr>
          <w:rFonts w:ascii="Cambria" w:hAnsi="Cambria"/>
          <w:sz w:val="18"/>
          <w:szCs w:val="18"/>
        </w:rPr>
      </w:pPr>
      <w:r>
        <w:rPr>
          <w:rFonts w:hint="eastAsia" w:ascii="Cambria" w:hAnsi="Cambria"/>
          <w:szCs w:val="21"/>
        </w:rPr>
        <w:t xml:space="preserve">地址： </w:t>
      </w:r>
      <w:r>
        <w:rPr>
          <w:rFonts w:ascii="Cambria" w:hAnsi="Cambria"/>
          <w:szCs w:val="21"/>
        </w:rPr>
        <w:t xml:space="preserve">                      </w:t>
      </w:r>
      <w:r>
        <w:rPr>
          <w:rFonts w:hint="eastAsia" w:ascii="Cambria" w:hAnsi="Cambria"/>
          <w:szCs w:val="21"/>
        </w:rPr>
        <w:t xml:space="preserve">             地址：</w:t>
      </w:r>
      <w:r>
        <w:rPr>
          <w:rFonts w:ascii="Cambria" w:hAnsi="Cambria"/>
          <w:sz w:val="18"/>
          <w:szCs w:val="18"/>
        </w:rPr>
        <w:t xml:space="preserve"> </w:t>
      </w:r>
    </w:p>
    <w:p w14:paraId="6955DDCA">
      <w:pPr>
        <w:spacing w:line="400" w:lineRule="exact"/>
        <w:rPr>
          <w:rFonts w:ascii="Cambria" w:hAnsi="Cambria"/>
          <w:szCs w:val="21"/>
        </w:rPr>
      </w:pPr>
    </w:p>
    <w:p w14:paraId="1E2A6F91">
      <w:pPr>
        <w:spacing w:line="400" w:lineRule="exact"/>
        <w:rPr>
          <w:rFonts w:ascii="Cambria" w:hAnsi="Cambria"/>
          <w:szCs w:val="21"/>
        </w:rPr>
      </w:pPr>
      <w:r>
        <w:rPr>
          <w:rFonts w:hint="eastAsia" w:ascii="Cambria" w:hAnsi="Cambria"/>
          <w:szCs w:val="21"/>
        </w:rPr>
        <w:t>电话：                                    电话：</w:t>
      </w:r>
    </w:p>
    <w:p w14:paraId="5D06D7B4">
      <w:pPr>
        <w:spacing w:line="400" w:lineRule="exact"/>
        <w:ind w:firstLine="1470" w:firstLineChars="700"/>
        <w:rPr>
          <w:rFonts w:ascii="Cambria" w:hAnsi="Cambria"/>
          <w:szCs w:val="21"/>
        </w:rPr>
      </w:pPr>
      <w:r>
        <w:rPr>
          <w:rFonts w:hint="eastAsia" w:ascii="Cambria" w:hAnsi="Cambria"/>
          <w:szCs w:val="21"/>
        </w:rPr>
        <w:t xml:space="preserve">年    月  </w:t>
      </w:r>
      <w:r>
        <w:rPr>
          <w:rFonts w:ascii="Cambria" w:hAnsi="Cambria"/>
          <w:szCs w:val="21"/>
        </w:rPr>
        <w:t xml:space="preserve"> </w:t>
      </w:r>
      <w:r>
        <w:rPr>
          <w:rFonts w:hint="eastAsia" w:ascii="Cambria" w:hAnsi="Cambria"/>
          <w:szCs w:val="21"/>
        </w:rPr>
        <w:t xml:space="preserve"> 日                                 年    月  </w:t>
      </w:r>
      <w:r>
        <w:rPr>
          <w:rFonts w:ascii="Cambria" w:hAnsi="Cambria"/>
          <w:szCs w:val="21"/>
        </w:rPr>
        <w:t xml:space="preserve"> </w:t>
      </w:r>
      <w:r>
        <w:rPr>
          <w:rFonts w:hint="eastAsia" w:ascii="Cambria" w:hAnsi="Cambria"/>
          <w:szCs w:val="21"/>
        </w:rPr>
        <w:t xml:space="preserve"> 日</w:t>
      </w:r>
    </w:p>
    <w:p w14:paraId="6A8DFFE9">
      <w:pPr>
        <w:tabs>
          <w:tab w:val="left" w:pos="1695"/>
        </w:tabs>
        <w:adjustRightInd w:val="0"/>
        <w:snapToGrid w:val="0"/>
        <w:spacing w:line="360" w:lineRule="auto"/>
        <w:ind w:firstLine="480"/>
        <w:rPr>
          <w:rFonts w:ascii="Cambria" w:hAnsi="Cambria"/>
          <w:szCs w:val="21"/>
        </w:rPr>
      </w:pPr>
    </w:p>
    <w:p w14:paraId="649F8095"/>
    <w:p w14:paraId="5614C665">
      <w:pPr>
        <w:rPr>
          <w:sz w:val="28"/>
          <w:szCs w:val="28"/>
        </w:rPr>
      </w:pPr>
    </w:p>
    <w:p w14:paraId="760BEA9A">
      <w:pPr>
        <w:rPr>
          <w:sz w:val="28"/>
          <w:szCs w:val="28"/>
        </w:rPr>
      </w:pPr>
    </w:p>
    <w:p w14:paraId="6A6B6103">
      <w:pPr>
        <w:rPr>
          <w:sz w:val="28"/>
          <w:szCs w:val="28"/>
        </w:rPr>
        <w:sectPr>
          <w:headerReference r:id="rId15" w:type="default"/>
          <w:footerReference r:id="rId16" w:type="default"/>
          <w:pgSz w:w="11906" w:h="16838"/>
          <w:pgMar w:top="1440" w:right="1486" w:bottom="1440" w:left="1800" w:header="851" w:footer="992" w:gutter="0"/>
          <w:cols w:space="720" w:num="1"/>
          <w:titlePg/>
          <w:docGrid w:type="lines" w:linePitch="312" w:charSpace="0"/>
        </w:sectPr>
      </w:pPr>
    </w:p>
    <w:p w14:paraId="6314839E">
      <w:pPr>
        <w:jc w:val="center"/>
        <w:rPr>
          <w:b/>
          <w:sz w:val="44"/>
          <w:szCs w:val="44"/>
        </w:rPr>
      </w:pPr>
    </w:p>
    <w:p w14:paraId="250A4055">
      <w:pPr>
        <w:jc w:val="center"/>
        <w:rPr>
          <w:b/>
          <w:sz w:val="44"/>
          <w:szCs w:val="44"/>
        </w:rPr>
      </w:pPr>
    </w:p>
    <w:p w14:paraId="1552C0FE">
      <w:pPr>
        <w:jc w:val="center"/>
        <w:rPr>
          <w:b/>
          <w:sz w:val="44"/>
          <w:szCs w:val="44"/>
        </w:rPr>
      </w:pPr>
    </w:p>
    <w:p w14:paraId="22C28806">
      <w:pPr>
        <w:jc w:val="center"/>
        <w:rPr>
          <w:b/>
          <w:sz w:val="44"/>
          <w:szCs w:val="44"/>
        </w:rPr>
      </w:pPr>
    </w:p>
    <w:p w14:paraId="604F3990">
      <w:pPr>
        <w:jc w:val="center"/>
        <w:rPr>
          <w:b/>
          <w:sz w:val="44"/>
          <w:szCs w:val="44"/>
        </w:rPr>
        <w:sectPr>
          <w:headerReference r:id="rId18" w:type="first"/>
          <w:headerReference r:id="rId17" w:type="even"/>
          <w:pgSz w:w="11906" w:h="16838"/>
          <w:pgMar w:top="1440" w:right="1797" w:bottom="1440" w:left="1797" w:header="851" w:footer="992" w:gutter="0"/>
          <w:cols w:space="720" w:num="1"/>
          <w:docGrid w:linePitch="312" w:charSpace="0"/>
        </w:sectPr>
      </w:pPr>
      <w:r>
        <w:rPr>
          <w:b/>
          <w:sz w:val="44"/>
          <w:szCs w:val="44"/>
        </w:rPr>
        <w:t>第</w:t>
      </w:r>
      <w:r>
        <w:rPr>
          <w:rFonts w:hint="eastAsia"/>
          <w:b/>
          <w:sz w:val="44"/>
          <w:szCs w:val="44"/>
        </w:rPr>
        <w:t>六节 中标通知书</w:t>
      </w:r>
    </w:p>
    <w:p w14:paraId="55C05264">
      <w:pPr>
        <w:jc w:val="center"/>
        <w:rPr>
          <w:b/>
          <w:sz w:val="44"/>
          <w:szCs w:val="44"/>
        </w:rPr>
      </w:pPr>
    </w:p>
    <w:p w14:paraId="4E25A9E8">
      <w:pPr>
        <w:jc w:val="center"/>
        <w:rPr>
          <w:b/>
          <w:sz w:val="44"/>
          <w:szCs w:val="44"/>
        </w:rPr>
      </w:pPr>
    </w:p>
    <w:p w14:paraId="15F4127C">
      <w:pPr>
        <w:jc w:val="center"/>
        <w:rPr>
          <w:b/>
          <w:sz w:val="44"/>
          <w:szCs w:val="44"/>
        </w:rPr>
      </w:pPr>
    </w:p>
    <w:p w14:paraId="4F75D36C">
      <w:pPr>
        <w:jc w:val="center"/>
        <w:rPr>
          <w:b/>
          <w:sz w:val="44"/>
          <w:szCs w:val="44"/>
        </w:rPr>
      </w:pPr>
    </w:p>
    <w:p w14:paraId="763CAECC">
      <w:pPr>
        <w:jc w:val="center"/>
        <w:rPr>
          <w:b/>
          <w:sz w:val="44"/>
          <w:szCs w:val="44"/>
        </w:rPr>
      </w:pPr>
      <w:r>
        <w:rPr>
          <w:b/>
          <w:sz w:val="44"/>
          <w:szCs w:val="44"/>
        </w:rPr>
        <w:t>第</w:t>
      </w:r>
      <w:r>
        <w:rPr>
          <w:rFonts w:hint="eastAsia"/>
          <w:b/>
          <w:sz w:val="44"/>
          <w:szCs w:val="44"/>
        </w:rPr>
        <w:t>七节 施工安全协议书</w:t>
      </w:r>
    </w:p>
    <w:p w14:paraId="199D34E8">
      <w:pPr>
        <w:pStyle w:val="75"/>
        <w:spacing w:after="240" w:afterLines="100" w:line="480" w:lineRule="auto"/>
        <w:rPr>
          <w:rFonts w:ascii="Helvetica" w:hAnsi="Helvetica" w:cs="Helvetica"/>
          <w:b/>
          <w:bCs/>
          <w:sz w:val="49"/>
          <w:szCs w:val="49"/>
        </w:rPr>
        <w:sectPr>
          <w:pgSz w:w="11906" w:h="16838"/>
          <w:pgMar w:top="1440" w:right="1797" w:bottom="1440" w:left="1797" w:header="851" w:footer="992" w:gutter="0"/>
          <w:cols w:space="720" w:num="1"/>
          <w:docGrid w:linePitch="312" w:charSpace="0"/>
        </w:sectPr>
      </w:pPr>
    </w:p>
    <w:p w14:paraId="63F8CAB9">
      <w:pPr>
        <w:pStyle w:val="75"/>
        <w:spacing w:after="240" w:afterLines="100" w:line="480" w:lineRule="auto"/>
        <w:jc w:val="center"/>
        <w:rPr>
          <w:rFonts w:ascii="Helvetica" w:hAnsi="Helvetica" w:cs="Helvetica"/>
          <w:sz w:val="25"/>
          <w:szCs w:val="25"/>
        </w:rPr>
      </w:pPr>
      <w:r>
        <w:rPr>
          <w:rFonts w:ascii="Helvetica" w:hAnsi="Helvetica" w:cs="Helvetica"/>
          <w:b/>
          <w:bCs/>
          <w:sz w:val="49"/>
          <w:szCs w:val="49"/>
        </w:rPr>
        <w:t>工程施工安全协议书</w:t>
      </w:r>
    </w:p>
    <w:p w14:paraId="5A861065">
      <w:pPr>
        <w:spacing w:line="400" w:lineRule="exact"/>
        <w:ind w:firstLine="420" w:firstLineChars="200"/>
        <w:rPr>
          <w:rFonts w:ascii="Cambria" w:hAnsi="Cambria"/>
          <w:szCs w:val="21"/>
        </w:rPr>
      </w:pPr>
      <w:r>
        <w:rPr>
          <w:rFonts w:ascii="Cambria" w:hAnsi="Cambria"/>
          <w:szCs w:val="21"/>
        </w:rPr>
        <w:t>为贯彻</w:t>
      </w:r>
      <w:r>
        <w:rPr>
          <w:rFonts w:hint="eastAsia" w:ascii="Cambria" w:hAnsi="Cambria"/>
          <w:szCs w:val="21"/>
        </w:rPr>
        <w:t>“</w:t>
      </w:r>
      <w:r>
        <w:rPr>
          <w:rFonts w:ascii="Cambria" w:hAnsi="Cambria"/>
          <w:szCs w:val="21"/>
        </w:rPr>
        <w:t>安全第一，预防为主</w:t>
      </w:r>
      <w:r>
        <w:rPr>
          <w:rFonts w:hint="eastAsia" w:ascii="Cambria" w:hAnsi="Cambria"/>
          <w:szCs w:val="21"/>
        </w:rPr>
        <w:t>”</w:t>
      </w:r>
      <w:r>
        <w:rPr>
          <w:rFonts w:ascii="Cambria" w:hAnsi="Cambria"/>
          <w:szCs w:val="21"/>
        </w:rPr>
        <w:t>方针，明确双方的安全责任，确保施工中人身、</w:t>
      </w:r>
      <w:r>
        <w:rPr>
          <w:rFonts w:hint="eastAsia" w:ascii="Cambria" w:hAnsi="Cambria"/>
          <w:szCs w:val="21"/>
        </w:rPr>
        <w:t>机械</w:t>
      </w:r>
      <w:r>
        <w:rPr>
          <w:rFonts w:ascii="Cambria" w:hAnsi="Cambria"/>
          <w:szCs w:val="21"/>
        </w:rPr>
        <w:t>和设备安全，根据国家有关法律法规，经双方协商一致签订本协议。</w:t>
      </w:r>
    </w:p>
    <w:p w14:paraId="642FCFD3">
      <w:pPr>
        <w:spacing w:line="400" w:lineRule="exact"/>
        <w:ind w:firstLine="420" w:firstLineChars="200"/>
        <w:rPr>
          <w:rFonts w:ascii="Cambria" w:hAnsi="Cambria"/>
          <w:szCs w:val="21"/>
        </w:rPr>
      </w:pPr>
      <w:r>
        <w:rPr>
          <w:rFonts w:ascii="Cambria" w:hAnsi="Cambria"/>
          <w:szCs w:val="21"/>
        </w:rPr>
        <w:t>工程项目：</w:t>
      </w:r>
    </w:p>
    <w:p w14:paraId="1944C964">
      <w:pPr>
        <w:spacing w:line="400" w:lineRule="exact"/>
        <w:ind w:firstLine="420" w:firstLineChars="200"/>
        <w:rPr>
          <w:rFonts w:ascii="Cambria" w:hAnsi="Cambria"/>
          <w:szCs w:val="21"/>
          <w:u w:val="single"/>
        </w:rPr>
      </w:pPr>
      <w:r>
        <w:rPr>
          <w:rFonts w:hint="eastAsia" w:ascii="Cambria" w:hAnsi="Cambria"/>
          <w:szCs w:val="21"/>
          <w:u w:val="single"/>
        </w:rPr>
        <w:t xml:space="preserve">久凌大厦南楼五层改造工程 </w:t>
      </w:r>
    </w:p>
    <w:p w14:paraId="7EEEBED7">
      <w:pPr>
        <w:spacing w:line="400" w:lineRule="exact"/>
        <w:ind w:firstLine="420" w:firstLineChars="200"/>
        <w:rPr>
          <w:rFonts w:ascii="Cambria" w:hAnsi="Cambria"/>
          <w:szCs w:val="21"/>
        </w:rPr>
      </w:pPr>
      <w:r>
        <w:rPr>
          <w:rFonts w:hint="eastAsia" w:ascii="Cambria" w:hAnsi="Cambria"/>
          <w:szCs w:val="21"/>
        </w:rPr>
        <w:t>第二</w:t>
      </w:r>
      <w:r>
        <w:rPr>
          <w:rFonts w:ascii="Cambria" w:hAnsi="Cambria"/>
          <w:szCs w:val="21"/>
        </w:rPr>
        <w:t>条 施工地址：</w:t>
      </w:r>
    </w:p>
    <w:p w14:paraId="281C432E">
      <w:pPr>
        <w:spacing w:line="400" w:lineRule="exact"/>
        <w:ind w:firstLine="420" w:firstLineChars="200"/>
        <w:rPr>
          <w:rFonts w:ascii="Cambria" w:hAnsi="Cambria"/>
          <w:szCs w:val="21"/>
          <w:u w:val="single"/>
        </w:rPr>
      </w:pPr>
      <w:r>
        <w:rPr>
          <w:rFonts w:hint="eastAsia"/>
          <w:u w:val="single"/>
        </w:rPr>
        <w:t>北京市海淀区西三环北路21号</w:t>
      </w:r>
      <w:r>
        <w:rPr>
          <w:rFonts w:hint="eastAsia" w:ascii="Cambria" w:hAnsi="Cambria"/>
          <w:szCs w:val="21"/>
          <w:u w:val="single"/>
        </w:rPr>
        <w:t xml:space="preserve"> </w:t>
      </w:r>
    </w:p>
    <w:p w14:paraId="5F4A05F7">
      <w:pPr>
        <w:spacing w:line="400" w:lineRule="exact"/>
        <w:ind w:firstLine="420" w:firstLineChars="200"/>
        <w:rPr>
          <w:rFonts w:ascii="Cambria" w:hAnsi="Cambria"/>
          <w:szCs w:val="21"/>
        </w:rPr>
      </w:pPr>
      <w:r>
        <w:rPr>
          <w:rFonts w:ascii="Cambria" w:hAnsi="Cambria"/>
          <w:szCs w:val="21"/>
        </w:rPr>
        <w:t>第三条</w:t>
      </w:r>
      <w:r>
        <w:rPr>
          <w:rFonts w:hint="eastAsia" w:ascii="Cambria" w:hAnsi="Cambria"/>
          <w:szCs w:val="21"/>
        </w:rPr>
        <w:t xml:space="preserve"> </w:t>
      </w:r>
      <w:r>
        <w:rPr>
          <w:rFonts w:ascii="Cambria" w:hAnsi="Cambria"/>
          <w:szCs w:val="21"/>
        </w:rPr>
        <w:t>甲方安全责任</w:t>
      </w:r>
    </w:p>
    <w:p w14:paraId="35D3AECC">
      <w:pPr>
        <w:spacing w:line="400" w:lineRule="exact"/>
        <w:ind w:firstLine="420" w:firstLineChars="200"/>
        <w:rPr>
          <w:rFonts w:ascii="Cambria" w:hAnsi="Cambria"/>
          <w:szCs w:val="21"/>
        </w:rPr>
      </w:pPr>
      <w:r>
        <w:rPr>
          <w:rFonts w:ascii="Cambria" w:hAnsi="Cambria"/>
          <w:szCs w:val="21"/>
        </w:rPr>
        <w:t>1、开工前甲方对乙方进行施工安全技术交底，并应有书面记录或资料。</w:t>
      </w:r>
    </w:p>
    <w:p w14:paraId="14E58853">
      <w:pPr>
        <w:spacing w:line="400" w:lineRule="exact"/>
        <w:ind w:firstLine="420" w:firstLineChars="200"/>
        <w:rPr>
          <w:rFonts w:ascii="Cambria" w:hAnsi="Cambria"/>
          <w:szCs w:val="21"/>
        </w:rPr>
      </w:pPr>
      <w:r>
        <w:rPr>
          <w:rFonts w:ascii="Cambria" w:hAnsi="Cambria"/>
          <w:szCs w:val="21"/>
        </w:rPr>
        <w:t>2、甲方应要求乙方制定施工安全措施，在开始施工前报甲方备案。</w:t>
      </w:r>
    </w:p>
    <w:p w14:paraId="44ABA52E">
      <w:pPr>
        <w:spacing w:line="400" w:lineRule="exact"/>
        <w:ind w:firstLine="420" w:firstLineChars="200"/>
        <w:rPr>
          <w:rFonts w:ascii="Cambria" w:hAnsi="Cambria"/>
          <w:szCs w:val="21"/>
        </w:rPr>
      </w:pPr>
      <w:r>
        <w:rPr>
          <w:rFonts w:ascii="Cambria" w:hAnsi="Cambria"/>
          <w:szCs w:val="21"/>
        </w:rPr>
        <w:t>3、甲方有协助乙方搞好安全生产、防火管理以及督促检查的义务。甲方有权检查督促乙方执行有关安全生产方面的工作规定，对乙方不符合安全文明施工的行为进行制止、纠正并发出安全整改通知书，直至清退出场。</w:t>
      </w:r>
    </w:p>
    <w:p w14:paraId="07ECA510">
      <w:pPr>
        <w:spacing w:line="400" w:lineRule="exact"/>
        <w:ind w:firstLine="420" w:firstLineChars="200"/>
        <w:rPr>
          <w:rFonts w:ascii="Cambria" w:hAnsi="Cambria"/>
          <w:szCs w:val="21"/>
        </w:rPr>
      </w:pPr>
      <w:r>
        <w:rPr>
          <w:rFonts w:ascii="Cambria" w:hAnsi="Cambria"/>
          <w:szCs w:val="21"/>
        </w:rPr>
        <w:t>4、甲方指派</w:t>
      </w:r>
      <w:r>
        <w:rPr>
          <w:rFonts w:hint="eastAsia" w:ascii="Cambria" w:hAnsi="Cambria"/>
          <w:szCs w:val="21"/>
          <w:u w:val="single"/>
        </w:rPr>
        <w:t xml:space="preserve">     </w:t>
      </w:r>
      <w:r>
        <w:rPr>
          <w:rFonts w:ascii="Cambria" w:hAnsi="Cambria"/>
          <w:szCs w:val="21"/>
        </w:rPr>
        <w:t>同志负责与乙方联系安全生产方面的工作。</w:t>
      </w:r>
    </w:p>
    <w:p w14:paraId="1C851801">
      <w:pPr>
        <w:spacing w:line="400" w:lineRule="exact"/>
        <w:ind w:firstLine="420" w:firstLineChars="200"/>
        <w:rPr>
          <w:rFonts w:ascii="Cambria" w:hAnsi="Cambria"/>
          <w:szCs w:val="21"/>
        </w:rPr>
      </w:pPr>
      <w:r>
        <w:rPr>
          <w:rFonts w:ascii="Cambria" w:hAnsi="Cambria"/>
          <w:szCs w:val="21"/>
        </w:rPr>
        <w:t>5、甲方负责签发工作票，对工作票所填写的安全措施是否正确完备负责，并履行工作票许可手续。</w:t>
      </w:r>
    </w:p>
    <w:p w14:paraId="38F692E4">
      <w:pPr>
        <w:spacing w:line="400" w:lineRule="exact"/>
        <w:ind w:firstLine="420" w:firstLineChars="200"/>
        <w:rPr>
          <w:rFonts w:ascii="Cambria" w:hAnsi="Cambria"/>
          <w:szCs w:val="21"/>
        </w:rPr>
      </w:pPr>
      <w:r>
        <w:rPr>
          <w:rFonts w:ascii="Cambria" w:hAnsi="Cambria"/>
          <w:szCs w:val="21"/>
        </w:rPr>
        <w:t>6、甲方有权对乙方参与施工的人员进行安全技术知识和安全工作规程的抽考。</w:t>
      </w:r>
    </w:p>
    <w:p w14:paraId="666DF4F7">
      <w:pPr>
        <w:spacing w:line="400" w:lineRule="exact"/>
        <w:ind w:firstLine="420" w:firstLineChars="200"/>
        <w:rPr>
          <w:rFonts w:ascii="Cambria" w:hAnsi="Cambria"/>
          <w:szCs w:val="21"/>
        </w:rPr>
      </w:pPr>
      <w:r>
        <w:rPr>
          <w:rFonts w:ascii="Cambria" w:hAnsi="Cambria"/>
          <w:szCs w:val="21"/>
        </w:rPr>
        <w:t>7、乙方在施工中发生的</w:t>
      </w:r>
      <w:r>
        <w:rPr>
          <w:rFonts w:hint="eastAsia" w:ascii="Cambria" w:hAnsi="Cambria"/>
          <w:szCs w:val="21"/>
        </w:rPr>
        <w:t>任何</w:t>
      </w:r>
      <w:r>
        <w:rPr>
          <w:rFonts w:ascii="Cambria" w:hAnsi="Cambria"/>
          <w:szCs w:val="21"/>
        </w:rPr>
        <w:t>事故，甲方有责任负责调查、统计上报。乙方在施工中如发生国务院《</w:t>
      </w:r>
      <w:r>
        <w:rPr>
          <w:rFonts w:hint="eastAsia" w:ascii="Cambria" w:hAnsi="Cambria"/>
          <w:szCs w:val="21"/>
        </w:rPr>
        <w:t>生产安全事故报告和调查处理条例</w:t>
      </w:r>
      <w:r>
        <w:rPr>
          <w:rFonts w:ascii="Cambria" w:hAnsi="Cambria"/>
          <w:szCs w:val="21"/>
        </w:rPr>
        <w:t>》所规定的</w:t>
      </w:r>
      <w:r>
        <w:rPr>
          <w:rFonts w:hint="eastAsia" w:ascii="Cambria" w:hAnsi="Cambria"/>
          <w:szCs w:val="21"/>
        </w:rPr>
        <w:t>特别重大</w:t>
      </w:r>
      <w:r>
        <w:rPr>
          <w:rFonts w:ascii="Cambria" w:hAnsi="Cambria"/>
          <w:szCs w:val="21"/>
        </w:rPr>
        <w:t>事故，甲方有权督促乙方立即通知当地政府和公安部门，要求派人保护现场；并有权要求乙方提供事故调查书面结论及处理意见。</w:t>
      </w:r>
    </w:p>
    <w:p w14:paraId="235B9427">
      <w:pPr>
        <w:spacing w:line="400" w:lineRule="exact"/>
        <w:ind w:firstLine="420" w:firstLineChars="200"/>
        <w:rPr>
          <w:rFonts w:ascii="Cambria" w:hAnsi="Cambria"/>
          <w:szCs w:val="21"/>
        </w:rPr>
      </w:pPr>
      <w:r>
        <w:rPr>
          <w:rFonts w:ascii="Cambria" w:hAnsi="Cambria"/>
          <w:szCs w:val="21"/>
        </w:rPr>
        <w:t>8、甲方不得要求乙方违反安全管理规定进行施工。因甲方原因导致的事故由甲方承担责任。</w:t>
      </w:r>
    </w:p>
    <w:p w14:paraId="0B4F6FA4">
      <w:pPr>
        <w:spacing w:line="400" w:lineRule="exact"/>
        <w:ind w:firstLine="420" w:firstLineChars="200"/>
        <w:rPr>
          <w:rFonts w:ascii="Cambria" w:hAnsi="Cambria"/>
          <w:szCs w:val="21"/>
        </w:rPr>
      </w:pPr>
      <w:r>
        <w:rPr>
          <w:rFonts w:ascii="Cambria" w:hAnsi="Cambria"/>
          <w:szCs w:val="21"/>
        </w:rPr>
        <w:t>9、发生以下情况停工整顿，因停工造成的违约责任由乙方承担：</w:t>
      </w:r>
    </w:p>
    <w:p w14:paraId="017AA765">
      <w:pPr>
        <w:spacing w:line="400" w:lineRule="exact"/>
        <w:ind w:firstLine="420" w:firstLineChars="200"/>
        <w:rPr>
          <w:rFonts w:ascii="Cambria" w:hAnsi="Cambria"/>
          <w:szCs w:val="21"/>
        </w:rPr>
      </w:pPr>
      <w:r>
        <w:rPr>
          <w:rFonts w:ascii="Cambria" w:hAnsi="Cambria"/>
          <w:szCs w:val="21"/>
        </w:rPr>
        <w:t>（1）人身伤亡事故；</w:t>
      </w:r>
    </w:p>
    <w:p w14:paraId="597485BD">
      <w:pPr>
        <w:spacing w:line="400" w:lineRule="exact"/>
        <w:ind w:firstLine="420" w:firstLineChars="200"/>
        <w:rPr>
          <w:rFonts w:ascii="Cambria" w:hAnsi="Cambria"/>
          <w:szCs w:val="21"/>
        </w:rPr>
      </w:pPr>
      <w:r>
        <w:rPr>
          <w:rFonts w:ascii="Cambria" w:hAnsi="Cambria"/>
          <w:szCs w:val="21"/>
        </w:rPr>
        <w:t>（2）发生施工机械、生产主设备严重损坏事故；</w:t>
      </w:r>
    </w:p>
    <w:p w14:paraId="663B7867">
      <w:pPr>
        <w:spacing w:line="400" w:lineRule="exact"/>
        <w:ind w:firstLine="420" w:firstLineChars="200"/>
        <w:rPr>
          <w:rFonts w:ascii="Cambria" w:hAnsi="Cambria"/>
          <w:szCs w:val="21"/>
        </w:rPr>
      </w:pPr>
      <w:r>
        <w:rPr>
          <w:rFonts w:ascii="Cambria" w:hAnsi="Cambria"/>
          <w:szCs w:val="21"/>
        </w:rPr>
        <w:t>（3）发生</w:t>
      </w:r>
      <w:r>
        <w:rPr>
          <w:rFonts w:hint="eastAsia" w:ascii="Cambria" w:hAnsi="Cambria"/>
          <w:szCs w:val="21"/>
        </w:rPr>
        <w:t>工地</w:t>
      </w:r>
      <w:r>
        <w:rPr>
          <w:rFonts w:ascii="Cambria" w:hAnsi="Cambria"/>
          <w:szCs w:val="21"/>
        </w:rPr>
        <w:t>火灾事故；</w:t>
      </w:r>
    </w:p>
    <w:p w14:paraId="1286FD6F">
      <w:pPr>
        <w:spacing w:line="400" w:lineRule="exact"/>
        <w:ind w:firstLine="420" w:firstLineChars="200"/>
        <w:rPr>
          <w:rFonts w:ascii="Cambria" w:hAnsi="Cambria"/>
          <w:szCs w:val="21"/>
        </w:rPr>
      </w:pPr>
      <w:r>
        <w:rPr>
          <w:rFonts w:ascii="Cambria" w:hAnsi="Cambria"/>
          <w:szCs w:val="21"/>
        </w:rPr>
        <w:t>（4）发生违章作业、冒险作业不听劝告的；</w:t>
      </w:r>
    </w:p>
    <w:p w14:paraId="5FB54205">
      <w:pPr>
        <w:spacing w:line="400" w:lineRule="exact"/>
        <w:ind w:firstLine="420" w:firstLineChars="200"/>
        <w:rPr>
          <w:rFonts w:ascii="Cambria" w:hAnsi="Cambria"/>
          <w:szCs w:val="21"/>
        </w:rPr>
      </w:pPr>
      <w:r>
        <w:rPr>
          <w:rFonts w:ascii="Cambria" w:hAnsi="Cambria"/>
          <w:szCs w:val="21"/>
        </w:rPr>
        <w:t>（5）施工现场脏、乱、差，不能满足安全和文明施工要求的。</w:t>
      </w:r>
    </w:p>
    <w:p w14:paraId="47B2AA95">
      <w:pPr>
        <w:spacing w:line="400" w:lineRule="exact"/>
        <w:ind w:firstLine="420" w:firstLineChars="200"/>
        <w:rPr>
          <w:rFonts w:ascii="Cambria" w:hAnsi="Cambria"/>
          <w:szCs w:val="21"/>
        </w:rPr>
      </w:pPr>
      <w:r>
        <w:rPr>
          <w:rFonts w:ascii="Cambria" w:hAnsi="Cambria"/>
          <w:szCs w:val="21"/>
        </w:rPr>
        <w:t>第四条 乙方安全责任</w:t>
      </w:r>
    </w:p>
    <w:p w14:paraId="2C46FE22">
      <w:pPr>
        <w:spacing w:line="400" w:lineRule="exact"/>
        <w:ind w:firstLine="420" w:firstLineChars="200"/>
        <w:rPr>
          <w:rFonts w:ascii="Cambria" w:hAnsi="Cambria"/>
          <w:szCs w:val="21"/>
        </w:rPr>
      </w:pPr>
      <w:r>
        <w:rPr>
          <w:rFonts w:ascii="Cambria" w:hAnsi="Cambria"/>
          <w:szCs w:val="21"/>
        </w:rPr>
        <w:t>乙方作为工程项目的承包单位，对工程施工过程中发生的人身伤害、设备损坏事故承担安全责任。</w:t>
      </w:r>
    </w:p>
    <w:p w14:paraId="3A901653">
      <w:pPr>
        <w:spacing w:line="400" w:lineRule="exact"/>
        <w:ind w:firstLine="420" w:firstLineChars="200"/>
        <w:rPr>
          <w:rFonts w:ascii="Cambria" w:hAnsi="Cambria"/>
          <w:szCs w:val="21"/>
        </w:rPr>
      </w:pPr>
      <w:r>
        <w:rPr>
          <w:rFonts w:hint="eastAsia" w:ascii="Cambria" w:hAnsi="Cambria"/>
          <w:szCs w:val="21"/>
        </w:rPr>
        <w:t>乙方作为施工总承包单位是工程施工安全第一责任人。</w:t>
      </w:r>
      <w:r>
        <w:rPr>
          <w:rFonts w:ascii="Cambria" w:hAnsi="Cambria"/>
          <w:szCs w:val="21"/>
        </w:rPr>
        <w:t>乙方应切实履行以下安全责任：</w:t>
      </w:r>
    </w:p>
    <w:p w14:paraId="44B53BEE">
      <w:pPr>
        <w:spacing w:line="400" w:lineRule="exact"/>
        <w:ind w:firstLine="420" w:firstLineChars="200"/>
        <w:rPr>
          <w:rFonts w:ascii="Cambria" w:hAnsi="Cambria"/>
          <w:szCs w:val="21"/>
        </w:rPr>
      </w:pPr>
      <w:r>
        <w:rPr>
          <w:rFonts w:ascii="Cambria" w:hAnsi="Cambria"/>
          <w:szCs w:val="21"/>
        </w:rPr>
        <w:t>1、乙方所提供的承包工程要求的相关资质证明材料应真实、合法、有效。</w:t>
      </w:r>
    </w:p>
    <w:p w14:paraId="77C8E1C3">
      <w:pPr>
        <w:spacing w:line="400" w:lineRule="exact"/>
        <w:ind w:firstLine="420" w:firstLineChars="200"/>
        <w:rPr>
          <w:rFonts w:ascii="Cambria" w:hAnsi="Cambria"/>
          <w:szCs w:val="21"/>
        </w:rPr>
      </w:pPr>
      <w:r>
        <w:rPr>
          <w:rFonts w:ascii="Cambria" w:hAnsi="Cambria"/>
          <w:szCs w:val="21"/>
        </w:rPr>
        <w:t>2、乙方必须贯彻执行国家有关安全生产的法律法规，必须制定相应的安全管理制度</w:t>
      </w:r>
      <w:r>
        <w:rPr>
          <w:rFonts w:hint="eastAsia" w:ascii="Cambria" w:hAnsi="Cambria"/>
          <w:szCs w:val="21"/>
        </w:rPr>
        <w:t>。</w:t>
      </w:r>
    </w:p>
    <w:p w14:paraId="708A00E7">
      <w:pPr>
        <w:spacing w:line="400" w:lineRule="exact"/>
        <w:ind w:firstLine="420" w:firstLineChars="200"/>
        <w:rPr>
          <w:rFonts w:ascii="Cambria" w:hAnsi="Cambria"/>
          <w:szCs w:val="21"/>
        </w:rPr>
      </w:pPr>
      <w:r>
        <w:rPr>
          <w:rFonts w:ascii="Cambria" w:hAnsi="Cambria"/>
          <w:szCs w:val="21"/>
        </w:rPr>
        <w:t>3、现场施工应遵守国家和地方关于劳动安全，劳务用工法律法规及规章制度，保证其用工的合法性。乙方必须按国家有关规定，为施工人员进行人身保险，配备合格的劳动防护用品、安全用具。</w:t>
      </w:r>
    </w:p>
    <w:p w14:paraId="7951A2EA">
      <w:pPr>
        <w:spacing w:line="400" w:lineRule="exact"/>
        <w:ind w:firstLine="420" w:firstLineChars="200"/>
        <w:jc w:val="left"/>
        <w:rPr>
          <w:rFonts w:ascii="Cambria" w:hAnsi="Cambria"/>
          <w:szCs w:val="21"/>
        </w:rPr>
      </w:pPr>
      <w:r>
        <w:rPr>
          <w:rFonts w:ascii="Cambria" w:hAnsi="Cambria"/>
          <w:szCs w:val="21"/>
        </w:rPr>
        <w:t>4、施工期间，乙方应设有专职安监人员（少于30人者设兼职）。乙方指派</w:t>
      </w:r>
      <w:r>
        <w:rPr>
          <w:rFonts w:hint="eastAsia" w:ascii="Cambria" w:hAnsi="Cambria"/>
          <w:szCs w:val="21"/>
          <w:u w:val="single"/>
        </w:rPr>
        <w:t xml:space="preserve">     （身份证号码</w:t>
      </w:r>
      <w:r>
        <w:rPr>
          <w:rFonts w:ascii="Cambria" w:hAnsi="Cambria"/>
          <w:szCs w:val="21"/>
          <w:u w:val="single"/>
        </w:rPr>
        <w:t xml:space="preserve">         </w:t>
      </w:r>
      <w:r>
        <w:rPr>
          <w:rFonts w:hint="eastAsia" w:ascii="Cambria" w:hAnsi="Cambria"/>
          <w:szCs w:val="21"/>
          <w:u w:val="single"/>
        </w:rPr>
        <w:t>）</w:t>
      </w:r>
      <w:r>
        <w:rPr>
          <w:rFonts w:ascii="Cambria" w:hAnsi="Cambria"/>
          <w:szCs w:val="21"/>
        </w:rPr>
        <w:t>作为</w:t>
      </w:r>
      <w:r>
        <w:rPr>
          <w:rFonts w:hint="eastAsia" w:ascii="Cambria" w:hAnsi="Cambria"/>
          <w:szCs w:val="21"/>
        </w:rPr>
        <w:t>现场专职安全员</w:t>
      </w:r>
      <w:r>
        <w:rPr>
          <w:rFonts w:ascii="Cambria" w:hAnsi="Cambria"/>
          <w:szCs w:val="21"/>
        </w:rPr>
        <w:t>。</w:t>
      </w:r>
      <w:r>
        <w:rPr>
          <w:rFonts w:hint="eastAsia"/>
          <w:szCs w:val="21"/>
        </w:rPr>
        <w:t>承包方安全员、技术员进场时应提供不少于3个月社保证明，安全员要求施工驻场，技术员要求驻场不少于2</w:t>
      </w:r>
      <w:r>
        <w:rPr>
          <w:szCs w:val="21"/>
        </w:rPr>
        <w:t>2</w:t>
      </w:r>
      <w:r>
        <w:rPr>
          <w:rFonts w:hint="eastAsia"/>
          <w:szCs w:val="21"/>
        </w:rPr>
        <w:t>天，安全员、技术员</w:t>
      </w:r>
      <w:r>
        <w:rPr>
          <w:rFonts w:hint="eastAsia" w:ascii="宋体" w:hAnsi="宋体"/>
          <w:szCs w:val="21"/>
          <w:u w:val="single"/>
        </w:rPr>
        <w:t>未按要求驻场、每月在施工现场天数未达到要求的，每少于1天，承包人支付违约金10000元。</w:t>
      </w:r>
    </w:p>
    <w:p w14:paraId="4BE3D4BB">
      <w:pPr>
        <w:spacing w:line="400" w:lineRule="exact"/>
        <w:ind w:firstLine="420" w:firstLineChars="200"/>
        <w:rPr>
          <w:rFonts w:ascii="Cambria" w:hAnsi="Cambria"/>
          <w:szCs w:val="21"/>
        </w:rPr>
      </w:pPr>
      <w:r>
        <w:rPr>
          <w:rFonts w:ascii="Cambria" w:hAnsi="Cambria"/>
          <w:szCs w:val="21"/>
        </w:rPr>
        <w:t>5、乙方一切施工活动，必须编制安全施工措施，施工前对全体施工人员进行全面的安全技术交底，并在整个施工过程正确、完整地执行，无措施或未交底严禁施工。</w:t>
      </w:r>
    </w:p>
    <w:p w14:paraId="7E64EF29">
      <w:pPr>
        <w:spacing w:line="400" w:lineRule="exact"/>
        <w:ind w:firstLine="420" w:firstLineChars="200"/>
        <w:rPr>
          <w:rFonts w:ascii="Cambria" w:hAnsi="Cambria"/>
          <w:szCs w:val="21"/>
        </w:rPr>
      </w:pPr>
      <w:r>
        <w:rPr>
          <w:rFonts w:ascii="Cambria" w:hAnsi="Cambria"/>
          <w:szCs w:val="21"/>
        </w:rPr>
        <w:t>6、乙方用于本工程项目的施工机械、工器具及安全防护用具的数量和质量必须满足施工需要，并经有资质检验单位检验符合安全规定，乙方对因使用工器具不当所造成的人员伤害及设备损坏负责。</w:t>
      </w:r>
    </w:p>
    <w:p w14:paraId="0137E0F3">
      <w:pPr>
        <w:spacing w:line="400" w:lineRule="exact"/>
        <w:ind w:firstLine="420" w:firstLineChars="200"/>
        <w:rPr>
          <w:rFonts w:ascii="Cambria" w:hAnsi="Cambria"/>
          <w:szCs w:val="21"/>
        </w:rPr>
      </w:pPr>
      <w:r>
        <w:rPr>
          <w:rFonts w:ascii="Cambria" w:hAnsi="Cambria"/>
          <w:szCs w:val="21"/>
        </w:rPr>
        <w:t>7、开工前，乙方应组织全体施工人员进行安全教育，并将参加安全教育人员名单（包括临时增补或调换人员）与考试成绩报给甲方备案。特种作业人员必须有有关部门核发的合格有效的上岗资格证书。</w:t>
      </w:r>
    </w:p>
    <w:p w14:paraId="57BD70DD">
      <w:pPr>
        <w:spacing w:line="400" w:lineRule="exact"/>
        <w:ind w:firstLine="420" w:firstLineChars="200"/>
        <w:rPr>
          <w:rFonts w:ascii="Cambria" w:hAnsi="Cambria"/>
          <w:szCs w:val="21"/>
        </w:rPr>
      </w:pPr>
      <w:r>
        <w:rPr>
          <w:rFonts w:ascii="Cambria" w:hAnsi="Cambria"/>
          <w:szCs w:val="21"/>
        </w:rPr>
        <w:t>开工前，乙方应到甲方办理临时出入证并佩戴出入证进入施工现场，出入证严禁转借他人。</w:t>
      </w:r>
    </w:p>
    <w:p w14:paraId="199FBD08">
      <w:pPr>
        <w:spacing w:line="400" w:lineRule="exact"/>
        <w:ind w:firstLine="420" w:firstLineChars="200"/>
        <w:rPr>
          <w:rFonts w:ascii="Cambria" w:hAnsi="Cambria"/>
          <w:szCs w:val="21"/>
        </w:rPr>
      </w:pPr>
      <w:r>
        <w:rPr>
          <w:rFonts w:ascii="Cambria" w:hAnsi="Cambria"/>
          <w:szCs w:val="21"/>
        </w:rPr>
        <w:t>8、开工前，乙方应组织人员对施工区域、作业环境进行检查，确认符合安全要求，一经开工，就表示乙方已确认施工现场、作业环境符合安全要求并处于安全状态。</w:t>
      </w:r>
    </w:p>
    <w:p w14:paraId="2023ACAE">
      <w:pPr>
        <w:spacing w:line="400" w:lineRule="exact"/>
        <w:ind w:firstLine="420" w:firstLineChars="200"/>
        <w:rPr>
          <w:rFonts w:ascii="Cambria" w:hAnsi="Cambria"/>
          <w:szCs w:val="21"/>
        </w:rPr>
      </w:pPr>
      <w:r>
        <w:rPr>
          <w:rFonts w:ascii="Cambria" w:hAnsi="Cambria"/>
          <w:szCs w:val="21"/>
        </w:rPr>
        <w:t>9、乙方应在施工范围装设临时围栏或警告标志，不得超越指定的施工范围进行施工，禁止无关人员进入施工现场。未经甲方同意，乙方不得擅自使用与施工无关的甲方设施设备；不得擅自拆除、变更甲方防护设施及标示。</w:t>
      </w:r>
    </w:p>
    <w:p w14:paraId="13A461B6">
      <w:pPr>
        <w:spacing w:line="400" w:lineRule="exact"/>
        <w:ind w:firstLine="420" w:firstLineChars="200"/>
        <w:rPr>
          <w:rFonts w:ascii="Cambria" w:hAnsi="Cambria"/>
          <w:szCs w:val="21"/>
        </w:rPr>
      </w:pPr>
      <w:r>
        <w:rPr>
          <w:rFonts w:ascii="Cambria" w:hAnsi="Cambria"/>
          <w:szCs w:val="21"/>
        </w:rPr>
        <w:t>10、乙方施工过程中需使用电、水源，应事先与甲方取得联系，不得私拉乱接。中断作业或遇故障应立即切断有关开关。</w:t>
      </w:r>
    </w:p>
    <w:p w14:paraId="24453612">
      <w:pPr>
        <w:spacing w:line="400" w:lineRule="exact"/>
        <w:ind w:firstLine="420" w:firstLineChars="200"/>
        <w:rPr>
          <w:rFonts w:ascii="Cambria" w:hAnsi="Cambria"/>
          <w:szCs w:val="21"/>
        </w:rPr>
      </w:pPr>
      <w:r>
        <w:rPr>
          <w:rFonts w:ascii="Cambria" w:hAnsi="Cambria"/>
          <w:szCs w:val="21"/>
        </w:rPr>
        <w:t>11、乙方施工过程中应做到工完、料尽、场地清，确保安全文明施工。</w:t>
      </w:r>
    </w:p>
    <w:p w14:paraId="0E3817CD">
      <w:pPr>
        <w:spacing w:line="400" w:lineRule="exact"/>
        <w:ind w:firstLine="420" w:firstLineChars="200"/>
        <w:rPr>
          <w:rFonts w:ascii="Cambria" w:hAnsi="Cambria"/>
          <w:szCs w:val="21"/>
        </w:rPr>
      </w:pPr>
      <w:r>
        <w:rPr>
          <w:rFonts w:ascii="Cambria" w:hAnsi="Cambria"/>
          <w:szCs w:val="21"/>
        </w:rPr>
        <w:t>12、乙方必须接受甲方的监督、检查，对甲方提出的安全整改意见必须及时整改。</w:t>
      </w:r>
    </w:p>
    <w:p w14:paraId="18F5BCFC">
      <w:pPr>
        <w:spacing w:line="400" w:lineRule="exact"/>
        <w:ind w:firstLine="420" w:firstLineChars="200"/>
        <w:rPr>
          <w:rFonts w:ascii="Cambria" w:hAnsi="Cambria"/>
          <w:szCs w:val="21"/>
        </w:rPr>
      </w:pPr>
      <w:r>
        <w:rPr>
          <w:rFonts w:ascii="Cambria" w:hAnsi="Cambria"/>
          <w:szCs w:val="21"/>
        </w:rPr>
        <w:t>13、乙方施工过程中发生人生伤亡、</w:t>
      </w:r>
      <w:r>
        <w:rPr>
          <w:rFonts w:hint="eastAsia" w:ascii="Cambria" w:hAnsi="Cambria"/>
          <w:szCs w:val="21"/>
        </w:rPr>
        <w:t>任何</w:t>
      </w:r>
      <w:r>
        <w:rPr>
          <w:rFonts w:ascii="Cambria" w:hAnsi="Cambria"/>
          <w:szCs w:val="21"/>
        </w:rPr>
        <w:t>事故，应立即报告甲方，并积极配合调查。</w:t>
      </w:r>
    </w:p>
    <w:p w14:paraId="265FDB27">
      <w:pPr>
        <w:spacing w:line="400" w:lineRule="exact"/>
        <w:ind w:firstLine="420" w:firstLineChars="200"/>
        <w:rPr>
          <w:rFonts w:ascii="Cambria" w:hAnsi="Cambria"/>
          <w:szCs w:val="21"/>
        </w:rPr>
      </w:pPr>
      <w:r>
        <w:rPr>
          <w:rFonts w:ascii="Cambria" w:hAnsi="Cambria"/>
          <w:szCs w:val="21"/>
        </w:rPr>
        <w:t>乙方应执行国务院</w:t>
      </w:r>
      <w:r>
        <w:rPr>
          <w:rFonts w:hint="eastAsia" w:ascii="Cambria" w:hAnsi="Cambria"/>
          <w:szCs w:val="21"/>
        </w:rPr>
        <w:t>《生产安全事故报告和调查处理条例》</w:t>
      </w:r>
      <w:r>
        <w:rPr>
          <w:rFonts w:ascii="Cambria" w:hAnsi="Cambria"/>
          <w:szCs w:val="21"/>
        </w:rPr>
        <w:t>。对人员在施工中发生的人身伤亡事故，还必须立即用电话、电传或电报等向事故所在地的政府安全管理部门、公安部门报告，按规定组织调查处理，并由乙方统计上报；如发生国务院</w:t>
      </w:r>
      <w:r>
        <w:rPr>
          <w:rFonts w:hint="eastAsia" w:ascii="Cambria" w:hAnsi="Cambria"/>
          <w:szCs w:val="21"/>
        </w:rPr>
        <w:t>《生产安全事故报告和调查处理条例》</w:t>
      </w:r>
      <w:r>
        <w:rPr>
          <w:rFonts w:ascii="Cambria" w:hAnsi="Cambria"/>
          <w:szCs w:val="21"/>
        </w:rPr>
        <w:t>所规定的特大事故，还应立即通知当地政府、公安部门，并要求派人保护现场。</w:t>
      </w:r>
    </w:p>
    <w:p w14:paraId="46672535">
      <w:pPr>
        <w:spacing w:line="400" w:lineRule="exact"/>
        <w:ind w:firstLine="420" w:firstLineChars="200"/>
        <w:rPr>
          <w:rFonts w:ascii="Cambria" w:hAnsi="Cambria"/>
          <w:szCs w:val="21"/>
        </w:rPr>
      </w:pPr>
      <w:r>
        <w:rPr>
          <w:rFonts w:ascii="Cambria" w:hAnsi="Cambria"/>
          <w:szCs w:val="21"/>
        </w:rPr>
        <w:t>乙方应将事故调查组的事故调查报告及乙方事故处理意见提交甲方备案。</w:t>
      </w:r>
    </w:p>
    <w:p w14:paraId="7E0B4B60">
      <w:pPr>
        <w:spacing w:line="400" w:lineRule="exact"/>
        <w:ind w:firstLine="420" w:firstLineChars="200"/>
        <w:rPr>
          <w:rFonts w:ascii="Cambria" w:hAnsi="Cambria"/>
          <w:szCs w:val="21"/>
        </w:rPr>
      </w:pPr>
      <w:r>
        <w:rPr>
          <w:rFonts w:ascii="Cambria" w:hAnsi="Cambria"/>
          <w:szCs w:val="21"/>
        </w:rPr>
        <w:t>第五条 甲乙双方联系方式及响应时间</w:t>
      </w:r>
    </w:p>
    <w:p w14:paraId="12579C03">
      <w:pPr>
        <w:spacing w:line="400" w:lineRule="exact"/>
        <w:ind w:firstLine="420" w:firstLineChars="200"/>
        <w:rPr>
          <w:rFonts w:ascii="Cambria" w:hAnsi="Cambria"/>
          <w:szCs w:val="21"/>
        </w:rPr>
      </w:pPr>
      <w:r>
        <w:rPr>
          <w:rFonts w:ascii="Cambria" w:hAnsi="Cambria"/>
          <w:szCs w:val="21"/>
        </w:rPr>
        <w:t>甲乙双方应以工作联系单、传真、电传等书面形式送达对方。双方在接到对方的书面联系时，应于4小时内予以响应。</w:t>
      </w:r>
    </w:p>
    <w:p w14:paraId="4608D590">
      <w:pPr>
        <w:spacing w:line="400" w:lineRule="exact"/>
        <w:ind w:firstLine="420" w:firstLineChars="200"/>
        <w:rPr>
          <w:rFonts w:ascii="Cambria" w:hAnsi="Cambria"/>
          <w:szCs w:val="21"/>
        </w:rPr>
      </w:pPr>
      <w:r>
        <w:rPr>
          <w:rFonts w:ascii="Cambria" w:hAnsi="Cambria"/>
          <w:szCs w:val="21"/>
        </w:rPr>
        <w:t>第六条 施工安全保证金</w:t>
      </w:r>
    </w:p>
    <w:p w14:paraId="5BF5D12C">
      <w:pPr>
        <w:spacing w:line="400" w:lineRule="exact"/>
        <w:ind w:firstLine="420" w:firstLineChars="200"/>
        <w:rPr>
          <w:rFonts w:ascii="Cambria" w:hAnsi="Cambria"/>
          <w:szCs w:val="21"/>
        </w:rPr>
      </w:pPr>
      <w:r>
        <w:rPr>
          <w:rFonts w:hint="eastAsia" w:ascii="Cambria" w:hAnsi="Cambria"/>
          <w:szCs w:val="21"/>
        </w:rPr>
        <w:t>甲乙双方约定</w:t>
      </w:r>
      <w:r>
        <w:rPr>
          <w:rFonts w:ascii="Cambria" w:hAnsi="Cambria"/>
          <w:szCs w:val="21"/>
        </w:rPr>
        <w:t>工程款的10%作为安全保证金。乙方在施工过程中未发生人身重伤</w:t>
      </w:r>
      <w:r>
        <w:rPr>
          <w:rFonts w:hint="eastAsia" w:ascii="Cambria" w:hAnsi="Cambria"/>
          <w:szCs w:val="21"/>
        </w:rPr>
        <w:t>及任何</w:t>
      </w:r>
      <w:r>
        <w:rPr>
          <w:rFonts w:ascii="Cambria" w:hAnsi="Cambria"/>
          <w:szCs w:val="21"/>
        </w:rPr>
        <w:t>事故，于工程竣工验收后将该保证金全额退还；若施工过程中发生下列有乙方责任的安全事故，扣除相应数额的安全保证金：</w:t>
      </w:r>
    </w:p>
    <w:p w14:paraId="0066795A">
      <w:pPr>
        <w:spacing w:line="400" w:lineRule="exact"/>
        <w:ind w:firstLine="420" w:firstLineChars="200"/>
        <w:rPr>
          <w:rFonts w:ascii="Cambria" w:hAnsi="Cambria"/>
          <w:szCs w:val="21"/>
        </w:rPr>
      </w:pPr>
      <w:r>
        <w:rPr>
          <w:rFonts w:ascii="Cambria" w:hAnsi="Cambria"/>
          <w:szCs w:val="21"/>
        </w:rPr>
        <w:t>（1）发生人身死亡事故，扣除全部安全保证金；</w:t>
      </w:r>
    </w:p>
    <w:p w14:paraId="764A288A">
      <w:pPr>
        <w:spacing w:line="400" w:lineRule="exact"/>
        <w:ind w:firstLine="420" w:firstLineChars="200"/>
        <w:rPr>
          <w:rFonts w:ascii="Cambria" w:hAnsi="Cambria"/>
          <w:szCs w:val="21"/>
        </w:rPr>
      </w:pPr>
      <w:r>
        <w:rPr>
          <w:rFonts w:ascii="Cambria" w:hAnsi="Cambria"/>
          <w:szCs w:val="21"/>
        </w:rPr>
        <w:t>（2）发生人身重伤事故，扣除50%安全保证金；</w:t>
      </w:r>
    </w:p>
    <w:p w14:paraId="160234D7">
      <w:pPr>
        <w:spacing w:line="400" w:lineRule="exact"/>
        <w:ind w:firstLine="420" w:firstLineChars="200"/>
        <w:rPr>
          <w:rFonts w:ascii="Cambria" w:hAnsi="Cambria"/>
          <w:szCs w:val="21"/>
        </w:rPr>
      </w:pPr>
      <w:r>
        <w:rPr>
          <w:rFonts w:ascii="Cambria" w:hAnsi="Cambria"/>
          <w:szCs w:val="21"/>
        </w:rPr>
        <w:t>（3）乙方人员发生违章行为的经济处罚，按处罚规定从安全保证金内扣除。</w:t>
      </w:r>
    </w:p>
    <w:p w14:paraId="6DB1E3F6">
      <w:pPr>
        <w:spacing w:line="400" w:lineRule="exact"/>
        <w:ind w:firstLine="420" w:firstLineChars="200"/>
        <w:rPr>
          <w:rFonts w:ascii="Cambria" w:hAnsi="Cambria"/>
          <w:szCs w:val="21"/>
        </w:rPr>
      </w:pPr>
      <w:r>
        <w:rPr>
          <w:rFonts w:ascii="Cambria" w:hAnsi="Cambria"/>
          <w:szCs w:val="21"/>
        </w:rPr>
        <w:t>第七条 违约责任</w:t>
      </w:r>
    </w:p>
    <w:p w14:paraId="5C83359F">
      <w:pPr>
        <w:spacing w:line="400" w:lineRule="exact"/>
        <w:ind w:firstLine="420" w:firstLineChars="200"/>
        <w:rPr>
          <w:rFonts w:ascii="Cambria" w:hAnsi="Cambria"/>
          <w:szCs w:val="21"/>
        </w:rPr>
      </w:pPr>
      <w:r>
        <w:rPr>
          <w:rFonts w:ascii="Cambria" w:hAnsi="Cambria"/>
          <w:szCs w:val="21"/>
        </w:rPr>
        <w:t>1、由于甲方或乙方责任造成对方或第三方的人身伤害、设备损坏等财产损失，由责任方承担相应责任，并赔偿对方或第三方因此造成的全部损失。</w:t>
      </w:r>
    </w:p>
    <w:p w14:paraId="30AD0C46">
      <w:pPr>
        <w:spacing w:line="400" w:lineRule="exact"/>
        <w:ind w:firstLine="420" w:firstLineChars="200"/>
        <w:rPr>
          <w:rFonts w:ascii="Cambria" w:hAnsi="Cambria"/>
          <w:szCs w:val="21"/>
        </w:rPr>
      </w:pPr>
      <w:r>
        <w:rPr>
          <w:rFonts w:ascii="Cambria" w:hAnsi="Cambria"/>
          <w:szCs w:val="21"/>
        </w:rPr>
        <w:t>2、合同履行中，发现乙方提供的有关资质材料无效，甲方有权解除合同，并由乙方承担由此造成的一切损失。</w:t>
      </w:r>
    </w:p>
    <w:p w14:paraId="79BCA867">
      <w:pPr>
        <w:spacing w:line="400" w:lineRule="exact"/>
        <w:ind w:firstLine="420" w:firstLineChars="200"/>
        <w:rPr>
          <w:rFonts w:ascii="Cambria" w:hAnsi="Cambria"/>
          <w:szCs w:val="21"/>
        </w:rPr>
      </w:pPr>
      <w:r>
        <w:rPr>
          <w:rFonts w:ascii="Cambria" w:hAnsi="Cambria"/>
          <w:szCs w:val="21"/>
        </w:rPr>
        <w:t>3、发现乙方现场作业人员有违章行为的，</w:t>
      </w:r>
      <w:r>
        <w:rPr>
          <w:rFonts w:hint="eastAsia" w:ascii="Cambria" w:hAnsi="Cambria"/>
          <w:szCs w:val="21"/>
        </w:rPr>
        <w:t>造成经济损失或人员伤害的</w:t>
      </w:r>
      <w:r>
        <w:rPr>
          <w:rFonts w:ascii="Cambria" w:hAnsi="Cambria"/>
          <w:szCs w:val="21"/>
        </w:rPr>
        <w:t>，承担相</w:t>
      </w:r>
      <w:r>
        <w:rPr>
          <w:rFonts w:ascii="Helvetica" w:hAnsi="Helvetica" w:cs="Helvetica"/>
          <w:sz w:val="25"/>
          <w:szCs w:val="25"/>
        </w:rPr>
        <w:t>应的违约</w:t>
      </w:r>
      <w:r>
        <w:rPr>
          <w:rFonts w:ascii="Cambria" w:hAnsi="Cambria"/>
          <w:szCs w:val="21"/>
        </w:rPr>
        <w:t>金。</w:t>
      </w:r>
    </w:p>
    <w:p w14:paraId="5595627D">
      <w:pPr>
        <w:spacing w:line="400" w:lineRule="exact"/>
        <w:ind w:firstLine="420" w:firstLineChars="200"/>
        <w:rPr>
          <w:rFonts w:ascii="Cambria" w:hAnsi="Cambria"/>
          <w:szCs w:val="21"/>
        </w:rPr>
      </w:pPr>
      <w:r>
        <w:rPr>
          <w:rFonts w:ascii="Cambria" w:hAnsi="Cambria"/>
          <w:szCs w:val="21"/>
        </w:rPr>
        <w:t>4、乙方未设置安监人员；未能正确、全面执行安全技术措施、施工组织设计；施工人员未掌握本工程项目特点及施工安全措施；用于本工程项目的施工机械、工器具及安全防护用品不满足施工需要，甲方有权要求乙方立即停工整改，由此引起的后果及损失由乙方承担。</w:t>
      </w:r>
    </w:p>
    <w:p w14:paraId="5EF044FA">
      <w:pPr>
        <w:spacing w:line="400" w:lineRule="exact"/>
        <w:ind w:firstLine="420" w:firstLineChars="200"/>
        <w:rPr>
          <w:rFonts w:ascii="Cambria" w:hAnsi="Cambria"/>
          <w:szCs w:val="21"/>
        </w:rPr>
      </w:pPr>
      <w:r>
        <w:rPr>
          <w:rFonts w:ascii="Cambria" w:hAnsi="Cambria"/>
          <w:szCs w:val="21"/>
        </w:rPr>
        <w:t>5、乙方人员安全工作规程抽考不合格，乙方应承担50元/人次的违约责任；特种人员无证上岗乙方应承担100元/人次的违约责任。</w:t>
      </w:r>
    </w:p>
    <w:p w14:paraId="4293166B">
      <w:pPr>
        <w:spacing w:line="400" w:lineRule="exact"/>
        <w:ind w:firstLine="420" w:firstLineChars="200"/>
        <w:rPr>
          <w:rFonts w:ascii="Cambria" w:hAnsi="Cambria"/>
          <w:szCs w:val="21"/>
        </w:rPr>
      </w:pPr>
      <w:r>
        <w:rPr>
          <w:rFonts w:ascii="Cambria" w:hAnsi="Cambria"/>
          <w:szCs w:val="21"/>
        </w:rPr>
        <w:t>6、乙方使用甲方提供的设施设备、工器具等造成损坏的，应照价赔偿。</w:t>
      </w:r>
    </w:p>
    <w:p w14:paraId="1FCFDA6B">
      <w:pPr>
        <w:spacing w:line="400" w:lineRule="exact"/>
        <w:ind w:firstLine="420" w:firstLineChars="200"/>
        <w:rPr>
          <w:rFonts w:ascii="Cambria" w:hAnsi="Cambria"/>
          <w:szCs w:val="21"/>
        </w:rPr>
      </w:pPr>
      <w:r>
        <w:rPr>
          <w:rFonts w:ascii="Cambria" w:hAnsi="Cambria"/>
          <w:szCs w:val="21"/>
        </w:rPr>
        <w:t>7、乙方人员无故到其他生产区域或擅自动用甲方的设施设备等，乙方按100元至500元/人次承担违约责任。</w:t>
      </w:r>
    </w:p>
    <w:p w14:paraId="03FB02A8">
      <w:pPr>
        <w:spacing w:line="400" w:lineRule="exact"/>
        <w:ind w:firstLine="420" w:firstLineChars="200"/>
        <w:rPr>
          <w:rFonts w:ascii="Cambria" w:hAnsi="Cambria"/>
          <w:szCs w:val="21"/>
        </w:rPr>
      </w:pPr>
      <w:r>
        <w:rPr>
          <w:rFonts w:ascii="Cambria" w:hAnsi="Cambria"/>
          <w:szCs w:val="21"/>
        </w:rPr>
        <w:t>8、乙方对甲方提出的安全整改意见不及时整改的，每逾期一天，乙方按200元至1000元/天承担违约责任。</w:t>
      </w:r>
    </w:p>
    <w:p w14:paraId="4FA19AF5">
      <w:pPr>
        <w:spacing w:line="400" w:lineRule="exact"/>
        <w:ind w:firstLine="420" w:firstLineChars="200"/>
        <w:rPr>
          <w:rFonts w:ascii="Cambria" w:hAnsi="Cambria"/>
          <w:szCs w:val="21"/>
        </w:rPr>
      </w:pPr>
      <w:r>
        <w:rPr>
          <w:rFonts w:ascii="Cambria" w:hAnsi="Cambria"/>
          <w:szCs w:val="21"/>
        </w:rPr>
        <w:t>9、施工过程中发生人身伤亡事故有隐瞒行为的，除接受政府有关部门处理外，过错方应承担3000元至10000元/次的违约责任。</w:t>
      </w:r>
    </w:p>
    <w:p w14:paraId="05C27E20">
      <w:pPr>
        <w:spacing w:line="400" w:lineRule="exact"/>
        <w:ind w:firstLine="420" w:firstLineChars="200"/>
        <w:rPr>
          <w:rFonts w:ascii="Cambria" w:hAnsi="Cambria"/>
          <w:szCs w:val="21"/>
        </w:rPr>
      </w:pPr>
      <w:r>
        <w:rPr>
          <w:rFonts w:ascii="Cambria" w:hAnsi="Cambria"/>
          <w:szCs w:val="21"/>
        </w:rPr>
        <w:t>第八条 甲乙双方约定的其他事项：无</w:t>
      </w:r>
    </w:p>
    <w:p w14:paraId="116D524B">
      <w:pPr>
        <w:spacing w:line="400" w:lineRule="exact"/>
        <w:ind w:firstLine="420" w:firstLineChars="200"/>
        <w:rPr>
          <w:rFonts w:ascii="Cambria" w:hAnsi="Cambria"/>
          <w:szCs w:val="21"/>
        </w:rPr>
      </w:pPr>
      <w:r>
        <w:rPr>
          <w:rFonts w:ascii="Cambria" w:hAnsi="Cambria"/>
          <w:szCs w:val="21"/>
        </w:rPr>
        <w:t>第九条 本协议执行过程中，如发生争议，由双方协商、调解解决；若经协商、调解不能解决争议的，任何一方可以向</w:t>
      </w:r>
      <w:r>
        <w:rPr>
          <w:rFonts w:hint="eastAsia" w:ascii="Cambria" w:hAnsi="Cambria"/>
          <w:szCs w:val="21"/>
        </w:rPr>
        <w:t>施工地</w:t>
      </w:r>
      <w:r>
        <w:rPr>
          <w:rFonts w:ascii="Cambria" w:hAnsi="Cambria"/>
          <w:szCs w:val="21"/>
        </w:rPr>
        <w:t>人民法院提起诉讼。</w:t>
      </w:r>
    </w:p>
    <w:p w14:paraId="29FAB15C">
      <w:pPr>
        <w:spacing w:line="400" w:lineRule="exact"/>
        <w:ind w:firstLine="420" w:firstLineChars="200"/>
        <w:rPr>
          <w:rFonts w:ascii="Cambria" w:hAnsi="Cambria"/>
          <w:szCs w:val="21"/>
        </w:rPr>
      </w:pPr>
      <w:r>
        <w:rPr>
          <w:rFonts w:ascii="Cambria" w:hAnsi="Cambria"/>
          <w:szCs w:val="21"/>
        </w:rPr>
        <w:t>第十条 甲乙双方必须严格执行本协议，本协议的法律效力独立于主合同。</w:t>
      </w:r>
    </w:p>
    <w:p w14:paraId="1172CD0C">
      <w:pPr>
        <w:spacing w:line="400" w:lineRule="exact"/>
        <w:ind w:firstLine="420" w:firstLineChars="200"/>
        <w:rPr>
          <w:rFonts w:ascii="Cambria" w:hAnsi="Cambria"/>
          <w:szCs w:val="21"/>
        </w:rPr>
      </w:pPr>
      <w:r>
        <w:rPr>
          <w:rFonts w:ascii="Cambria" w:hAnsi="Cambria"/>
          <w:szCs w:val="21"/>
        </w:rPr>
        <w:t>第十一条 本协议有效期限：自</w:t>
      </w:r>
      <w:r>
        <w:rPr>
          <w:rFonts w:hint="eastAsia" w:ascii="Cambria" w:hAnsi="Cambria"/>
          <w:szCs w:val="21"/>
        </w:rPr>
        <w:t>工程项目开工施工单位进场日</w:t>
      </w:r>
      <w:r>
        <w:rPr>
          <w:rFonts w:ascii="Cambria" w:hAnsi="Cambria"/>
          <w:szCs w:val="21"/>
        </w:rPr>
        <w:t>起至</w:t>
      </w:r>
      <w:r>
        <w:rPr>
          <w:rFonts w:hint="eastAsia" w:ascii="Cambria" w:hAnsi="Cambria"/>
          <w:szCs w:val="21"/>
        </w:rPr>
        <w:t>项目完工验收合格日</w:t>
      </w:r>
      <w:r>
        <w:rPr>
          <w:rFonts w:ascii="Cambria" w:hAnsi="Cambria"/>
          <w:szCs w:val="21"/>
        </w:rPr>
        <w:t>止。</w:t>
      </w:r>
    </w:p>
    <w:p w14:paraId="7C3108CB">
      <w:pPr>
        <w:spacing w:line="400" w:lineRule="exact"/>
        <w:ind w:firstLine="420" w:firstLineChars="200"/>
        <w:rPr>
          <w:rFonts w:ascii="Cambria" w:hAnsi="Cambria"/>
          <w:szCs w:val="21"/>
        </w:rPr>
      </w:pPr>
      <w:r>
        <w:rPr>
          <w:rFonts w:ascii="Cambria" w:hAnsi="Cambria"/>
          <w:szCs w:val="21"/>
        </w:rPr>
        <w:t>第十二条 本协议经双方法定代表人或委托代理人签字盖章后生效。</w:t>
      </w:r>
    </w:p>
    <w:p w14:paraId="002B3FDF">
      <w:pPr>
        <w:spacing w:line="400" w:lineRule="exact"/>
        <w:ind w:firstLine="420" w:firstLineChars="200"/>
        <w:rPr>
          <w:rFonts w:ascii="Cambria" w:hAnsi="Cambria"/>
          <w:szCs w:val="21"/>
        </w:rPr>
      </w:pPr>
      <w:r>
        <w:rPr>
          <w:rFonts w:ascii="Cambria" w:hAnsi="Cambria"/>
          <w:szCs w:val="21"/>
        </w:rPr>
        <w:t>第十三条 本协议一式</w:t>
      </w:r>
      <w:r>
        <w:rPr>
          <w:rFonts w:hint="eastAsia" w:ascii="Cambria" w:hAnsi="Cambria"/>
          <w:szCs w:val="21"/>
        </w:rPr>
        <w:t>四</w:t>
      </w:r>
      <w:r>
        <w:rPr>
          <w:rFonts w:ascii="Cambria" w:hAnsi="Cambria"/>
          <w:szCs w:val="21"/>
        </w:rPr>
        <w:t>份，甲乙双方各执</w:t>
      </w:r>
      <w:r>
        <w:rPr>
          <w:rFonts w:hint="eastAsia" w:ascii="Cambria" w:hAnsi="Cambria"/>
          <w:szCs w:val="21"/>
        </w:rPr>
        <w:t>两</w:t>
      </w:r>
      <w:r>
        <w:rPr>
          <w:rFonts w:ascii="Cambria" w:hAnsi="Cambria"/>
          <w:szCs w:val="21"/>
        </w:rPr>
        <w:t>份。</w:t>
      </w:r>
    </w:p>
    <w:p w14:paraId="163E05B0">
      <w:pPr>
        <w:spacing w:line="400" w:lineRule="exact"/>
        <w:ind w:firstLine="420" w:firstLineChars="200"/>
        <w:rPr>
          <w:rFonts w:ascii="Cambria" w:hAnsi="Cambria"/>
          <w:szCs w:val="21"/>
        </w:rPr>
      </w:pPr>
      <w:r>
        <w:rPr>
          <w:rFonts w:ascii="Cambria" w:hAnsi="Cambria"/>
          <w:szCs w:val="21"/>
        </w:rPr>
        <w:t>第十四条 本协议签订地点在甲方</w:t>
      </w:r>
      <w:r>
        <w:rPr>
          <w:rFonts w:hint="eastAsia" w:ascii="Cambria" w:hAnsi="Cambria"/>
          <w:szCs w:val="21"/>
        </w:rPr>
        <w:t>办公场地</w:t>
      </w:r>
      <w:r>
        <w:rPr>
          <w:rFonts w:ascii="Cambria" w:hAnsi="Cambria"/>
          <w:szCs w:val="21"/>
        </w:rPr>
        <w:t>。</w:t>
      </w:r>
    </w:p>
    <w:p w14:paraId="646CE2D7">
      <w:pPr>
        <w:spacing w:line="400" w:lineRule="exact"/>
        <w:ind w:firstLine="420" w:firstLineChars="200"/>
        <w:rPr>
          <w:rFonts w:ascii="Cambria" w:hAnsi="Cambria"/>
          <w:szCs w:val="21"/>
        </w:rPr>
      </w:pPr>
    </w:p>
    <w:p w14:paraId="40473943">
      <w:pPr>
        <w:pStyle w:val="75"/>
        <w:wordWrap w:val="0"/>
        <w:spacing w:line="480" w:lineRule="auto"/>
        <w:ind w:firstLine="283" w:firstLineChars="135"/>
        <w:rPr>
          <w:rFonts w:ascii="Helvetica" w:hAnsi="Helvetica" w:cs="Helvetica"/>
          <w:sz w:val="21"/>
          <w:szCs w:val="21"/>
        </w:rPr>
      </w:pPr>
      <w:r>
        <w:rPr>
          <w:rFonts w:ascii="Helvetica" w:hAnsi="Helvetica" w:cs="Helvetica"/>
          <w:sz w:val="21"/>
          <w:szCs w:val="21"/>
        </w:rPr>
        <w:t xml:space="preserve">  甲方：                                          </w:t>
      </w:r>
      <w:r>
        <w:rPr>
          <w:rFonts w:hint="eastAsia" w:ascii="Helvetica" w:hAnsi="Helvetica" w:cs="Helvetica"/>
          <w:sz w:val="21"/>
          <w:szCs w:val="21"/>
        </w:rPr>
        <w:t xml:space="preserve">  </w:t>
      </w:r>
      <w:r>
        <w:rPr>
          <w:rFonts w:ascii="Helvetica" w:hAnsi="Helvetica" w:cs="Helvetica"/>
          <w:sz w:val="21"/>
          <w:szCs w:val="21"/>
        </w:rPr>
        <w:t>乙方：</w:t>
      </w:r>
      <w:r>
        <w:rPr>
          <w:rFonts w:hint="eastAsia" w:ascii="Helvetica" w:hAnsi="Helvetica" w:cs="Helvetica"/>
          <w:sz w:val="21"/>
          <w:szCs w:val="21"/>
          <w:u w:val="single"/>
        </w:rPr>
        <w:t xml:space="preserve">                 </w:t>
      </w:r>
      <w:r>
        <w:rPr>
          <w:rFonts w:hint="eastAsia" w:ascii="Helvetica" w:hAnsi="Helvetica" w:cs="Helvetica"/>
          <w:sz w:val="21"/>
          <w:szCs w:val="21"/>
        </w:rPr>
        <w:t xml:space="preserve">                              </w:t>
      </w:r>
    </w:p>
    <w:p w14:paraId="076CA59F">
      <w:pPr>
        <w:pStyle w:val="75"/>
        <w:wordWrap w:val="0"/>
        <w:spacing w:line="480" w:lineRule="auto"/>
        <w:rPr>
          <w:rFonts w:ascii="Helvetica" w:hAnsi="Helvetica" w:cs="Helvetica"/>
          <w:sz w:val="21"/>
          <w:szCs w:val="21"/>
        </w:rPr>
      </w:pPr>
      <w:r>
        <w:rPr>
          <w:rFonts w:hint="eastAsia" w:ascii="Helvetica" w:hAnsi="Helvetica" w:cs="Helvetica"/>
          <w:sz w:val="21"/>
          <w:szCs w:val="21"/>
        </w:rPr>
        <w:t xml:space="preserve">                                </w:t>
      </w:r>
      <w:r>
        <w:rPr>
          <w:rFonts w:ascii="Helvetica" w:hAnsi="Helvetica" w:cs="Helvetica"/>
          <w:sz w:val="21"/>
          <w:szCs w:val="21"/>
        </w:rPr>
        <w:t xml:space="preserve">   </w:t>
      </w:r>
      <w:r>
        <w:rPr>
          <w:rFonts w:hint="eastAsia" w:ascii="Helvetica" w:hAnsi="Helvetica" w:cs="Helvetica"/>
          <w:sz w:val="21"/>
          <w:szCs w:val="21"/>
        </w:rPr>
        <w:t>乙方分包:</w:t>
      </w:r>
      <w:r>
        <w:rPr>
          <w:rFonts w:ascii="Helvetica" w:hAnsi="Helvetica" w:cs="Helvetica"/>
          <w:sz w:val="21"/>
          <w:szCs w:val="21"/>
        </w:rPr>
        <w:t xml:space="preserve">  </w:t>
      </w:r>
      <w:r>
        <w:rPr>
          <w:rFonts w:hint="eastAsia" w:ascii="Helvetica" w:hAnsi="Helvetica" w:cs="Helvetica"/>
          <w:sz w:val="21"/>
          <w:szCs w:val="21"/>
          <w:u w:val="single"/>
        </w:rPr>
        <w:t xml:space="preserve"> </w:t>
      </w:r>
      <w:r>
        <w:rPr>
          <w:rFonts w:ascii="Helvetica" w:hAnsi="Helvetica" w:cs="Helvetica"/>
          <w:sz w:val="21"/>
          <w:szCs w:val="21"/>
          <w:u w:val="single"/>
        </w:rPr>
        <w:t xml:space="preserve">          </w:t>
      </w:r>
    </w:p>
    <w:p w14:paraId="6E1A75EA">
      <w:pPr>
        <w:pStyle w:val="75"/>
        <w:wordWrap w:val="0"/>
        <w:spacing w:line="480" w:lineRule="auto"/>
        <w:ind w:firstLine="424" w:firstLineChars="202"/>
        <w:rPr>
          <w:rFonts w:ascii="Helvetica" w:hAnsi="Helvetica" w:cs="Helvetica"/>
          <w:sz w:val="21"/>
          <w:szCs w:val="21"/>
        </w:rPr>
      </w:pPr>
      <w:r>
        <w:rPr>
          <w:rFonts w:ascii="Helvetica" w:hAnsi="Helvetica" w:cs="Helvetica"/>
          <w:sz w:val="21"/>
          <w:szCs w:val="21"/>
        </w:rPr>
        <w:t>联系电话：                                   </w:t>
      </w:r>
      <w:r>
        <w:rPr>
          <w:rFonts w:hint="eastAsia" w:ascii="Helvetica" w:hAnsi="Helvetica" w:cs="Helvetica"/>
          <w:sz w:val="21"/>
          <w:szCs w:val="21"/>
        </w:rPr>
        <w:t xml:space="preserve"> </w:t>
      </w:r>
      <w:r>
        <w:rPr>
          <w:rFonts w:ascii="Helvetica" w:hAnsi="Helvetica" w:cs="Helvetica"/>
          <w:sz w:val="21"/>
          <w:szCs w:val="21"/>
        </w:rPr>
        <w:t xml:space="preserve"> 联系电话：</w:t>
      </w:r>
      <w:r>
        <w:rPr>
          <w:rFonts w:hint="eastAsia" w:ascii="Helvetica" w:hAnsi="Helvetica" w:cs="Helvetica"/>
          <w:sz w:val="21"/>
          <w:szCs w:val="21"/>
        </w:rPr>
        <w:t xml:space="preserve"> </w:t>
      </w:r>
    </w:p>
    <w:p w14:paraId="082A71D8">
      <w:pPr>
        <w:pStyle w:val="75"/>
        <w:wordWrap w:val="0"/>
        <w:spacing w:line="480" w:lineRule="auto"/>
        <w:ind w:firstLine="2730" w:firstLineChars="1300"/>
        <w:rPr>
          <w:rFonts w:ascii="Helvetica" w:hAnsi="Helvetica" w:cs="Helvetica"/>
          <w:sz w:val="21"/>
          <w:szCs w:val="21"/>
        </w:rPr>
      </w:pPr>
      <w:r>
        <w:rPr>
          <w:rFonts w:ascii="Helvetica" w:hAnsi="Helvetica" w:cs="Helvetica"/>
          <w:sz w:val="21"/>
          <w:szCs w:val="21"/>
        </w:rPr>
        <w:t> </w:t>
      </w:r>
    </w:p>
    <w:p w14:paraId="5F5E2B3B">
      <w:pPr>
        <w:pStyle w:val="75"/>
        <w:wordWrap w:val="0"/>
        <w:spacing w:line="480" w:lineRule="auto"/>
        <w:ind w:firstLine="424" w:firstLineChars="202"/>
        <w:rPr>
          <w:rFonts w:ascii="Helvetica" w:hAnsi="Helvetica" w:cs="Helvetica"/>
          <w:sz w:val="21"/>
          <w:szCs w:val="21"/>
        </w:rPr>
      </w:pPr>
      <w:r>
        <w:rPr>
          <w:rFonts w:ascii="Helvetica" w:hAnsi="Helvetica" w:cs="Helvetica"/>
          <w:sz w:val="21"/>
          <w:szCs w:val="21"/>
        </w:rPr>
        <w:t>签订时间：</w:t>
      </w:r>
      <w:r>
        <w:rPr>
          <w:rFonts w:ascii="Helvetica" w:hAnsi="Helvetica" w:cs="Helvetica"/>
          <w:sz w:val="21"/>
          <w:szCs w:val="21"/>
          <w:u w:val="single"/>
        </w:rPr>
        <w:t xml:space="preserve">     </w:t>
      </w:r>
      <w:r>
        <w:rPr>
          <w:rFonts w:ascii="Helvetica" w:hAnsi="Helvetica" w:cs="Helvetica"/>
          <w:sz w:val="21"/>
          <w:szCs w:val="21"/>
        </w:rPr>
        <w:t>年</w:t>
      </w:r>
      <w:r>
        <w:rPr>
          <w:rFonts w:hint="eastAsia" w:ascii="Helvetica" w:hAnsi="Helvetica" w:cs="Helvetica"/>
          <w:sz w:val="21"/>
          <w:szCs w:val="21"/>
          <w:u w:val="single"/>
        </w:rPr>
        <w:t xml:space="preserve"> </w:t>
      </w:r>
      <w:r>
        <w:rPr>
          <w:rFonts w:ascii="Helvetica" w:hAnsi="Helvetica" w:cs="Helvetica"/>
          <w:sz w:val="21"/>
          <w:szCs w:val="21"/>
          <w:u w:val="single"/>
        </w:rPr>
        <w:t xml:space="preserve">   </w:t>
      </w:r>
      <w:r>
        <w:rPr>
          <w:rFonts w:hint="eastAsia" w:ascii="Helvetica" w:hAnsi="Helvetica" w:cs="Helvetica"/>
          <w:sz w:val="21"/>
          <w:szCs w:val="21"/>
          <w:u w:val="single"/>
        </w:rPr>
        <w:t xml:space="preserve"> </w:t>
      </w:r>
      <w:r>
        <w:rPr>
          <w:rFonts w:ascii="Helvetica" w:hAnsi="Helvetica" w:cs="Helvetica"/>
          <w:sz w:val="21"/>
          <w:szCs w:val="21"/>
        </w:rPr>
        <w:t>月</w:t>
      </w:r>
      <w:r>
        <w:rPr>
          <w:rFonts w:hint="eastAsia" w:ascii="Helvetica" w:hAnsi="Helvetica" w:cs="Helvetica"/>
          <w:sz w:val="21"/>
          <w:szCs w:val="21"/>
          <w:u w:val="single"/>
        </w:rPr>
        <w:t xml:space="preserve"> </w:t>
      </w:r>
      <w:r>
        <w:rPr>
          <w:rFonts w:ascii="Helvetica" w:hAnsi="Helvetica" w:cs="Helvetica"/>
          <w:sz w:val="21"/>
          <w:szCs w:val="21"/>
          <w:u w:val="single"/>
        </w:rPr>
        <w:t xml:space="preserve">  </w:t>
      </w:r>
      <w:r>
        <w:rPr>
          <w:rFonts w:hint="eastAsia" w:ascii="Helvetica" w:hAnsi="Helvetica" w:cs="Helvetica"/>
          <w:sz w:val="21"/>
          <w:szCs w:val="21"/>
          <w:u w:val="single"/>
        </w:rPr>
        <w:t xml:space="preserve"> </w:t>
      </w:r>
      <w:r>
        <w:rPr>
          <w:rFonts w:ascii="Helvetica" w:hAnsi="Helvetica" w:cs="Helvetica"/>
          <w:sz w:val="21"/>
          <w:szCs w:val="21"/>
        </w:rPr>
        <w:t>日</w:t>
      </w:r>
    </w:p>
    <w:p w14:paraId="3AAD6661">
      <w:pPr>
        <w:jc w:val="center"/>
        <w:rPr>
          <w:b/>
          <w:sz w:val="44"/>
          <w:szCs w:val="44"/>
        </w:rPr>
      </w:pPr>
    </w:p>
    <w:p w14:paraId="293D58F4">
      <w:pPr>
        <w:jc w:val="center"/>
        <w:rPr>
          <w:b/>
          <w:sz w:val="44"/>
          <w:szCs w:val="44"/>
        </w:rPr>
      </w:pPr>
    </w:p>
    <w:p w14:paraId="318A4795">
      <w:pPr>
        <w:jc w:val="center"/>
        <w:rPr>
          <w:b/>
          <w:sz w:val="44"/>
          <w:szCs w:val="44"/>
        </w:rPr>
      </w:pPr>
    </w:p>
    <w:p w14:paraId="20E8E8C9">
      <w:pPr>
        <w:jc w:val="center"/>
        <w:rPr>
          <w:b/>
          <w:sz w:val="44"/>
          <w:szCs w:val="44"/>
        </w:rPr>
      </w:pPr>
      <w:r>
        <w:rPr>
          <w:b/>
          <w:sz w:val="44"/>
          <w:szCs w:val="44"/>
        </w:rPr>
        <w:br w:type="page"/>
      </w:r>
    </w:p>
    <w:p w14:paraId="22372FB4">
      <w:pPr>
        <w:jc w:val="center"/>
        <w:rPr>
          <w:b/>
          <w:sz w:val="44"/>
          <w:szCs w:val="44"/>
        </w:rPr>
      </w:pPr>
    </w:p>
    <w:p w14:paraId="3A2DC736">
      <w:pPr>
        <w:jc w:val="center"/>
        <w:rPr>
          <w:b/>
          <w:sz w:val="44"/>
          <w:szCs w:val="44"/>
        </w:rPr>
      </w:pPr>
    </w:p>
    <w:p w14:paraId="09402CA6">
      <w:pPr>
        <w:jc w:val="center"/>
        <w:rPr>
          <w:b/>
          <w:sz w:val="44"/>
          <w:szCs w:val="44"/>
        </w:rPr>
      </w:pPr>
    </w:p>
    <w:p w14:paraId="7DFDA176">
      <w:pPr>
        <w:jc w:val="center"/>
        <w:rPr>
          <w:b/>
          <w:sz w:val="44"/>
          <w:szCs w:val="44"/>
        </w:rPr>
      </w:pPr>
      <w:r>
        <w:rPr>
          <w:b/>
          <w:sz w:val="44"/>
          <w:szCs w:val="44"/>
        </w:rPr>
        <w:t>第</w:t>
      </w:r>
      <w:r>
        <w:rPr>
          <w:rFonts w:hint="eastAsia"/>
          <w:b/>
          <w:sz w:val="44"/>
          <w:szCs w:val="44"/>
        </w:rPr>
        <w:t>八节 合同附件</w:t>
      </w:r>
    </w:p>
    <w:bookmarkEnd w:id="2576"/>
    <w:bookmarkEnd w:id="2577"/>
    <w:bookmarkEnd w:id="2578"/>
    <w:bookmarkEnd w:id="2579"/>
    <w:p w14:paraId="1049F161">
      <w:pPr>
        <w:keepNext/>
        <w:keepLines/>
        <w:spacing w:line="400" w:lineRule="exact"/>
        <w:outlineLvl w:val="2"/>
        <w:rPr>
          <w:sz w:val="24"/>
          <w:szCs w:val="20"/>
        </w:rPr>
        <w:sectPr>
          <w:pgSz w:w="11906" w:h="16838"/>
          <w:pgMar w:top="1440" w:right="1797" w:bottom="1440" w:left="1797" w:header="851" w:footer="992" w:gutter="0"/>
          <w:cols w:space="720" w:num="1"/>
          <w:docGrid w:linePitch="312" w:charSpace="0"/>
        </w:sectPr>
      </w:pPr>
    </w:p>
    <w:p w14:paraId="4C32B740">
      <w:pPr>
        <w:keepNext/>
        <w:keepLines/>
        <w:spacing w:line="400" w:lineRule="exact"/>
        <w:outlineLvl w:val="2"/>
        <w:rPr>
          <w:sz w:val="24"/>
          <w:szCs w:val="20"/>
        </w:rPr>
      </w:pPr>
      <w:bookmarkStart w:id="2619" w:name="_Toc342296516"/>
      <w:bookmarkStart w:id="2620" w:name="_Toc241459757"/>
      <w:bookmarkStart w:id="2621" w:name="_Toc132619244"/>
      <w:bookmarkStart w:id="2622" w:name="_Toc111445497"/>
      <w:bookmarkStart w:id="2623" w:name="_Toc142385783"/>
      <w:bookmarkStart w:id="2624" w:name="_Toc129798496"/>
      <w:bookmarkStart w:id="2625" w:name="_Toc109914561"/>
      <w:r>
        <w:rPr>
          <w:rFonts w:hint="eastAsia" w:ascii="宋体" w:hAnsi="宋体" w:cs="宋体"/>
          <w:sz w:val="24"/>
          <w:szCs w:val="20"/>
        </w:rPr>
        <w:t>附件一：</w:t>
      </w:r>
      <w:bookmarkEnd w:id="2619"/>
      <w:bookmarkEnd w:id="2620"/>
      <w:r>
        <w:rPr>
          <w:rFonts w:hint="eastAsia" w:ascii="宋体" w:hAnsi="宋体" w:cs="宋体"/>
          <w:sz w:val="24"/>
          <w:szCs w:val="20"/>
        </w:rPr>
        <w:t>技术标准和要求</w:t>
      </w:r>
      <w:bookmarkEnd w:id="2621"/>
      <w:bookmarkEnd w:id="2622"/>
      <w:bookmarkEnd w:id="2623"/>
      <w:bookmarkEnd w:id="2624"/>
      <w:bookmarkEnd w:id="2625"/>
    </w:p>
    <w:p w14:paraId="50ACFA1A">
      <w:pPr>
        <w:jc w:val="center"/>
        <w:rPr>
          <w:rFonts w:hint="eastAsia" w:ascii="宋体" w:hAnsi="宋体"/>
          <w:b/>
          <w:sz w:val="32"/>
          <w:szCs w:val="32"/>
        </w:rPr>
      </w:pPr>
    </w:p>
    <w:p w14:paraId="170387D9"/>
    <w:p w14:paraId="69AEC564">
      <w:pPr>
        <w:pStyle w:val="417"/>
        <w:spacing w:before="120" w:after="120"/>
        <w:ind w:firstLine="0" w:firstLineChars="0"/>
      </w:pPr>
    </w:p>
    <w:p w14:paraId="077E2458">
      <w:pPr>
        <w:widowControl/>
        <w:jc w:val="left"/>
        <w:rPr>
          <w:rFonts w:hint="eastAsia" w:ascii="宋体" w:hAnsi="宋体"/>
          <w:b/>
          <w:kern w:val="44"/>
          <w:sz w:val="32"/>
          <w:szCs w:val="20"/>
        </w:rPr>
        <w:sectPr>
          <w:pgSz w:w="11906" w:h="16838"/>
          <w:pgMar w:top="1588" w:right="1588" w:bottom="1588" w:left="1588" w:header="851" w:footer="851" w:gutter="0"/>
          <w:cols w:space="720" w:num="1"/>
          <w:docGrid w:linePitch="312" w:charSpace="0"/>
        </w:sectPr>
      </w:pPr>
    </w:p>
    <w:p w14:paraId="3ACE2878">
      <w:pPr>
        <w:pStyle w:val="3"/>
        <w:spacing w:before="100" w:beforeAutospacing="1" w:after="100" w:afterAutospacing="1" w:line="440" w:lineRule="exact"/>
        <w:rPr>
          <w:rFonts w:hint="eastAsia" w:hAnsi="宋体"/>
        </w:rPr>
      </w:pPr>
      <w:bookmarkStart w:id="2626" w:name="_Toc142385784"/>
      <w:r>
        <w:rPr>
          <w:rFonts w:hint="eastAsia" w:hAnsi="宋体"/>
        </w:rPr>
        <w:t>第六章 工程量清单及图纸（另附）</w:t>
      </w:r>
      <w:bookmarkEnd w:id="2626"/>
    </w:p>
    <w:p w14:paraId="410954D9">
      <w:pPr>
        <w:widowControl/>
        <w:jc w:val="left"/>
      </w:pPr>
      <w:r>
        <w:br w:type="page"/>
      </w:r>
    </w:p>
    <w:p w14:paraId="49179F52">
      <w:pPr>
        <w:pStyle w:val="3"/>
        <w:spacing w:before="100" w:beforeAutospacing="1" w:after="100" w:afterAutospacing="1" w:line="440" w:lineRule="exact"/>
        <w:rPr>
          <w:b w:val="0"/>
          <w:szCs w:val="32"/>
        </w:rPr>
        <w:sectPr>
          <w:footerReference r:id="rId19" w:type="first"/>
          <w:pgSz w:w="11906" w:h="16838"/>
          <w:pgMar w:top="1588" w:right="1588" w:bottom="1588" w:left="1588" w:header="851" w:footer="851" w:gutter="0"/>
          <w:cols w:space="720" w:num="1"/>
          <w:vAlign w:val="center"/>
          <w:docGrid w:linePitch="312" w:charSpace="0"/>
        </w:sectPr>
      </w:pPr>
      <w:bookmarkStart w:id="2627" w:name="_Toc490331762"/>
      <w:bookmarkStart w:id="2628" w:name="_Toc486580505"/>
    </w:p>
    <w:p w14:paraId="21903F91">
      <w:pPr>
        <w:pStyle w:val="3"/>
        <w:spacing w:before="100" w:beforeAutospacing="1" w:after="100" w:afterAutospacing="1" w:line="440" w:lineRule="exact"/>
        <w:rPr>
          <w:b w:val="0"/>
          <w:szCs w:val="32"/>
        </w:rPr>
      </w:pPr>
      <w:bookmarkStart w:id="2629" w:name="_Toc142385785"/>
      <w:r>
        <w:rPr>
          <w:rFonts w:hint="eastAsia"/>
          <w:b w:val="0"/>
          <w:szCs w:val="32"/>
        </w:rPr>
        <w:t>工程量清单</w:t>
      </w:r>
      <w:bookmarkEnd w:id="2627"/>
      <w:bookmarkEnd w:id="2628"/>
      <w:bookmarkEnd w:id="2629"/>
    </w:p>
    <w:p w14:paraId="35E36FE0">
      <w:pPr>
        <w:spacing w:line="360" w:lineRule="auto"/>
        <w:jc w:val="center"/>
        <w:rPr>
          <w:rFonts w:hint="eastAsia" w:ascii="黑体" w:hAnsi="黑体" w:eastAsia="黑体"/>
          <w:b/>
          <w:kern w:val="0"/>
          <w:sz w:val="28"/>
          <w:szCs w:val="28"/>
        </w:rPr>
      </w:pPr>
    </w:p>
    <w:p w14:paraId="7147A1D0">
      <w:pPr>
        <w:pStyle w:val="548"/>
        <w:spacing w:before="120" w:after="120"/>
      </w:pPr>
      <w:bookmarkStart w:id="2630" w:name="_Toc497214173"/>
      <w:bookmarkStart w:id="2631" w:name="_Toc138860129"/>
      <w:bookmarkStart w:id="2632" w:name="_Toc490331763"/>
      <w:bookmarkStart w:id="2633" w:name="_Toc489280311"/>
      <w:bookmarkStart w:id="2634" w:name="_Toc109914564"/>
      <w:bookmarkStart w:id="2635" w:name="_Toc137575828"/>
      <w:bookmarkStart w:id="2636" w:name="_Toc486580506"/>
      <w:bookmarkStart w:id="2637" w:name="_Toc142385786"/>
      <w:bookmarkStart w:id="2638" w:name="_Toc132619247"/>
      <w:bookmarkStart w:id="2639" w:name="_Toc129798499"/>
      <w:r>
        <w:t>1.</w:t>
      </w:r>
      <w:r>
        <w:rPr>
          <w:rFonts w:hint="eastAsia"/>
        </w:rPr>
        <w:t>工程量清单说明</w:t>
      </w:r>
      <w:bookmarkEnd w:id="2630"/>
      <w:bookmarkEnd w:id="2631"/>
      <w:bookmarkEnd w:id="2632"/>
      <w:bookmarkEnd w:id="2633"/>
      <w:bookmarkEnd w:id="2634"/>
      <w:bookmarkEnd w:id="2635"/>
      <w:bookmarkEnd w:id="2636"/>
      <w:bookmarkEnd w:id="2637"/>
      <w:bookmarkEnd w:id="2638"/>
      <w:bookmarkEnd w:id="2639"/>
    </w:p>
    <w:p w14:paraId="6417A6AA">
      <w:pPr>
        <w:pStyle w:val="512"/>
        <w:spacing w:before="120" w:after="120"/>
        <w:ind w:firstLine="480"/>
      </w:pPr>
      <w:bookmarkStart w:id="2640" w:name="_Toc109914565"/>
      <w:bookmarkStart w:id="2641" w:name="_Toc142385787"/>
      <w:bookmarkStart w:id="2642" w:name="_Toc132619248"/>
      <w:bookmarkStart w:id="2643" w:name="_Toc486580507"/>
      <w:bookmarkStart w:id="2644" w:name="_Toc138860130"/>
      <w:bookmarkStart w:id="2645" w:name="_Toc489280312"/>
      <w:bookmarkStart w:id="2646" w:name="_Toc129798500"/>
      <w:bookmarkStart w:id="2647" w:name="_Toc137575829"/>
      <w:bookmarkStart w:id="2648" w:name="_Toc497214174"/>
      <w:r>
        <w:t xml:space="preserve">1.1  </w:t>
      </w:r>
      <w:r>
        <w:rPr>
          <w:rFonts w:hint="eastAsia"/>
        </w:rPr>
        <w:t>工程量清单编制依据</w:t>
      </w:r>
      <w:bookmarkEnd w:id="2640"/>
      <w:bookmarkEnd w:id="2641"/>
      <w:bookmarkEnd w:id="2642"/>
      <w:bookmarkEnd w:id="2643"/>
      <w:bookmarkEnd w:id="2644"/>
      <w:bookmarkEnd w:id="2645"/>
      <w:bookmarkEnd w:id="2646"/>
      <w:bookmarkEnd w:id="2647"/>
      <w:bookmarkEnd w:id="2648"/>
    </w:p>
    <w:p w14:paraId="7A61BC91">
      <w:pPr>
        <w:spacing w:line="360" w:lineRule="auto"/>
        <w:ind w:firstLine="630" w:firstLineChars="300"/>
        <w:rPr>
          <w:szCs w:val="21"/>
          <w:u w:val="single"/>
        </w:rPr>
      </w:pPr>
      <w:r>
        <w:rPr>
          <w:rFonts w:ascii="宋体" w:hAnsi="宋体"/>
        </w:rPr>
        <w:t>1.1.1</w:t>
      </w:r>
      <w:r>
        <w:rPr>
          <w:rFonts w:ascii="宋体" w:hAnsi="宋体" w:cs="Arial"/>
          <w:szCs w:val="21"/>
        </w:rPr>
        <w:t xml:space="preserve">  </w:t>
      </w:r>
      <w:r>
        <w:rPr>
          <w:rFonts w:hint="eastAsia" w:ascii="宋体" w:hAnsi="宋体" w:cs="Arial"/>
          <w:szCs w:val="21"/>
        </w:rPr>
        <w:t>本工程量清单依据的计量计价规范：</w:t>
      </w:r>
      <w:r>
        <w:rPr>
          <w:bCs/>
          <w:szCs w:val="21"/>
          <w:u w:val="single"/>
        </w:rPr>
        <w:t xml:space="preserve"> </w:t>
      </w:r>
      <w:r>
        <w:rPr>
          <w:rFonts w:hint="eastAsia"/>
          <w:bCs/>
          <w:szCs w:val="21"/>
          <w:u w:val="single"/>
        </w:rPr>
        <w:t>详见编制说明</w:t>
      </w:r>
      <w:r>
        <w:rPr>
          <w:szCs w:val="21"/>
          <w:u w:val="single"/>
        </w:rPr>
        <w:t xml:space="preserve">  </w:t>
      </w:r>
    </w:p>
    <w:p w14:paraId="128C0DB3">
      <w:pPr>
        <w:spacing w:line="360" w:lineRule="auto"/>
        <w:ind w:firstLine="630" w:firstLineChars="300"/>
        <w:rPr>
          <w:rFonts w:ascii="Arial" w:hAnsi="Arial" w:cs="Arial"/>
          <w:szCs w:val="21"/>
        </w:rPr>
      </w:pPr>
      <w:r>
        <w:rPr>
          <w:rFonts w:ascii="宋体" w:hAnsi="宋体"/>
        </w:rPr>
        <w:t>1.1</w:t>
      </w:r>
      <w:r>
        <w:rPr>
          <w:rFonts w:ascii="宋体"/>
        </w:rPr>
        <w:t>.</w:t>
      </w:r>
      <w:r>
        <w:rPr>
          <w:rFonts w:ascii="宋体" w:hAnsi="宋体"/>
        </w:rPr>
        <w:t>3</w:t>
      </w:r>
      <w:r>
        <w:rPr>
          <w:rFonts w:ascii="宋体" w:hAnsi="宋体" w:cs="Arial"/>
          <w:szCs w:val="21"/>
        </w:rPr>
        <w:t xml:space="preserve">  </w:t>
      </w:r>
      <w:r>
        <w:rPr>
          <w:rFonts w:hint="eastAsia" w:ascii="宋体" w:hAnsi="宋体" w:cs="Arial"/>
          <w:szCs w:val="21"/>
        </w:rPr>
        <w:t>补充子目的子目特征、计量单位、工程量计算规则及工作内容说明：</w:t>
      </w:r>
      <w:r>
        <w:rPr>
          <w:bCs/>
          <w:szCs w:val="21"/>
          <w:u w:val="single"/>
        </w:rPr>
        <w:t xml:space="preserve">  </w:t>
      </w:r>
      <w:r>
        <w:rPr>
          <w:rFonts w:hint="eastAsia" w:ascii="宋体" w:hAnsi="宋体"/>
          <w:szCs w:val="21"/>
          <w:u w:val="single"/>
        </w:rPr>
        <w:t>无</w:t>
      </w:r>
      <w:r>
        <w:rPr>
          <w:szCs w:val="21"/>
          <w:u w:val="single"/>
        </w:rPr>
        <w:t xml:space="preserve">  </w:t>
      </w:r>
    </w:p>
    <w:p w14:paraId="21F64BCB">
      <w:pPr>
        <w:pStyle w:val="548"/>
        <w:spacing w:before="120" w:after="120"/>
      </w:pPr>
      <w:bookmarkStart w:id="2649" w:name="_Toc497214175"/>
      <w:bookmarkStart w:id="2650" w:name="_Toc129798501"/>
      <w:bookmarkStart w:id="2651" w:name="_Toc138860131"/>
      <w:bookmarkStart w:id="2652" w:name="_Toc486580508"/>
      <w:bookmarkStart w:id="2653" w:name="_Toc489280313"/>
      <w:bookmarkStart w:id="2654" w:name="_Toc137575830"/>
      <w:bookmarkStart w:id="2655" w:name="_Toc142385788"/>
      <w:bookmarkStart w:id="2656" w:name="_Toc132619249"/>
      <w:bookmarkStart w:id="2657" w:name="_Toc490331764"/>
      <w:bookmarkStart w:id="2658" w:name="_Toc109914566"/>
      <w:r>
        <w:t>2.</w:t>
      </w:r>
      <w:r>
        <w:rPr>
          <w:rFonts w:hint="eastAsia"/>
        </w:rPr>
        <w:t>投标报价说明</w:t>
      </w:r>
      <w:bookmarkEnd w:id="2649"/>
      <w:bookmarkEnd w:id="2650"/>
      <w:bookmarkEnd w:id="2651"/>
      <w:bookmarkEnd w:id="2652"/>
      <w:bookmarkEnd w:id="2653"/>
      <w:bookmarkEnd w:id="2654"/>
      <w:bookmarkEnd w:id="2655"/>
      <w:bookmarkEnd w:id="2656"/>
      <w:bookmarkEnd w:id="2657"/>
      <w:bookmarkEnd w:id="2658"/>
    </w:p>
    <w:p w14:paraId="00C67454">
      <w:pPr>
        <w:pStyle w:val="512"/>
        <w:spacing w:before="120" w:after="120"/>
        <w:ind w:firstLine="480"/>
      </w:pPr>
      <w:bookmarkStart w:id="2659" w:name="_Toc137575831"/>
      <w:bookmarkStart w:id="2660" w:name="_Toc109914567"/>
      <w:bookmarkStart w:id="2661" w:name="_Toc138860132"/>
      <w:bookmarkStart w:id="2662" w:name="_Toc132619250"/>
      <w:bookmarkStart w:id="2663" w:name="_Toc486580509"/>
      <w:bookmarkStart w:id="2664" w:name="_Toc142385789"/>
      <w:bookmarkStart w:id="2665" w:name="_Toc489280314"/>
      <w:bookmarkStart w:id="2666" w:name="_Toc497214176"/>
      <w:bookmarkStart w:id="2667" w:name="_Toc129798502"/>
      <w:r>
        <w:t xml:space="preserve">2.1  </w:t>
      </w:r>
      <w:r>
        <w:rPr>
          <w:rFonts w:hint="eastAsia"/>
        </w:rPr>
        <w:t>投标报价的依据</w:t>
      </w:r>
      <w:bookmarkEnd w:id="2659"/>
      <w:bookmarkEnd w:id="2660"/>
      <w:bookmarkEnd w:id="2661"/>
      <w:bookmarkEnd w:id="2662"/>
      <w:bookmarkEnd w:id="2663"/>
      <w:bookmarkEnd w:id="2664"/>
      <w:bookmarkEnd w:id="2665"/>
      <w:bookmarkEnd w:id="2666"/>
      <w:bookmarkEnd w:id="2667"/>
      <w:r>
        <w:t xml:space="preserve">  </w:t>
      </w:r>
    </w:p>
    <w:p w14:paraId="58697C3A">
      <w:pPr>
        <w:spacing w:line="360" w:lineRule="auto"/>
        <w:ind w:firstLine="630" w:firstLineChars="300"/>
        <w:rPr>
          <w:rFonts w:ascii="宋体"/>
          <w:szCs w:val="22"/>
        </w:rPr>
      </w:pPr>
      <w:r>
        <w:rPr>
          <w:rFonts w:hint="eastAsia" w:ascii="宋体" w:hAnsi="宋体"/>
          <w:szCs w:val="22"/>
        </w:rPr>
        <w:t>投标报价应当根据合同约定的有关计价要求，并按照下列依据自主报价：</w:t>
      </w:r>
    </w:p>
    <w:p w14:paraId="61CFA25F">
      <w:pPr>
        <w:spacing w:line="360" w:lineRule="auto"/>
        <w:ind w:firstLine="707" w:firstLineChars="337"/>
        <w:rPr>
          <w:rFonts w:hint="eastAsia" w:ascii="宋体" w:hAnsi="宋体"/>
          <w:sz w:val="24"/>
          <w:u w:val="single"/>
        </w:rPr>
      </w:pPr>
      <w:r>
        <w:rPr>
          <w:rFonts w:hint="eastAsia" w:ascii="宋体" w:hAnsi="宋体"/>
          <w:szCs w:val="21"/>
        </w:rPr>
        <w:t>（</w:t>
      </w:r>
      <w:r>
        <w:rPr>
          <w:rFonts w:ascii="宋体" w:hAnsi="宋体"/>
          <w:szCs w:val="21"/>
        </w:rPr>
        <w:t>9</w:t>
      </w:r>
      <w:r>
        <w:rPr>
          <w:rFonts w:hint="eastAsia" w:ascii="宋体" w:hAnsi="宋体"/>
          <w:szCs w:val="21"/>
        </w:rPr>
        <w:t>）其他相关资料</w:t>
      </w:r>
      <w:r>
        <w:rPr>
          <w:rFonts w:hint="eastAsia" w:ascii="宋体" w:hAnsi="宋体"/>
          <w:sz w:val="24"/>
        </w:rPr>
        <w:t>：</w:t>
      </w:r>
      <w:r>
        <w:rPr>
          <w:rFonts w:ascii="宋体" w:hAnsi="宋体"/>
          <w:sz w:val="24"/>
          <w:u w:val="single"/>
        </w:rPr>
        <w:t xml:space="preserve">                                               </w:t>
      </w:r>
    </w:p>
    <w:p w14:paraId="759511FE">
      <w:pPr>
        <w:spacing w:line="360" w:lineRule="auto"/>
        <w:rPr>
          <w:rFonts w:ascii="宋体"/>
          <w:sz w:val="24"/>
          <w:u w:val="single"/>
        </w:rPr>
      </w:pPr>
      <w:r>
        <w:rPr>
          <w:rFonts w:ascii="宋体" w:hAnsi="宋体"/>
          <w:sz w:val="24"/>
          <w:u w:val="single"/>
        </w:rPr>
        <w:t xml:space="preserve">                                                                     </w:t>
      </w:r>
    </w:p>
    <w:p w14:paraId="72E0244C">
      <w:pPr>
        <w:pStyle w:val="512"/>
        <w:spacing w:before="120" w:after="120"/>
        <w:ind w:firstLine="480"/>
      </w:pPr>
      <w:bookmarkStart w:id="2668" w:name="_Toc489280315"/>
      <w:bookmarkStart w:id="2669" w:name="_Toc486580510"/>
      <w:bookmarkStart w:id="2670" w:name="_Toc497214177"/>
      <w:bookmarkStart w:id="2671" w:name="_Toc132619251"/>
      <w:bookmarkStart w:id="2672" w:name="_Toc129798503"/>
      <w:bookmarkStart w:id="2673" w:name="_Toc142385790"/>
      <w:bookmarkStart w:id="2674" w:name="_Toc137575832"/>
      <w:bookmarkStart w:id="2675" w:name="_Toc109914568"/>
      <w:bookmarkStart w:id="2676" w:name="_Toc138860133"/>
      <w:r>
        <w:t xml:space="preserve">2.5  </w:t>
      </w:r>
      <w:r>
        <w:rPr>
          <w:rFonts w:hint="eastAsia"/>
        </w:rPr>
        <w:t>其他项目清单报价</w:t>
      </w:r>
      <w:bookmarkEnd w:id="2668"/>
      <w:bookmarkEnd w:id="2669"/>
      <w:bookmarkEnd w:id="2670"/>
      <w:bookmarkEnd w:id="2671"/>
      <w:bookmarkEnd w:id="2672"/>
      <w:bookmarkEnd w:id="2673"/>
      <w:bookmarkEnd w:id="2674"/>
      <w:bookmarkEnd w:id="2675"/>
      <w:bookmarkEnd w:id="2676"/>
    </w:p>
    <w:p w14:paraId="1BDD6E86">
      <w:pPr>
        <w:spacing w:line="360" w:lineRule="auto"/>
        <w:ind w:firstLine="630" w:firstLineChars="300"/>
        <w:rPr>
          <w:rFonts w:ascii="宋体"/>
          <w:sz w:val="24"/>
          <w:u w:val="single"/>
        </w:rPr>
      </w:pPr>
      <w:r>
        <w:rPr>
          <w:rFonts w:ascii="宋体" w:hAnsi="宋体"/>
          <w:szCs w:val="21"/>
        </w:rPr>
        <w:t xml:space="preserve">2.5.4  </w:t>
      </w:r>
      <w:r>
        <w:rPr>
          <w:rFonts w:hint="eastAsia" w:ascii="宋体" w:hAnsi="宋体"/>
          <w:szCs w:val="21"/>
        </w:rPr>
        <w:t>在合同履行过程中，总承包服务费的调整方法：</w:t>
      </w:r>
      <w:r>
        <w:rPr>
          <w:rFonts w:ascii="宋体" w:hAnsi="宋体"/>
          <w:sz w:val="24"/>
          <w:u w:val="single"/>
        </w:rPr>
        <w:t xml:space="preserve">                     </w:t>
      </w:r>
    </w:p>
    <w:p w14:paraId="18E5C859">
      <w:pPr>
        <w:spacing w:line="360" w:lineRule="auto"/>
        <w:rPr>
          <w:rFonts w:ascii="宋体"/>
          <w:sz w:val="24"/>
          <w:u w:val="single"/>
        </w:rPr>
      </w:pPr>
      <w:r>
        <w:rPr>
          <w:rFonts w:ascii="宋体" w:hAnsi="宋体"/>
          <w:sz w:val="24"/>
          <w:u w:val="single"/>
        </w:rPr>
        <w:t xml:space="preserve">                                                                     </w:t>
      </w:r>
    </w:p>
    <w:p w14:paraId="4243C49D">
      <w:pPr>
        <w:pStyle w:val="512"/>
        <w:spacing w:before="120" w:after="120"/>
        <w:ind w:firstLine="480"/>
      </w:pPr>
      <w:bookmarkStart w:id="2677" w:name="_Toc132619252"/>
      <w:bookmarkStart w:id="2678" w:name="_Toc137575833"/>
      <w:bookmarkStart w:id="2679" w:name="_Toc497214178"/>
      <w:bookmarkStart w:id="2680" w:name="_Toc129798504"/>
      <w:bookmarkStart w:id="2681" w:name="_Toc109914569"/>
      <w:bookmarkStart w:id="2682" w:name="_Toc142385791"/>
      <w:bookmarkStart w:id="2683" w:name="_Toc486580511"/>
      <w:bookmarkStart w:id="2684" w:name="_Toc489280316"/>
      <w:bookmarkStart w:id="2685" w:name="_Toc138860134"/>
      <w:r>
        <w:t xml:space="preserve">2.7  </w:t>
      </w:r>
      <w:r>
        <w:rPr>
          <w:rFonts w:hint="eastAsia"/>
        </w:rPr>
        <w:t>投标报价需要说明的问题</w:t>
      </w:r>
      <w:bookmarkEnd w:id="2677"/>
      <w:bookmarkEnd w:id="2678"/>
      <w:bookmarkEnd w:id="2679"/>
      <w:bookmarkEnd w:id="2680"/>
      <w:bookmarkEnd w:id="2681"/>
      <w:bookmarkEnd w:id="2682"/>
      <w:bookmarkEnd w:id="2683"/>
      <w:bookmarkEnd w:id="2684"/>
      <w:bookmarkEnd w:id="2685"/>
    </w:p>
    <w:p w14:paraId="3CDAA369">
      <w:pPr>
        <w:spacing w:line="360" w:lineRule="auto"/>
        <w:ind w:firstLine="630" w:firstLineChars="300"/>
        <w:rPr>
          <w:rFonts w:ascii="宋体" w:cs="Arial"/>
          <w:szCs w:val="21"/>
        </w:rPr>
      </w:pPr>
      <w:r>
        <w:rPr>
          <w:rFonts w:ascii="宋体" w:hAnsi="宋体" w:cs="Arial"/>
          <w:szCs w:val="21"/>
        </w:rPr>
        <w:t xml:space="preserve">2.7.7  </w:t>
      </w:r>
      <w:r>
        <w:rPr>
          <w:rFonts w:hint="eastAsia" w:ascii="宋体" w:hAnsi="宋体" w:cs="Arial"/>
          <w:szCs w:val="21"/>
        </w:rPr>
        <w:t>有关投标报价的其他说明：</w:t>
      </w:r>
      <w:r>
        <w:rPr>
          <w:rFonts w:ascii="宋体" w:hAnsi="宋体" w:cs="Arial"/>
          <w:szCs w:val="21"/>
          <w:u w:val="single"/>
        </w:rPr>
        <w:t xml:space="preserve">                                          </w:t>
      </w:r>
    </w:p>
    <w:p w14:paraId="2ABBCDF6">
      <w:pPr>
        <w:spacing w:line="360" w:lineRule="auto"/>
        <w:rPr>
          <w:rFonts w:ascii="宋体" w:cs="Arial"/>
          <w:szCs w:val="21"/>
        </w:rPr>
      </w:pPr>
      <w:r>
        <w:rPr>
          <w:rFonts w:ascii="宋体" w:hAnsi="宋体" w:cs="Arial"/>
          <w:szCs w:val="21"/>
          <w:u w:val="single"/>
        </w:rPr>
        <w:t xml:space="preserve">                                                                               </w:t>
      </w:r>
    </w:p>
    <w:p w14:paraId="01D90F8B">
      <w:pPr>
        <w:pStyle w:val="548"/>
        <w:spacing w:before="120" w:after="120"/>
      </w:pPr>
      <w:bookmarkStart w:id="2686" w:name="_Toc497214179"/>
      <w:bookmarkStart w:id="2687" w:name="_Toc109914570"/>
      <w:bookmarkStart w:id="2688" w:name="_Toc489280317"/>
      <w:bookmarkStart w:id="2689" w:name="_Toc490331765"/>
      <w:bookmarkStart w:id="2690" w:name="_Toc132619253"/>
      <w:bookmarkStart w:id="2691" w:name="_Toc129798505"/>
      <w:bookmarkStart w:id="2692" w:name="_Toc486580512"/>
      <w:bookmarkStart w:id="2693" w:name="_Toc137575834"/>
      <w:bookmarkStart w:id="2694" w:name="_Toc138860135"/>
      <w:bookmarkStart w:id="2695" w:name="_Toc142385792"/>
      <w:r>
        <w:t>3.</w:t>
      </w:r>
      <w:r>
        <w:rPr>
          <w:rFonts w:hint="eastAsia"/>
        </w:rPr>
        <w:t>其他说明</w:t>
      </w:r>
      <w:bookmarkEnd w:id="2686"/>
      <w:bookmarkEnd w:id="2687"/>
      <w:bookmarkEnd w:id="2688"/>
      <w:bookmarkEnd w:id="2689"/>
      <w:bookmarkEnd w:id="2690"/>
      <w:bookmarkEnd w:id="2691"/>
      <w:bookmarkEnd w:id="2692"/>
      <w:bookmarkEnd w:id="2693"/>
      <w:bookmarkEnd w:id="2694"/>
      <w:bookmarkEnd w:id="2695"/>
    </w:p>
    <w:p w14:paraId="7F35EB4F">
      <w:pPr>
        <w:pStyle w:val="512"/>
        <w:spacing w:before="120" w:after="120"/>
        <w:ind w:firstLine="480"/>
      </w:pPr>
      <w:bookmarkStart w:id="2696" w:name="_Toc486580513"/>
      <w:bookmarkStart w:id="2697" w:name="_Toc129798506"/>
      <w:bookmarkStart w:id="2698" w:name="_Toc109914571"/>
      <w:bookmarkStart w:id="2699" w:name="_Toc497214180"/>
      <w:bookmarkStart w:id="2700" w:name="_Toc132619254"/>
      <w:bookmarkStart w:id="2701" w:name="_Toc489280318"/>
      <w:bookmarkStart w:id="2702" w:name="_Toc142385793"/>
      <w:bookmarkStart w:id="2703" w:name="_Toc138860136"/>
      <w:bookmarkStart w:id="2704" w:name="_Toc137575835"/>
      <w:r>
        <w:t xml:space="preserve">3.3  </w:t>
      </w:r>
      <w:r>
        <w:rPr>
          <w:rFonts w:hint="eastAsia"/>
        </w:rPr>
        <w:t>需要补充的其他说明：</w:t>
      </w:r>
      <w:bookmarkEnd w:id="2696"/>
      <w:bookmarkEnd w:id="2697"/>
      <w:bookmarkEnd w:id="2698"/>
      <w:bookmarkEnd w:id="2699"/>
      <w:bookmarkEnd w:id="2700"/>
      <w:bookmarkEnd w:id="2701"/>
      <w:bookmarkEnd w:id="2702"/>
      <w:bookmarkEnd w:id="2703"/>
      <w:bookmarkEnd w:id="2704"/>
    </w:p>
    <w:p w14:paraId="52912F29">
      <w:pPr>
        <w:spacing w:line="360" w:lineRule="auto"/>
        <w:rPr>
          <w:rFonts w:ascii="宋体" w:cs="Arial"/>
          <w:szCs w:val="21"/>
        </w:rPr>
      </w:pPr>
      <w:r>
        <w:rPr>
          <w:rFonts w:ascii="宋体" w:hAnsi="宋体" w:cs="Arial"/>
          <w:szCs w:val="21"/>
          <w:u w:val="single"/>
        </w:rPr>
        <w:t xml:space="preserve">                                                            </w:t>
      </w:r>
      <w:r>
        <w:rPr>
          <w:rFonts w:hint="eastAsia" w:ascii="宋体" w:hAnsi="宋体" w:cs="Arial"/>
          <w:szCs w:val="21"/>
          <w:u w:val="single"/>
        </w:rPr>
        <w:t xml:space="preserve">   </w:t>
      </w:r>
      <w:r>
        <w:rPr>
          <w:rFonts w:ascii="宋体" w:hAnsi="宋体" w:cs="Arial"/>
          <w:szCs w:val="21"/>
          <w:u w:val="single"/>
        </w:rPr>
        <w:t xml:space="preserve">               </w:t>
      </w:r>
    </w:p>
    <w:p w14:paraId="3597C986">
      <w:pPr>
        <w:pStyle w:val="548"/>
        <w:spacing w:before="120" w:after="120"/>
        <w:sectPr>
          <w:pgSz w:w="11906" w:h="16838"/>
          <w:pgMar w:top="1588" w:right="1588" w:bottom="1588" w:left="1588" w:header="851" w:footer="851" w:gutter="0"/>
          <w:cols w:space="720" w:num="1"/>
          <w:docGrid w:linePitch="312" w:charSpace="0"/>
        </w:sectPr>
      </w:pPr>
      <w:bookmarkStart w:id="2705" w:name="_Toc142385794"/>
      <w:bookmarkStart w:id="2706" w:name="_Toc138860137"/>
      <w:bookmarkStart w:id="2707" w:name="_Toc490331766"/>
      <w:bookmarkStart w:id="2708" w:name="_Toc489280319"/>
      <w:bookmarkStart w:id="2709" w:name="_Toc497214181"/>
      <w:bookmarkStart w:id="2710" w:name="_Toc486580514"/>
      <w:bookmarkStart w:id="2711" w:name="_Toc137575836"/>
      <w:bookmarkStart w:id="2712" w:name="_Toc129798507"/>
      <w:bookmarkStart w:id="2713" w:name="_Toc109914572"/>
      <w:bookmarkStart w:id="2714" w:name="_Toc132619255"/>
      <w:r>
        <w:rPr>
          <w:rFonts w:hint="eastAsia"/>
        </w:rPr>
        <w:t>4</w:t>
      </w:r>
      <w:r>
        <w:t>.</w:t>
      </w:r>
      <w:r>
        <w:rPr>
          <w:rFonts w:hint="eastAsia"/>
        </w:rPr>
        <w:t>工程量清单与计价表</w:t>
      </w:r>
      <w:bookmarkEnd w:id="2705"/>
      <w:bookmarkEnd w:id="2706"/>
      <w:bookmarkEnd w:id="2707"/>
      <w:bookmarkEnd w:id="2708"/>
      <w:bookmarkEnd w:id="2709"/>
      <w:bookmarkEnd w:id="2710"/>
      <w:bookmarkEnd w:id="2711"/>
      <w:bookmarkEnd w:id="2712"/>
      <w:bookmarkEnd w:id="2713"/>
      <w:bookmarkEnd w:id="2714"/>
    </w:p>
    <w:p w14:paraId="02ED6F17">
      <w:pPr>
        <w:spacing w:line="360" w:lineRule="auto"/>
        <w:jc w:val="center"/>
        <w:rPr>
          <w:b/>
          <w:sz w:val="32"/>
          <w:szCs w:val="32"/>
        </w:rPr>
      </w:pPr>
      <w:r>
        <w:rPr>
          <w:rFonts w:hint="eastAsia"/>
          <w:b/>
          <w:sz w:val="32"/>
          <w:szCs w:val="32"/>
        </w:rPr>
        <w:t>编 制 范 围 及 说 明</w:t>
      </w:r>
    </w:p>
    <w:p w14:paraId="69CB777B">
      <w:pPr>
        <w:spacing w:line="360" w:lineRule="auto"/>
        <w:jc w:val="center"/>
        <w:rPr>
          <w:b/>
          <w:sz w:val="44"/>
          <w:szCs w:val="44"/>
        </w:rPr>
      </w:pPr>
    </w:p>
    <w:p w14:paraId="3DB39762">
      <w:pPr>
        <w:numPr>
          <w:ilvl w:val="0"/>
          <w:numId w:val="9"/>
        </w:numPr>
        <w:spacing w:line="360" w:lineRule="auto"/>
        <w:ind w:left="12"/>
        <w:jc w:val="left"/>
        <w:rPr>
          <w:b/>
          <w:sz w:val="24"/>
        </w:rPr>
      </w:pPr>
      <w:r>
        <w:rPr>
          <w:rFonts w:hint="eastAsia"/>
          <w:b/>
          <w:sz w:val="24"/>
        </w:rPr>
        <w:t>工程概况</w:t>
      </w:r>
    </w:p>
    <w:p w14:paraId="2DC35216">
      <w:pPr>
        <w:spacing w:line="360" w:lineRule="auto"/>
        <w:ind w:left="420" w:firstLine="480" w:firstLineChars="200"/>
        <w:jc w:val="left"/>
        <w:rPr>
          <w:sz w:val="24"/>
        </w:rPr>
      </w:pPr>
      <w:r>
        <w:rPr>
          <w:rFonts w:hint="eastAsia"/>
          <w:sz w:val="24"/>
        </w:rPr>
        <w:t>本工程为久凌大厦南楼五层改造工程，项目地点：位于北京市海淀区西三环北路21号。本项目现状为高层办公楼,地下为二层,地上为十八层。地下二层层高为5.4m，地下一层层高为3.3m，地上一二层层高为4.8m，三-十八层层高为3.6m。总高度69.4m.结构形式为框架剪力墙形式。结构设计抗震设防烈度为8度。</w:t>
      </w:r>
    </w:p>
    <w:p w14:paraId="3930D468">
      <w:pPr>
        <w:pStyle w:val="75"/>
        <w:widowControl/>
        <w:numPr>
          <w:ilvl w:val="0"/>
          <w:numId w:val="9"/>
        </w:numPr>
        <w:spacing w:line="360" w:lineRule="auto"/>
        <w:ind w:left="12"/>
        <w:jc w:val="left"/>
        <w:rPr>
          <w:b/>
        </w:rPr>
      </w:pPr>
      <w:r>
        <w:rPr>
          <w:rFonts w:hint="eastAsia"/>
          <w:b/>
        </w:rPr>
        <w:t>编制依据</w:t>
      </w:r>
    </w:p>
    <w:p w14:paraId="03E19525">
      <w:pPr>
        <w:spacing w:line="360" w:lineRule="auto"/>
        <w:ind w:left="420" w:firstLine="480" w:firstLineChars="200"/>
        <w:jc w:val="left"/>
        <w:rPr>
          <w:sz w:val="24"/>
        </w:rPr>
      </w:pPr>
      <w:r>
        <w:rPr>
          <w:rFonts w:hint="eastAsia"/>
          <w:sz w:val="24"/>
        </w:rPr>
        <w:t>1.《工程量清单项目计量规范》（2013-北京）；</w:t>
      </w:r>
    </w:p>
    <w:p w14:paraId="00235415">
      <w:pPr>
        <w:spacing w:line="360" w:lineRule="auto"/>
        <w:ind w:left="420" w:firstLine="480" w:firstLineChars="200"/>
        <w:jc w:val="left"/>
        <w:rPr>
          <w:sz w:val="24"/>
        </w:rPr>
      </w:pPr>
      <w:r>
        <w:rPr>
          <w:rFonts w:hint="eastAsia"/>
          <w:sz w:val="24"/>
        </w:rPr>
        <w:t>2.北京菲尼有限公司设计的施工图纸（2024年7月）；</w:t>
      </w:r>
    </w:p>
    <w:p w14:paraId="665D6079">
      <w:pPr>
        <w:spacing w:line="360" w:lineRule="auto"/>
        <w:ind w:left="420" w:firstLine="480" w:firstLineChars="200"/>
        <w:jc w:val="left"/>
        <w:rPr>
          <w:sz w:val="24"/>
        </w:rPr>
      </w:pPr>
      <w:r>
        <w:rPr>
          <w:rFonts w:hint="eastAsia"/>
          <w:sz w:val="24"/>
        </w:rPr>
        <w:t>3.现行的建设工程相关规范、标准图集；</w:t>
      </w:r>
    </w:p>
    <w:p w14:paraId="21517F63">
      <w:pPr>
        <w:spacing w:line="360" w:lineRule="auto"/>
        <w:ind w:left="420" w:firstLine="480" w:firstLineChars="200"/>
        <w:jc w:val="left"/>
        <w:rPr>
          <w:sz w:val="24"/>
        </w:rPr>
      </w:pPr>
      <w:r>
        <w:rPr>
          <w:rFonts w:hint="eastAsia"/>
          <w:sz w:val="24"/>
        </w:rPr>
        <w:t>4.建设单位提供的其他工程资料和相关的技术文件。</w:t>
      </w:r>
    </w:p>
    <w:p w14:paraId="19A27FD0">
      <w:pPr>
        <w:spacing w:line="360" w:lineRule="auto"/>
        <w:jc w:val="left"/>
        <w:rPr>
          <w:b/>
          <w:sz w:val="24"/>
        </w:rPr>
      </w:pPr>
      <w:r>
        <w:rPr>
          <w:rFonts w:hint="eastAsia"/>
          <w:b/>
          <w:sz w:val="24"/>
        </w:rPr>
        <w:t>三、编制说明</w:t>
      </w:r>
    </w:p>
    <w:p w14:paraId="4EDEF11F">
      <w:pPr>
        <w:spacing w:line="360" w:lineRule="auto"/>
        <w:ind w:left="840"/>
        <w:jc w:val="left"/>
        <w:rPr>
          <w:sz w:val="24"/>
        </w:rPr>
      </w:pPr>
      <w:r>
        <w:rPr>
          <w:rFonts w:hint="eastAsia"/>
          <w:sz w:val="24"/>
        </w:rPr>
        <w:t>1.拆除工程中，电气灯具拆除含在吊顶拆除内，原电气管线插座等拆除按项计量，投标人综合考虑报价；</w:t>
      </w:r>
    </w:p>
    <w:p w14:paraId="59D5091A">
      <w:pPr>
        <w:spacing w:line="360" w:lineRule="auto"/>
        <w:ind w:left="840"/>
        <w:jc w:val="left"/>
        <w:rPr>
          <w:sz w:val="24"/>
        </w:rPr>
      </w:pPr>
      <w:r>
        <w:rPr>
          <w:rFonts w:hint="eastAsia"/>
          <w:sz w:val="24"/>
        </w:rPr>
        <w:t>2.新增男卫生间上下水管线及阀门等清单按项计量，投标人综合考虑报价；</w:t>
      </w:r>
    </w:p>
    <w:p w14:paraId="5CCB184A">
      <w:pPr>
        <w:spacing w:line="360" w:lineRule="auto"/>
        <w:ind w:left="840"/>
        <w:jc w:val="left"/>
        <w:rPr>
          <w:sz w:val="24"/>
        </w:rPr>
      </w:pPr>
      <w:r>
        <w:rPr>
          <w:rFonts w:hint="eastAsia"/>
          <w:sz w:val="24"/>
        </w:rPr>
        <w:t>3.建筑工程清单项为轻质隔墙高度综合考虑为3.38米；</w:t>
      </w:r>
    </w:p>
    <w:p w14:paraId="766FB3A9">
      <w:pPr>
        <w:spacing w:line="360" w:lineRule="auto"/>
        <w:ind w:left="840"/>
        <w:jc w:val="left"/>
        <w:rPr>
          <w:sz w:val="24"/>
        </w:rPr>
      </w:pPr>
      <w:r>
        <w:rPr>
          <w:rFonts w:hint="eastAsia"/>
          <w:sz w:val="24"/>
        </w:rPr>
        <w:t>4.按项计取的措施项目费，整个项目综合考虑报价，结算不予调整；</w:t>
      </w:r>
    </w:p>
    <w:p w14:paraId="001291AF">
      <w:pPr>
        <w:spacing w:line="360" w:lineRule="auto"/>
        <w:ind w:left="840"/>
        <w:jc w:val="left"/>
        <w:rPr>
          <w:sz w:val="24"/>
        </w:rPr>
      </w:pPr>
      <w:r>
        <w:rPr>
          <w:rFonts w:hint="eastAsia"/>
          <w:sz w:val="24"/>
        </w:rPr>
        <w:t>5.清单项目特征未描述的，请投标人参照图纸及工程现场情况报价。</w:t>
      </w:r>
    </w:p>
    <w:p w14:paraId="49DA418B">
      <w:pPr>
        <w:widowControl/>
        <w:jc w:val="left"/>
        <w:rPr>
          <w:sz w:val="24"/>
        </w:rPr>
      </w:pPr>
      <w:r>
        <w:rPr>
          <w:sz w:val="24"/>
        </w:rPr>
        <w:br w:type="page"/>
      </w:r>
    </w:p>
    <w:p w14:paraId="4CF382A7">
      <w:pPr>
        <w:spacing w:line="360" w:lineRule="auto"/>
        <w:jc w:val="center"/>
        <w:rPr>
          <w:sz w:val="24"/>
        </w:rPr>
      </w:pPr>
      <w:r>
        <w:rPr>
          <w:rFonts w:hint="eastAsia"/>
        </w:rPr>
        <mc:AlternateContent>
          <mc:Choice Requires="wpc">
            <w:drawing>
              <wp:anchor distT="0" distB="0" distL="114300" distR="114300" simplePos="0" relativeHeight="251660288" behindDoc="0" locked="0" layoutInCell="1" allowOverlap="1">
                <wp:simplePos x="0" y="0"/>
                <wp:positionH relativeFrom="column">
                  <wp:posOffset>-998220</wp:posOffset>
                </wp:positionH>
                <wp:positionV relativeFrom="paragraph">
                  <wp:posOffset>-996315</wp:posOffset>
                </wp:positionV>
                <wp:extent cx="6430010" cy="7444740"/>
                <wp:effectExtent l="0" t="0" r="0" b="4445"/>
                <wp:wrapNone/>
                <wp:docPr id="1921197447"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01049786" name="Rectangle 8"/>
                        <wps:cNvSpPr>
                          <a:spLocks noChangeArrowheads="1"/>
                        </wps:cNvSpPr>
                        <wps:spPr bwMode="auto">
                          <a:xfrm>
                            <a:off x="45838" y="0"/>
                            <a:ext cx="5543550" cy="7397115"/>
                          </a:xfrm>
                          <a:prstGeom prst="rect">
                            <a:avLst/>
                          </a:prstGeom>
                          <a:solidFill>
                            <a:srgbClr val="FFFFFF"/>
                          </a:solidFill>
                          <a:ln>
                            <a:noFill/>
                          </a:ln>
                        </wps:spPr>
                        <wps:bodyPr rot="0" vert="horz" wrap="square" lIns="91440" tIns="45720" rIns="91440" bIns="45720" anchor="t" anchorCtr="0" upright="1">
                          <a:noAutofit/>
                        </wps:bodyPr>
                      </wps:wsp>
                      <wps:wsp>
                        <wps:cNvPr id="1412648451" name="Rectangle 9"/>
                        <wps:cNvSpPr>
                          <a:spLocks noChangeArrowheads="1"/>
                        </wps:cNvSpPr>
                        <wps:spPr bwMode="auto">
                          <a:xfrm>
                            <a:off x="11548" y="2616200"/>
                            <a:ext cx="762635" cy="164465"/>
                          </a:xfrm>
                          <a:prstGeom prst="rect">
                            <a:avLst/>
                          </a:prstGeom>
                          <a:noFill/>
                          <a:ln>
                            <a:noFill/>
                          </a:ln>
                        </wps:spPr>
                        <wps:txbx>
                          <w:txbxContent>
                            <w:p w14:paraId="71891C05">
                              <w:r>
                                <w:rPr>
                                  <w:rFonts w:hint="eastAsia" w:ascii="宋体" w:cs="宋体"/>
                                  <w:color w:val="000000"/>
                                  <w:kern w:val="0"/>
                                  <w:sz w:val="20"/>
                                  <w:szCs w:val="20"/>
                                </w:rPr>
                                <w:t>招  标  人：</w:t>
                              </w:r>
                            </w:p>
                          </w:txbxContent>
                        </wps:txbx>
                        <wps:bodyPr rot="0" vert="horz" wrap="none" lIns="0" tIns="0" rIns="0" bIns="0" anchor="t" anchorCtr="0">
                          <a:spAutoFit/>
                        </wps:bodyPr>
                      </wps:wsp>
                      <wps:wsp>
                        <wps:cNvPr id="284400397" name="Rectangle 10"/>
                        <wps:cNvSpPr>
                          <a:spLocks noChangeArrowheads="1"/>
                        </wps:cNvSpPr>
                        <wps:spPr bwMode="auto">
                          <a:xfrm>
                            <a:off x="4400033" y="2807335"/>
                            <a:ext cx="915035" cy="147955"/>
                          </a:xfrm>
                          <a:prstGeom prst="rect">
                            <a:avLst/>
                          </a:prstGeom>
                          <a:noFill/>
                          <a:ln>
                            <a:noFill/>
                          </a:ln>
                        </wps:spPr>
                        <wps:txbx>
                          <w:txbxContent>
                            <w:p w14:paraId="4F430486">
                              <w:r>
                                <w:rPr>
                                  <w:rFonts w:hint="eastAsia" w:ascii="宋体" w:cs="宋体"/>
                                  <w:color w:val="000000"/>
                                  <w:kern w:val="0"/>
                                  <w:sz w:val="18"/>
                                  <w:szCs w:val="18"/>
                                </w:rPr>
                                <w:t>(单位资质专用章)</w:t>
                              </w:r>
                            </w:p>
                          </w:txbxContent>
                        </wps:txbx>
                        <wps:bodyPr rot="0" vert="horz" wrap="none" lIns="0" tIns="0" rIns="0" bIns="0" anchor="t" anchorCtr="0">
                          <a:spAutoFit/>
                        </wps:bodyPr>
                      </wps:wsp>
                      <wps:wsp>
                        <wps:cNvPr id="2013809620" name="Rectangle 11"/>
                        <wps:cNvSpPr>
                          <a:spLocks noChangeArrowheads="1"/>
                        </wps:cNvSpPr>
                        <wps:spPr bwMode="auto">
                          <a:xfrm>
                            <a:off x="11548" y="3952240"/>
                            <a:ext cx="635635" cy="164465"/>
                          </a:xfrm>
                          <a:prstGeom prst="rect">
                            <a:avLst/>
                          </a:prstGeom>
                          <a:noFill/>
                          <a:ln>
                            <a:noFill/>
                          </a:ln>
                        </wps:spPr>
                        <wps:txbx>
                          <w:txbxContent>
                            <w:p w14:paraId="2881C383">
                              <w:r>
                                <w:rPr>
                                  <w:rFonts w:hint="eastAsia" w:ascii="宋体" w:cs="宋体"/>
                                  <w:color w:val="000000"/>
                                  <w:kern w:val="0"/>
                                  <w:sz w:val="20"/>
                                  <w:szCs w:val="20"/>
                                </w:rPr>
                                <w:t>法定代表人</w:t>
                              </w:r>
                            </w:p>
                          </w:txbxContent>
                        </wps:txbx>
                        <wps:bodyPr rot="0" vert="horz" wrap="none" lIns="0" tIns="0" rIns="0" bIns="0" anchor="t" anchorCtr="0">
                          <a:spAutoFit/>
                        </wps:bodyPr>
                      </wps:wsp>
                      <wps:wsp>
                        <wps:cNvPr id="1445615448" name="Rectangle 12"/>
                        <wps:cNvSpPr>
                          <a:spLocks noChangeArrowheads="1"/>
                        </wps:cNvSpPr>
                        <wps:spPr bwMode="auto">
                          <a:xfrm>
                            <a:off x="11548" y="4115435"/>
                            <a:ext cx="762635" cy="164465"/>
                          </a:xfrm>
                          <a:prstGeom prst="rect">
                            <a:avLst/>
                          </a:prstGeom>
                          <a:noFill/>
                          <a:ln>
                            <a:noFill/>
                          </a:ln>
                        </wps:spPr>
                        <wps:txbx>
                          <w:txbxContent>
                            <w:p w14:paraId="514FFB6A">
                              <w:r>
                                <w:rPr>
                                  <w:rFonts w:hint="eastAsia" w:ascii="宋体" w:cs="宋体"/>
                                  <w:color w:val="000000"/>
                                  <w:kern w:val="0"/>
                                  <w:sz w:val="20"/>
                                  <w:szCs w:val="20"/>
                                </w:rPr>
                                <w:t>或其授权人：</w:t>
                              </w:r>
                            </w:p>
                          </w:txbxContent>
                        </wps:txbx>
                        <wps:bodyPr rot="0" vert="horz" wrap="none" lIns="0" tIns="0" rIns="0" bIns="0" anchor="t" anchorCtr="0">
                          <a:spAutoFit/>
                        </wps:bodyPr>
                      </wps:wsp>
                      <wps:wsp>
                        <wps:cNvPr id="709569717" name="Rectangle 13"/>
                        <wps:cNvSpPr>
                          <a:spLocks noChangeArrowheads="1"/>
                        </wps:cNvSpPr>
                        <wps:spPr bwMode="auto">
                          <a:xfrm>
                            <a:off x="4508618" y="4306570"/>
                            <a:ext cx="686435" cy="147955"/>
                          </a:xfrm>
                          <a:prstGeom prst="rect">
                            <a:avLst/>
                          </a:prstGeom>
                          <a:noFill/>
                          <a:ln>
                            <a:noFill/>
                          </a:ln>
                        </wps:spPr>
                        <wps:txbx>
                          <w:txbxContent>
                            <w:p w14:paraId="518627DB">
                              <w:r>
                                <w:rPr>
                                  <w:rFonts w:hint="eastAsia" w:ascii="宋体" w:cs="宋体"/>
                                  <w:color w:val="000000"/>
                                  <w:kern w:val="0"/>
                                  <w:sz w:val="18"/>
                                  <w:szCs w:val="18"/>
                                </w:rPr>
                                <w:t>(签字或盖章)</w:t>
                              </w:r>
                            </w:p>
                          </w:txbxContent>
                        </wps:txbx>
                        <wps:bodyPr rot="0" vert="horz" wrap="none" lIns="0" tIns="0" rIns="0" bIns="0" anchor="t" anchorCtr="0">
                          <a:spAutoFit/>
                        </wps:bodyPr>
                      </wps:wsp>
                      <wps:wsp>
                        <wps:cNvPr id="565173947" name="Rectangle 14"/>
                        <wps:cNvSpPr>
                          <a:spLocks noChangeArrowheads="1"/>
                        </wps:cNvSpPr>
                        <wps:spPr bwMode="auto">
                          <a:xfrm>
                            <a:off x="11548" y="5608955"/>
                            <a:ext cx="762635" cy="164465"/>
                          </a:xfrm>
                          <a:prstGeom prst="rect">
                            <a:avLst/>
                          </a:prstGeom>
                          <a:noFill/>
                          <a:ln>
                            <a:noFill/>
                          </a:ln>
                        </wps:spPr>
                        <wps:txbx>
                          <w:txbxContent>
                            <w:p w14:paraId="7634908C">
                              <w:r>
                                <w:rPr>
                                  <w:rFonts w:hint="eastAsia" w:ascii="宋体" w:cs="宋体"/>
                                  <w:color w:val="000000"/>
                                  <w:kern w:val="0"/>
                                  <w:sz w:val="20"/>
                                  <w:szCs w:val="20"/>
                                </w:rPr>
                                <w:t>编  制  人：</w:t>
                              </w:r>
                            </w:p>
                          </w:txbxContent>
                        </wps:txbx>
                        <wps:bodyPr rot="0" vert="horz" wrap="none" lIns="0" tIns="0" rIns="0" bIns="0" anchor="t" anchorCtr="0">
                          <a:spAutoFit/>
                        </wps:bodyPr>
                      </wps:wsp>
                      <wps:wsp>
                        <wps:cNvPr id="1892995076" name="Rectangle 15"/>
                        <wps:cNvSpPr>
                          <a:spLocks noChangeArrowheads="1"/>
                        </wps:cNvSpPr>
                        <wps:spPr bwMode="auto">
                          <a:xfrm>
                            <a:off x="4181593" y="5800090"/>
                            <a:ext cx="1372235" cy="147955"/>
                          </a:xfrm>
                          <a:prstGeom prst="rect">
                            <a:avLst/>
                          </a:prstGeom>
                          <a:noFill/>
                          <a:ln>
                            <a:noFill/>
                          </a:ln>
                        </wps:spPr>
                        <wps:txbx>
                          <w:txbxContent>
                            <w:p w14:paraId="0B63418B">
                              <w:r>
                                <w:rPr>
                                  <w:rFonts w:hint="eastAsia" w:ascii="宋体" w:cs="宋体"/>
                                  <w:color w:val="000000"/>
                                  <w:kern w:val="0"/>
                                  <w:sz w:val="18"/>
                                  <w:szCs w:val="18"/>
                                </w:rPr>
                                <w:t>(造价工程师签字盖专用章)</w:t>
                              </w:r>
                            </w:p>
                          </w:txbxContent>
                        </wps:txbx>
                        <wps:bodyPr rot="0" vert="horz" wrap="none" lIns="0" tIns="0" rIns="0" bIns="0" anchor="t" anchorCtr="0">
                          <a:spAutoFit/>
                        </wps:bodyPr>
                      </wps:wsp>
                      <wps:wsp>
                        <wps:cNvPr id="2144099171" name="Rectangle 16"/>
                        <wps:cNvSpPr>
                          <a:spLocks noChangeArrowheads="1"/>
                        </wps:cNvSpPr>
                        <wps:spPr bwMode="auto">
                          <a:xfrm>
                            <a:off x="11548" y="7102475"/>
                            <a:ext cx="826135" cy="164465"/>
                          </a:xfrm>
                          <a:prstGeom prst="rect">
                            <a:avLst/>
                          </a:prstGeom>
                          <a:noFill/>
                          <a:ln>
                            <a:noFill/>
                          </a:ln>
                        </wps:spPr>
                        <wps:txbx>
                          <w:txbxContent>
                            <w:p w14:paraId="363883BB">
                              <w:r>
                                <w:rPr>
                                  <w:rFonts w:hint="eastAsia" w:ascii="宋体" w:cs="宋体"/>
                                  <w:color w:val="000000"/>
                                  <w:kern w:val="0"/>
                                  <w:sz w:val="20"/>
                                  <w:szCs w:val="20"/>
                                </w:rPr>
                                <w:t>编 制 时 间：</w:t>
                              </w:r>
                            </w:p>
                          </w:txbxContent>
                        </wps:txbx>
                        <wps:bodyPr rot="0" vert="horz" wrap="none" lIns="0" tIns="0" rIns="0" bIns="0" anchor="t" anchorCtr="0">
                          <a:spAutoFit/>
                        </wps:bodyPr>
                      </wps:wsp>
                      <wps:wsp>
                        <wps:cNvPr id="294431988" name="Rectangle 17"/>
                        <wps:cNvSpPr>
                          <a:spLocks noChangeArrowheads="1"/>
                        </wps:cNvSpPr>
                        <wps:spPr bwMode="auto">
                          <a:xfrm>
                            <a:off x="4160003" y="7102475"/>
                            <a:ext cx="1270635" cy="164465"/>
                          </a:xfrm>
                          <a:prstGeom prst="rect">
                            <a:avLst/>
                          </a:prstGeom>
                          <a:noFill/>
                          <a:ln>
                            <a:noFill/>
                          </a:ln>
                        </wps:spPr>
                        <wps:txbx>
                          <w:txbxContent>
                            <w:p w14:paraId="4ED65F59">
                              <w:r>
                                <w:rPr>
                                  <w:rFonts w:hint="eastAsia" w:ascii="宋体" w:cs="宋体"/>
                                  <w:color w:val="000000"/>
                                  <w:kern w:val="0"/>
                                  <w:sz w:val="20"/>
                                  <w:szCs w:val="20"/>
                                </w:rPr>
                                <w:t xml:space="preserve">      年    月    日</w:t>
                              </w:r>
                            </w:p>
                          </w:txbxContent>
                        </wps:txbx>
                        <wps:bodyPr rot="0" vert="horz" wrap="none" lIns="0" tIns="0" rIns="0" bIns="0" anchor="t" anchorCtr="0">
                          <a:spAutoFit/>
                        </wps:bodyPr>
                      </wps:wsp>
                      <wps:wsp>
                        <wps:cNvPr id="973650173" name="Rectangle 18"/>
                        <wps:cNvSpPr>
                          <a:spLocks noChangeArrowheads="1"/>
                        </wps:cNvSpPr>
                        <wps:spPr bwMode="auto">
                          <a:xfrm>
                            <a:off x="1287263" y="5794375"/>
                            <a:ext cx="1257935" cy="147955"/>
                          </a:xfrm>
                          <a:prstGeom prst="rect">
                            <a:avLst/>
                          </a:prstGeom>
                          <a:noFill/>
                          <a:ln>
                            <a:noFill/>
                          </a:ln>
                        </wps:spPr>
                        <wps:txbx>
                          <w:txbxContent>
                            <w:p w14:paraId="4A314970">
                              <w:r>
                                <w:rPr>
                                  <w:rFonts w:hint="eastAsia" w:ascii="宋体" w:cs="宋体"/>
                                  <w:color w:val="000000"/>
                                  <w:kern w:val="0"/>
                                  <w:sz w:val="18"/>
                                  <w:szCs w:val="18"/>
                                </w:rPr>
                                <w:t>(造价人员签字盖专用章)</w:t>
                              </w:r>
                            </w:p>
                          </w:txbxContent>
                        </wps:txbx>
                        <wps:bodyPr rot="0" vert="horz" wrap="none" lIns="0" tIns="0" rIns="0" bIns="0" anchor="t" anchorCtr="0">
                          <a:spAutoFit/>
                        </wps:bodyPr>
                      </wps:wsp>
                      <wps:wsp>
                        <wps:cNvPr id="72043670" name="Rectangle 19"/>
                        <wps:cNvSpPr>
                          <a:spLocks noChangeArrowheads="1"/>
                        </wps:cNvSpPr>
                        <wps:spPr bwMode="auto">
                          <a:xfrm>
                            <a:off x="2966203" y="5827395"/>
                            <a:ext cx="114935" cy="153035"/>
                          </a:xfrm>
                          <a:prstGeom prst="rect">
                            <a:avLst/>
                          </a:prstGeom>
                          <a:noFill/>
                          <a:ln>
                            <a:noFill/>
                          </a:ln>
                        </wps:spPr>
                        <wps:txbx>
                          <w:txbxContent>
                            <w:p w14:paraId="03A626AF"/>
                          </w:txbxContent>
                        </wps:txbx>
                        <wps:bodyPr rot="0" vert="horz" wrap="none" lIns="0" tIns="0" rIns="0" bIns="0" anchor="t" anchorCtr="0">
                          <a:spAutoFit/>
                        </wps:bodyPr>
                      </wps:wsp>
                      <wps:wsp>
                        <wps:cNvPr id="597299092" name="Rectangle 20"/>
                        <wps:cNvSpPr>
                          <a:spLocks noChangeArrowheads="1"/>
                        </wps:cNvSpPr>
                        <wps:spPr bwMode="auto">
                          <a:xfrm>
                            <a:off x="1227573" y="7097395"/>
                            <a:ext cx="1270635" cy="164465"/>
                          </a:xfrm>
                          <a:prstGeom prst="rect">
                            <a:avLst/>
                          </a:prstGeom>
                          <a:noFill/>
                          <a:ln>
                            <a:noFill/>
                          </a:ln>
                        </wps:spPr>
                        <wps:txbx>
                          <w:txbxContent>
                            <w:p w14:paraId="0635B6DA">
                              <w:r>
                                <w:rPr>
                                  <w:rFonts w:hint="eastAsia" w:ascii="宋体" w:cs="宋体"/>
                                  <w:color w:val="000000"/>
                                  <w:kern w:val="0"/>
                                  <w:sz w:val="20"/>
                                  <w:szCs w:val="20"/>
                                </w:rPr>
                                <w:t xml:space="preserve">      年    月    日</w:t>
                              </w:r>
                            </w:p>
                          </w:txbxContent>
                        </wps:txbx>
                        <wps:bodyPr rot="0" vert="horz" wrap="none" lIns="0" tIns="0" rIns="0" bIns="0" anchor="t" anchorCtr="0">
                          <a:spAutoFit/>
                        </wps:bodyPr>
                      </wps:wsp>
                      <wps:wsp>
                        <wps:cNvPr id="1810550335" name="Rectangle 21"/>
                        <wps:cNvSpPr>
                          <a:spLocks noChangeArrowheads="1"/>
                        </wps:cNvSpPr>
                        <wps:spPr bwMode="auto">
                          <a:xfrm>
                            <a:off x="2966203" y="7097395"/>
                            <a:ext cx="826135" cy="164465"/>
                          </a:xfrm>
                          <a:prstGeom prst="rect">
                            <a:avLst/>
                          </a:prstGeom>
                          <a:noFill/>
                          <a:ln>
                            <a:noFill/>
                          </a:ln>
                        </wps:spPr>
                        <wps:txbx>
                          <w:txbxContent>
                            <w:p w14:paraId="410AB0D6">
                              <w:r>
                                <w:rPr>
                                  <w:rFonts w:hint="eastAsia" w:ascii="宋体" w:cs="宋体"/>
                                  <w:color w:val="000000"/>
                                  <w:kern w:val="0"/>
                                  <w:sz w:val="20"/>
                                  <w:szCs w:val="20"/>
                                </w:rPr>
                                <w:t>复 核 时 间：</w:t>
                              </w:r>
                            </w:p>
                          </w:txbxContent>
                        </wps:txbx>
                        <wps:bodyPr rot="0" vert="horz" wrap="none" lIns="0" tIns="0" rIns="0" bIns="0" anchor="t" anchorCtr="0">
                          <a:spAutoFit/>
                        </wps:bodyPr>
                      </wps:wsp>
                      <wps:wsp>
                        <wps:cNvPr id="1611366350" name="Rectangle 22"/>
                        <wps:cNvSpPr>
                          <a:spLocks noChangeArrowheads="1"/>
                        </wps:cNvSpPr>
                        <wps:spPr bwMode="auto">
                          <a:xfrm>
                            <a:off x="11548" y="7255510"/>
                            <a:ext cx="114935" cy="153035"/>
                          </a:xfrm>
                          <a:prstGeom prst="rect">
                            <a:avLst/>
                          </a:prstGeom>
                          <a:noFill/>
                          <a:ln>
                            <a:noFill/>
                          </a:ln>
                        </wps:spPr>
                        <wps:txbx>
                          <w:txbxContent>
                            <w:p w14:paraId="38C4328F"/>
                          </w:txbxContent>
                        </wps:txbx>
                        <wps:bodyPr rot="0" vert="horz" wrap="none" lIns="0" tIns="0" rIns="0" bIns="0" anchor="t" anchorCtr="0">
                          <a:spAutoFit/>
                        </wps:bodyPr>
                      </wps:wsp>
                      <wps:wsp>
                        <wps:cNvPr id="503640447" name="Rectangle 23"/>
                        <wps:cNvSpPr>
                          <a:spLocks noChangeArrowheads="1"/>
                        </wps:cNvSpPr>
                        <wps:spPr bwMode="auto">
                          <a:xfrm>
                            <a:off x="1701283" y="7255510"/>
                            <a:ext cx="114935" cy="153035"/>
                          </a:xfrm>
                          <a:prstGeom prst="rect">
                            <a:avLst/>
                          </a:prstGeom>
                          <a:noFill/>
                          <a:ln>
                            <a:noFill/>
                          </a:ln>
                        </wps:spPr>
                        <wps:txbx>
                          <w:txbxContent>
                            <w:p w14:paraId="390760A9"/>
                          </w:txbxContent>
                        </wps:txbx>
                        <wps:bodyPr rot="0" vert="horz" wrap="none" lIns="0" tIns="0" rIns="0" bIns="0" anchor="t" anchorCtr="0">
                          <a:spAutoFit/>
                        </wps:bodyPr>
                      </wps:wsp>
                      <wps:wsp>
                        <wps:cNvPr id="1818476994" name="Rectangle 24"/>
                        <wps:cNvSpPr>
                          <a:spLocks noChangeArrowheads="1"/>
                        </wps:cNvSpPr>
                        <wps:spPr bwMode="auto">
                          <a:xfrm>
                            <a:off x="5266173" y="7271385"/>
                            <a:ext cx="254635" cy="132080"/>
                          </a:xfrm>
                          <a:prstGeom prst="rect">
                            <a:avLst/>
                          </a:prstGeom>
                          <a:noFill/>
                          <a:ln>
                            <a:noFill/>
                          </a:ln>
                        </wps:spPr>
                        <wps:txbx>
                          <w:txbxContent>
                            <w:p w14:paraId="08D32960">
                              <w:r>
                                <w:rPr>
                                  <w:rFonts w:hint="eastAsia" w:ascii="宋体" w:cs="宋体"/>
                                  <w:color w:val="000000"/>
                                  <w:kern w:val="0"/>
                                  <w:sz w:val="16"/>
                                  <w:szCs w:val="16"/>
                                </w:rPr>
                                <w:t>扉—1</w:t>
                              </w:r>
                            </w:p>
                          </w:txbxContent>
                        </wps:txbx>
                        <wps:bodyPr rot="0" vert="horz" wrap="none" lIns="0" tIns="0" rIns="0" bIns="0" anchor="t" anchorCtr="0">
                          <a:spAutoFit/>
                        </wps:bodyPr>
                      </wps:wsp>
                      <wps:wsp>
                        <wps:cNvPr id="536603482" name="Rectangle 25"/>
                        <wps:cNvSpPr>
                          <a:spLocks noChangeArrowheads="1"/>
                        </wps:cNvSpPr>
                        <wps:spPr bwMode="auto">
                          <a:xfrm>
                            <a:off x="1227573" y="4148455"/>
                            <a:ext cx="114935" cy="153035"/>
                          </a:xfrm>
                          <a:prstGeom prst="rect">
                            <a:avLst/>
                          </a:prstGeom>
                          <a:noFill/>
                          <a:ln>
                            <a:noFill/>
                          </a:ln>
                        </wps:spPr>
                        <wps:txbx>
                          <w:txbxContent>
                            <w:p w14:paraId="14E2ED7B"/>
                          </w:txbxContent>
                        </wps:txbx>
                        <wps:bodyPr rot="0" vert="horz" wrap="none" lIns="0" tIns="0" rIns="0" bIns="0" anchor="t" anchorCtr="0">
                          <a:spAutoFit/>
                        </wps:bodyPr>
                      </wps:wsp>
                      <wps:wsp>
                        <wps:cNvPr id="1792076077" name="Rectangle 26"/>
                        <wps:cNvSpPr>
                          <a:spLocks noChangeArrowheads="1"/>
                        </wps:cNvSpPr>
                        <wps:spPr bwMode="auto">
                          <a:xfrm>
                            <a:off x="2966203" y="3946525"/>
                            <a:ext cx="635635" cy="164465"/>
                          </a:xfrm>
                          <a:prstGeom prst="rect">
                            <a:avLst/>
                          </a:prstGeom>
                          <a:noFill/>
                          <a:ln>
                            <a:noFill/>
                          </a:ln>
                        </wps:spPr>
                        <wps:txbx>
                          <w:txbxContent>
                            <w:p w14:paraId="012E91B7">
                              <w:r>
                                <w:rPr>
                                  <w:rFonts w:hint="eastAsia" w:ascii="宋体" w:cs="宋体"/>
                                  <w:color w:val="000000"/>
                                  <w:kern w:val="0"/>
                                  <w:sz w:val="20"/>
                                  <w:szCs w:val="20"/>
                                </w:rPr>
                                <w:t>法定代表人</w:t>
                              </w:r>
                            </w:p>
                          </w:txbxContent>
                        </wps:txbx>
                        <wps:bodyPr rot="0" vert="horz" wrap="none" lIns="0" tIns="0" rIns="0" bIns="0" anchor="t" anchorCtr="0">
                          <a:spAutoFit/>
                        </wps:bodyPr>
                      </wps:wsp>
                      <wps:wsp>
                        <wps:cNvPr id="1886131153" name="Rectangle 27"/>
                        <wps:cNvSpPr>
                          <a:spLocks noChangeArrowheads="1"/>
                        </wps:cNvSpPr>
                        <wps:spPr bwMode="auto">
                          <a:xfrm>
                            <a:off x="2966203" y="4110355"/>
                            <a:ext cx="762635" cy="164465"/>
                          </a:xfrm>
                          <a:prstGeom prst="rect">
                            <a:avLst/>
                          </a:prstGeom>
                          <a:noFill/>
                          <a:ln>
                            <a:noFill/>
                          </a:ln>
                        </wps:spPr>
                        <wps:txbx>
                          <w:txbxContent>
                            <w:p w14:paraId="15EA5600">
                              <w:r>
                                <w:rPr>
                                  <w:rFonts w:hint="eastAsia" w:ascii="宋体" w:cs="宋体"/>
                                  <w:color w:val="000000"/>
                                  <w:kern w:val="0"/>
                                  <w:sz w:val="20"/>
                                  <w:szCs w:val="20"/>
                                </w:rPr>
                                <w:t>或其授权人：</w:t>
                              </w:r>
                            </w:p>
                          </w:txbxContent>
                        </wps:txbx>
                        <wps:bodyPr rot="0" vert="horz" wrap="none" lIns="0" tIns="0" rIns="0" bIns="0" anchor="t" anchorCtr="0">
                          <a:spAutoFit/>
                        </wps:bodyPr>
                      </wps:wsp>
                      <wps:wsp>
                        <wps:cNvPr id="1891538713" name="Rectangle 28"/>
                        <wps:cNvSpPr>
                          <a:spLocks noChangeArrowheads="1"/>
                        </wps:cNvSpPr>
                        <wps:spPr bwMode="auto">
                          <a:xfrm>
                            <a:off x="1559678" y="4300855"/>
                            <a:ext cx="686435" cy="147955"/>
                          </a:xfrm>
                          <a:prstGeom prst="rect">
                            <a:avLst/>
                          </a:prstGeom>
                          <a:noFill/>
                          <a:ln>
                            <a:noFill/>
                          </a:ln>
                        </wps:spPr>
                        <wps:txbx>
                          <w:txbxContent>
                            <w:p w14:paraId="6CFC43B8">
                              <w:r>
                                <w:rPr>
                                  <w:rFonts w:hint="eastAsia" w:ascii="宋体" w:cs="宋体"/>
                                  <w:color w:val="000000"/>
                                  <w:kern w:val="0"/>
                                  <w:sz w:val="18"/>
                                  <w:szCs w:val="18"/>
                                </w:rPr>
                                <w:t>(签字或盖章)</w:t>
                              </w:r>
                            </w:p>
                          </w:txbxContent>
                        </wps:txbx>
                        <wps:bodyPr rot="0" vert="horz" wrap="none" lIns="0" tIns="0" rIns="0" bIns="0" anchor="t" anchorCtr="0">
                          <a:spAutoFit/>
                        </wps:bodyPr>
                      </wps:wsp>
                      <wps:wsp>
                        <wps:cNvPr id="2092165414" name="Rectangle 29"/>
                        <wps:cNvSpPr>
                          <a:spLocks noChangeArrowheads="1"/>
                        </wps:cNvSpPr>
                        <wps:spPr bwMode="auto">
                          <a:xfrm>
                            <a:off x="2966203" y="4333875"/>
                            <a:ext cx="114935" cy="153035"/>
                          </a:xfrm>
                          <a:prstGeom prst="rect">
                            <a:avLst/>
                          </a:prstGeom>
                          <a:noFill/>
                          <a:ln>
                            <a:noFill/>
                          </a:ln>
                        </wps:spPr>
                        <wps:txbx>
                          <w:txbxContent>
                            <w:p w14:paraId="43F9C1FD"/>
                          </w:txbxContent>
                        </wps:txbx>
                        <wps:bodyPr rot="0" vert="horz" wrap="none" lIns="0" tIns="0" rIns="0" bIns="0" anchor="t" anchorCtr="0">
                          <a:spAutoFit/>
                        </wps:bodyPr>
                      </wps:wsp>
                      <wps:wsp>
                        <wps:cNvPr id="1824989152" name="Rectangle 30"/>
                        <wps:cNvSpPr>
                          <a:spLocks noChangeArrowheads="1"/>
                        </wps:cNvSpPr>
                        <wps:spPr bwMode="auto">
                          <a:xfrm>
                            <a:off x="1227573" y="5631180"/>
                            <a:ext cx="114935" cy="153035"/>
                          </a:xfrm>
                          <a:prstGeom prst="rect">
                            <a:avLst/>
                          </a:prstGeom>
                          <a:noFill/>
                          <a:ln>
                            <a:noFill/>
                          </a:ln>
                        </wps:spPr>
                        <wps:txbx>
                          <w:txbxContent>
                            <w:p w14:paraId="09BCC3FE"/>
                          </w:txbxContent>
                        </wps:txbx>
                        <wps:bodyPr rot="0" vert="horz" wrap="none" lIns="0" tIns="0" rIns="0" bIns="0" anchor="t" anchorCtr="0">
                          <a:spAutoFit/>
                        </wps:bodyPr>
                      </wps:wsp>
                      <wps:wsp>
                        <wps:cNvPr id="2039706645" name="Rectangle 31"/>
                        <wps:cNvSpPr>
                          <a:spLocks noChangeArrowheads="1"/>
                        </wps:cNvSpPr>
                        <wps:spPr bwMode="auto">
                          <a:xfrm>
                            <a:off x="2966203" y="5603875"/>
                            <a:ext cx="762635" cy="164465"/>
                          </a:xfrm>
                          <a:prstGeom prst="rect">
                            <a:avLst/>
                          </a:prstGeom>
                          <a:noFill/>
                          <a:ln>
                            <a:noFill/>
                          </a:ln>
                        </wps:spPr>
                        <wps:txbx>
                          <w:txbxContent>
                            <w:p w14:paraId="350D6A2A">
                              <w:r>
                                <w:rPr>
                                  <w:rFonts w:hint="eastAsia" w:ascii="宋体" w:cs="宋体"/>
                                  <w:color w:val="000000"/>
                                  <w:kern w:val="0"/>
                                  <w:sz w:val="20"/>
                                  <w:szCs w:val="20"/>
                                </w:rPr>
                                <w:t>复  核  人：</w:t>
                              </w:r>
                            </w:p>
                          </w:txbxContent>
                        </wps:txbx>
                        <wps:bodyPr rot="0" vert="horz" wrap="none" lIns="0" tIns="0" rIns="0" bIns="0" anchor="t" anchorCtr="0">
                          <a:spAutoFit/>
                        </wps:bodyPr>
                      </wps:wsp>
                      <wps:wsp>
                        <wps:cNvPr id="1035374388" name="Rectangle 32"/>
                        <wps:cNvSpPr>
                          <a:spLocks noChangeArrowheads="1"/>
                        </wps:cNvSpPr>
                        <wps:spPr bwMode="auto">
                          <a:xfrm>
                            <a:off x="1227573" y="1318895"/>
                            <a:ext cx="114935" cy="153035"/>
                          </a:xfrm>
                          <a:prstGeom prst="rect">
                            <a:avLst/>
                          </a:prstGeom>
                          <a:noFill/>
                          <a:ln>
                            <a:noFill/>
                          </a:ln>
                        </wps:spPr>
                        <wps:txbx>
                          <w:txbxContent>
                            <w:p w14:paraId="7E09FA4C"/>
                          </w:txbxContent>
                        </wps:txbx>
                        <wps:bodyPr rot="0" vert="horz" wrap="none" lIns="0" tIns="0" rIns="0" bIns="0" anchor="t" anchorCtr="0">
                          <a:spAutoFit/>
                        </wps:bodyPr>
                      </wps:wsp>
                      <wps:wsp>
                        <wps:cNvPr id="1157852532" name="Rectangle 33"/>
                        <wps:cNvSpPr>
                          <a:spLocks noChangeArrowheads="1"/>
                        </wps:cNvSpPr>
                        <wps:spPr bwMode="auto">
                          <a:xfrm>
                            <a:off x="2966203" y="1318895"/>
                            <a:ext cx="114935" cy="153035"/>
                          </a:xfrm>
                          <a:prstGeom prst="rect">
                            <a:avLst/>
                          </a:prstGeom>
                          <a:noFill/>
                          <a:ln>
                            <a:noFill/>
                          </a:ln>
                        </wps:spPr>
                        <wps:txbx>
                          <w:txbxContent>
                            <w:p w14:paraId="09F01C2F"/>
                          </w:txbxContent>
                        </wps:txbx>
                        <wps:bodyPr rot="0" vert="horz" wrap="none" lIns="0" tIns="0" rIns="0" bIns="0" anchor="t" anchorCtr="0">
                          <a:spAutoFit/>
                        </wps:bodyPr>
                      </wps:wsp>
                      <wps:wsp>
                        <wps:cNvPr id="29849732" name="Rectangle 34"/>
                        <wps:cNvSpPr>
                          <a:spLocks noChangeArrowheads="1"/>
                        </wps:cNvSpPr>
                        <wps:spPr bwMode="auto">
                          <a:xfrm>
                            <a:off x="1227573" y="2616200"/>
                            <a:ext cx="114935" cy="153035"/>
                          </a:xfrm>
                          <a:prstGeom prst="rect">
                            <a:avLst/>
                          </a:prstGeom>
                          <a:noFill/>
                          <a:ln>
                            <a:noFill/>
                          </a:ln>
                        </wps:spPr>
                        <wps:txbx>
                          <w:txbxContent>
                            <w:p w14:paraId="668610FD"/>
                          </w:txbxContent>
                        </wps:txbx>
                        <wps:bodyPr rot="0" vert="horz" wrap="none" lIns="0" tIns="0" rIns="0" bIns="0" anchor="t" anchorCtr="0">
                          <a:spAutoFit/>
                        </wps:bodyPr>
                      </wps:wsp>
                      <wps:wsp>
                        <wps:cNvPr id="613525530" name="Rectangle 35"/>
                        <wps:cNvSpPr>
                          <a:spLocks noChangeArrowheads="1"/>
                        </wps:cNvSpPr>
                        <wps:spPr bwMode="auto">
                          <a:xfrm>
                            <a:off x="2966203" y="2611120"/>
                            <a:ext cx="826135" cy="164465"/>
                          </a:xfrm>
                          <a:prstGeom prst="rect">
                            <a:avLst/>
                          </a:prstGeom>
                          <a:noFill/>
                          <a:ln>
                            <a:noFill/>
                          </a:ln>
                        </wps:spPr>
                        <wps:txbx>
                          <w:txbxContent>
                            <w:p w14:paraId="7375EAC0">
                              <w:r>
                                <w:rPr>
                                  <w:rFonts w:hint="eastAsia" w:ascii="宋体" w:cs="宋体"/>
                                  <w:color w:val="000000"/>
                                  <w:kern w:val="0"/>
                                  <w:sz w:val="20"/>
                                  <w:szCs w:val="20"/>
                                </w:rPr>
                                <w:t>造 价咨询人：</w:t>
                              </w:r>
                            </w:p>
                          </w:txbxContent>
                        </wps:txbx>
                        <wps:bodyPr rot="0" vert="horz" wrap="none" lIns="0" tIns="0" rIns="0" bIns="0" anchor="t" anchorCtr="0">
                          <a:spAutoFit/>
                        </wps:bodyPr>
                      </wps:wsp>
                      <wps:wsp>
                        <wps:cNvPr id="616242486" name="Rectangle 36"/>
                        <wps:cNvSpPr>
                          <a:spLocks noChangeArrowheads="1"/>
                        </wps:cNvSpPr>
                        <wps:spPr bwMode="auto">
                          <a:xfrm>
                            <a:off x="1614288" y="2807335"/>
                            <a:ext cx="572135" cy="147955"/>
                          </a:xfrm>
                          <a:prstGeom prst="rect">
                            <a:avLst/>
                          </a:prstGeom>
                          <a:noFill/>
                          <a:ln>
                            <a:noFill/>
                          </a:ln>
                        </wps:spPr>
                        <wps:txbx>
                          <w:txbxContent>
                            <w:p w14:paraId="479AB0B4">
                              <w:r>
                                <w:rPr>
                                  <w:rFonts w:hint="eastAsia" w:ascii="宋体" w:cs="宋体"/>
                                  <w:color w:val="000000"/>
                                  <w:kern w:val="0"/>
                                  <w:sz w:val="18"/>
                                  <w:szCs w:val="18"/>
                                </w:rPr>
                                <w:t>(单位盖章)</w:t>
                              </w:r>
                            </w:p>
                          </w:txbxContent>
                        </wps:txbx>
                        <wps:bodyPr rot="0" vert="horz" wrap="none" lIns="0" tIns="0" rIns="0" bIns="0" anchor="t" anchorCtr="0">
                          <a:spAutoFit/>
                        </wps:bodyPr>
                      </wps:wsp>
                      <wps:wsp>
                        <wps:cNvPr id="705108151" name="Rectangle 37"/>
                        <wps:cNvSpPr>
                          <a:spLocks noChangeArrowheads="1"/>
                        </wps:cNvSpPr>
                        <wps:spPr bwMode="auto">
                          <a:xfrm>
                            <a:off x="2966203" y="2839720"/>
                            <a:ext cx="114935" cy="153035"/>
                          </a:xfrm>
                          <a:prstGeom prst="rect">
                            <a:avLst/>
                          </a:prstGeom>
                          <a:noFill/>
                          <a:ln>
                            <a:noFill/>
                          </a:ln>
                        </wps:spPr>
                        <wps:txbx>
                          <w:txbxContent>
                            <w:p w14:paraId="53D09A10"/>
                          </w:txbxContent>
                        </wps:txbx>
                        <wps:bodyPr rot="0" vert="horz" wrap="none" lIns="0" tIns="0" rIns="0" bIns="0" anchor="t" anchorCtr="0">
                          <a:spAutoFit/>
                        </wps:bodyPr>
                      </wps:wsp>
                      <wps:wsp>
                        <wps:cNvPr id="1817683687" name="Rectangle 38"/>
                        <wps:cNvSpPr>
                          <a:spLocks noChangeArrowheads="1"/>
                        </wps:cNvSpPr>
                        <wps:spPr bwMode="auto">
                          <a:xfrm>
                            <a:off x="11548" y="408940"/>
                            <a:ext cx="114935" cy="153035"/>
                          </a:xfrm>
                          <a:prstGeom prst="rect">
                            <a:avLst/>
                          </a:prstGeom>
                          <a:noFill/>
                          <a:ln>
                            <a:noFill/>
                          </a:ln>
                        </wps:spPr>
                        <wps:txbx>
                          <w:txbxContent>
                            <w:p w14:paraId="71D7671C"/>
                          </w:txbxContent>
                        </wps:txbx>
                        <wps:bodyPr rot="0" vert="horz" wrap="none" lIns="0" tIns="0" rIns="0" bIns="0" anchor="t" anchorCtr="0">
                          <a:spAutoFit/>
                        </wps:bodyPr>
                      </wps:wsp>
                      <wps:wsp>
                        <wps:cNvPr id="26962297" name="Rectangle 39"/>
                        <wps:cNvSpPr>
                          <a:spLocks noChangeArrowheads="1"/>
                        </wps:cNvSpPr>
                        <wps:spPr bwMode="auto">
                          <a:xfrm>
                            <a:off x="1750813" y="76200"/>
                            <a:ext cx="1905635" cy="247015"/>
                          </a:xfrm>
                          <a:prstGeom prst="rect">
                            <a:avLst/>
                          </a:prstGeom>
                          <a:noFill/>
                          <a:ln>
                            <a:noFill/>
                          </a:ln>
                        </wps:spPr>
                        <wps:txbx>
                          <w:txbxContent>
                            <w:p w14:paraId="372D979D">
                              <w:r>
                                <w:rPr>
                                  <w:rFonts w:hint="eastAsia" w:ascii="宋体" w:cs="宋体"/>
                                  <w:color w:val="000000"/>
                                  <w:kern w:val="0"/>
                                  <w:sz w:val="30"/>
                                  <w:szCs w:val="30"/>
                                </w:rPr>
                                <w:t>久凌大厦项目室内改造</w:t>
                              </w:r>
                            </w:p>
                          </w:txbxContent>
                        </wps:txbx>
                        <wps:bodyPr rot="0" vert="horz" wrap="none" lIns="0" tIns="0" rIns="0" bIns="0" anchor="t" anchorCtr="0">
                          <a:spAutoFit/>
                        </wps:bodyPr>
                      </wps:wsp>
                      <wps:wsp>
                        <wps:cNvPr id="951939608" name="Rectangle 40"/>
                        <wps:cNvSpPr>
                          <a:spLocks noChangeArrowheads="1"/>
                        </wps:cNvSpPr>
                        <wps:spPr bwMode="auto">
                          <a:xfrm>
                            <a:off x="2535673" y="327025"/>
                            <a:ext cx="381635" cy="247015"/>
                          </a:xfrm>
                          <a:prstGeom prst="rect">
                            <a:avLst/>
                          </a:prstGeom>
                          <a:noFill/>
                          <a:ln>
                            <a:noFill/>
                          </a:ln>
                        </wps:spPr>
                        <wps:txbx>
                          <w:txbxContent>
                            <w:p w14:paraId="46113BF3">
                              <w:r>
                                <w:rPr>
                                  <w:rFonts w:hint="eastAsia" w:ascii="宋体" w:cs="宋体"/>
                                  <w:color w:val="000000"/>
                                  <w:kern w:val="0"/>
                                  <w:sz w:val="30"/>
                                  <w:szCs w:val="30"/>
                                </w:rPr>
                                <w:t>工程</w:t>
                              </w:r>
                            </w:p>
                          </w:txbxContent>
                        </wps:txbx>
                        <wps:bodyPr rot="0" vert="horz" wrap="none" lIns="0" tIns="0" rIns="0" bIns="0" anchor="t" anchorCtr="0">
                          <a:spAutoFit/>
                        </wps:bodyPr>
                      </wps:wsp>
                      <wps:wsp>
                        <wps:cNvPr id="1886128809" name="Rectangle 41"/>
                        <wps:cNvSpPr>
                          <a:spLocks noChangeArrowheads="1"/>
                        </wps:cNvSpPr>
                        <wps:spPr bwMode="auto">
                          <a:xfrm>
                            <a:off x="3810753" y="327025"/>
                            <a:ext cx="382905" cy="247015"/>
                          </a:xfrm>
                          <a:prstGeom prst="rect">
                            <a:avLst/>
                          </a:prstGeom>
                          <a:noFill/>
                          <a:ln>
                            <a:noFill/>
                          </a:ln>
                        </wps:spPr>
                        <wps:txbx>
                          <w:txbxContent>
                            <w:p w14:paraId="7DCF1BA8">
                              <w:r>
                                <w:rPr>
                                  <w:rFonts w:hint="eastAsia" w:ascii="宋体" w:cs="宋体"/>
                                  <w:b/>
                                  <w:bCs/>
                                  <w:color w:val="000000"/>
                                  <w:kern w:val="0"/>
                                  <w:sz w:val="30"/>
                                  <w:szCs w:val="30"/>
                                </w:rPr>
                                <w:t>工程</w:t>
                              </w:r>
                            </w:p>
                          </w:txbxContent>
                        </wps:txbx>
                        <wps:bodyPr rot="0" vert="horz" wrap="none" lIns="0" tIns="0" rIns="0" bIns="0" anchor="t" anchorCtr="0">
                          <a:spAutoFit/>
                        </wps:bodyPr>
                      </wps:wsp>
                      <wps:wsp>
                        <wps:cNvPr id="1162235010" name="Rectangle 42"/>
                        <wps:cNvSpPr>
                          <a:spLocks noChangeArrowheads="1"/>
                        </wps:cNvSpPr>
                        <wps:spPr bwMode="auto">
                          <a:xfrm>
                            <a:off x="22978" y="915670"/>
                            <a:ext cx="114935" cy="153035"/>
                          </a:xfrm>
                          <a:prstGeom prst="rect">
                            <a:avLst/>
                          </a:prstGeom>
                          <a:noFill/>
                          <a:ln>
                            <a:noFill/>
                          </a:ln>
                        </wps:spPr>
                        <wps:txbx>
                          <w:txbxContent>
                            <w:p w14:paraId="4A0CE30F"/>
                          </w:txbxContent>
                        </wps:txbx>
                        <wps:bodyPr rot="0" vert="horz" wrap="none" lIns="0" tIns="0" rIns="0" bIns="0" anchor="t" anchorCtr="0">
                          <a:spAutoFit/>
                        </wps:bodyPr>
                      </wps:wsp>
                      <wps:wsp>
                        <wps:cNvPr id="187112266" name="Rectangle 43"/>
                        <wps:cNvSpPr>
                          <a:spLocks noChangeArrowheads="1"/>
                        </wps:cNvSpPr>
                        <wps:spPr bwMode="auto">
                          <a:xfrm>
                            <a:off x="1870828" y="872490"/>
                            <a:ext cx="1696085" cy="313055"/>
                          </a:xfrm>
                          <a:prstGeom prst="rect">
                            <a:avLst/>
                          </a:prstGeom>
                          <a:noFill/>
                          <a:ln>
                            <a:noFill/>
                          </a:ln>
                        </wps:spPr>
                        <wps:txbx>
                          <w:txbxContent>
                            <w:p w14:paraId="25B1BF2A">
                              <w:r>
                                <w:rPr>
                                  <w:rFonts w:hint="eastAsia" w:ascii="宋体" w:cs="宋体"/>
                                  <w:b/>
                                  <w:bCs/>
                                  <w:color w:val="000000"/>
                                  <w:kern w:val="0"/>
                                  <w:sz w:val="38"/>
                                  <w:szCs w:val="38"/>
                                </w:rPr>
                                <w:t>招标工程量清单</w:t>
                              </w:r>
                            </w:p>
                          </w:txbxContent>
                        </wps:txbx>
                        <wps:bodyPr rot="0" vert="horz" wrap="none" lIns="0" tIns="0" rIns="0" bIns="0" anchor="t" anchorCtr="0">
                          <a:spAutoFit/>
                        </wps:bodyPr>
                      </wps:wsp>
                      <wps:wsp>
                        <wps:cNvPr id="88139279" name="Rectangle 44"/>
                        <wps:cNvSpPr>
                          <a:spLocks noChangeArrowheads="1"/>
                        </wps:cNvSpPr>
                        <wps:spPr bwMode="auto">
                          <a:xfrm>
                            <a:off x="3816468" y="877570"/>
                            <a:ext cx="114935" cy="153035"/>
                          </a:xfrm>
                          <a:prstGeom prst="rect">
                            <a:avLst/>
                          </a:prstGeom>
                          <a:noFill/>
                          <a:ln>
                            <a:noFill/>
                          </a:ln>
                        </wps:spPr>
                        <wps:txbx>
                          <w:txbxContent>
                            <w:p w14:paraId="41B77045"/>
                          </w:txbxContent>
                        </wps:txbx>
                        <wps:bodyPr rot="0" vert="horz" wrap="none" lIns="0" tIns="0" rIns="0" bIns="0" anchor="t" anchorCtr="0">
                          <a:spAutoFit/>
                        </wps:bodyPr>
                      </wps:wsp>
                      <wps:wsp>
                        <wps:cNvPr id="464952826" name="Line 45"/>
                        <wps:cNvCnPr>
                          <a:cxnSpLocks noChangeShapeType="1"/>
                        </wps:cNvCnPr>
                        <wps:spPr bwMode="auto">
                          <a:xfrm>
                            <a:off x="1205348" y="2752725"/>
                            <a:ext cx="1362710" cy="0"/>
                          </a:xfrm>
                          <a:prstGeom prst="line">
                            <a:avLst/>
                          </a:prstGeom>
                          <a:noFill/>
                          <a:ln w="0">
                            <a:solidFill>
                              <a:srgbClr val="000000"/>
                            </a:solidFill>
                            <a:prstDash val="solid"/>
                            <a:round/>
                          </a:ln>
                        </wps:spPr>
                        <wps:bodyPr/>
                      </wps:wsp>
                      <wps:wsp>
                        <wps:cNvPr id="1450048842" name="Rectangle 46"/>
                        <wps:cNvSpPr>
                          <a:spLocks noChangeArrowheads="1"/>
                        </wps:cNvSpPr>
                        <wps:spPr bwMode="auto">
                          <a:xfrm>
                            <a:off x="1205348" y="2752725"/>
                            <a:ext cx="1362710" cy="5715"/>
                          </a:xfrm>
                          <a:prstGeom prst="rect">
                            <a:avLst/>
                          </a:prstGeom>
                          <a:solidFill>
                            <a:srgbClr val="000000"/>
                          </a:solidFill>
                          <a:ln>
                            <a:noFill/>
                          </a:ln>
                        </wps:spPr>
                        <wps:bodyPr rot="0" vert="horz" wrap="square" lIns="91440" tIns="45720" rIns="91440" bIns="45720" anchor="t" anchorCtr="0" upright="1">
                          <a:noAutofit/>
                        </wps:bodyPr>
                      </wps:wsp>
                      <wps:wsp>
                        <wps:cNvPr id="1038153038" name="Line 47"/>
                        <wps:cNvCnPr>
                          <a:cxnSpLocks noChangeShapeType="1"/>
                        </wps:cNvCnPr>
                        <wps:spPr bwMode="auto">
                          <a:xfrm>
                            <a:off x="1205348" y="4251960"/>
                            <a:ext cx="1362710" cy="0"/>
                          </a:xfrm>
                          <a:prstGeom prst="line">
                            <a:avLst/>
                          </a:prstGeom>
                          <a:noFill/>
                          <a:ln w="0">
                            <a:solidFill>
                              <a:srgbClr val="000000"/>
                            </a:solidFill>
                            <a:prstDash val="solid"/>
                            <a:round/>
                          </a:ln>
                        </wps:spPr>
                        <wps:bodyPr/>
                      </wps:wsp>
                      <wps:wsp>
                        <wps:cNvPr id="1778637859" name="Rectangle 48"/>
                        <wps:cNvSpPr>
                          <a:spLocks noChangeArrowheads="1"/>
                        </wps:cNvSpPr>
                        <wps:spPr bwMode="auto">
                          <a:xfrm>
                            <a:off x="1205348" y="4251960"/>
                            <a:ext cx="1362710" cy="5080"/>
                          </a:xfrm>
                          <a:prstGeom prst="rect">
                            <a:avLst/>
                          </a:prstGeom>
                          <a:solidFill>
                            <a:srgbClr val="000000"/>
                          </a:solidFill>
                          <a:ln>
                            <a:noFill/>
                          </a:ln>
                        </wps:spPr>
                        <wps:bodyPr rot="0" vert="horz" wrap="square" lIns="91440" tIns="45720" rIns="91440" bIns="45720" anchor="t" anchorCtr="0" upright="1">
                          <a:noAutofit/>
                        </wps:bodyPr>
                      </wps:wsp>
                      <wps:wsp>
                        <wps:cNvPr id="1106472507" name="Line 49"/>
                        <wps:cNvCnPr>
                          <a:cxnSpLocks noChangeShapeType="1"/>
                        </wps:cNvCnPr>
                        <wps:spPr bwMode="auto">
                          <a:xfrm>
                            <a:off x="1205348" y="5745480"/>
                            <a:ext cx="1362710" cy="0"/>
                          </a:xfrm>
                          <a:prstGeom prst="line">
                            <a:avLst/>
                          </a:prstGeom>
                          <a:noFill/>
                          <a:ln w="0">
                            <a:solidFill>
                              <a:srgbClr val="000000"/>
                            </a:solidFill>
                            <a:prstDash val="solid"/>
                            <a:round/>
                          </a:ln>
                        </wps:spPr>
                        <wps:bodyPr/>
                      </wps:wsp>
                      <wps:wsp>
                        <wps:cNvPr id="968369375" name="Rectangle 50"/>
                        <wps:cNvSpPr>
                          <a:spLocks noChangeArrowheads="1"/>
                        </wps:cNvSpPr>
                        <wps:spPr bwMode="auto">
                          <a:xfrm>
                            <a:off x="1205348" y="5745480"/>
                            <a:ext cx="1362710" cy="5080"/>
                          </a:xfrm>
                          <a:prstGeom prst="rect">
                            <a:avLst/>
                          </a:prstGeom>
                          <a:solidFill>
                            <a:srgbClr val="000000"/>
                          </a:solidFill>
                          <a:ln>
                            <a:noFill/>
                          </a:ln>
                        </wps:spPr>
                        <wps:bodyPr rot="0" vert="horz" wrap="square" lIns="91440" tIns="45720" rIns="91440" bIns="45720" anchor="t" anchorCtr="0" upright="1">
                          <a:noAutofit/>
                        </wps:bodyPr>
                      </wps:wsp>
                      <wps:wsp>
                        <wps:cNvPr id="152574776" name="Line 51"/>
                        <wps:cNvCnPr>
                          <a:cxnSpLocks noChangeShapeType="1"/>
                        </wps:cNvCnPr>
                        <wps:spPr bwMode="auto">
                          <a:xfrm>
                            <a:off x="1679693" y="539750"/>
                            <a:ext cx="2104390" cy="0"/>
                          </a:xfrm>
                          <a:prstGeom prst="line">
                            <a:avLst/>
                          </a:prstGeom>
                          <a:noFill/>
                          <a:ln w="0">
                            <a:solidFill>
                              <a:srgbClr val="000000"/>
                            </a:solidFill>
                            <a:prstDash val="solid"/>
                            <a:round/>
                          </a:ln>
                        </wps:spPr>
                        <wps:bodyPr/>
                      </wps:wsp>
                      <wps:wsp>
                        <wps:cNvPr id="1376477927" name="Rectangle 52"/>
                        <wps:cNvSpPr>
                          <a:spLocks noChangeArrowheads="1"/>
                        </wps:cNvSpPr>
                        <wps:spPr bwMode="auto">
                          <a:xfrm>
                            <a:off x="1679693" y="539750"/>
                            <a:ext cx="2104390" cy="5080"/>
                          </a:xfrm>
                          <a:prstGeom prst="rect">
                            <a:avLst/>
                          </a:prstGeom>
                          <a:solidFill>
                            <a:srgbClr val="000000"/>
                          </a:solidFill>
                          <a:ln>
                            <a:noFill/>
                          </a:ln>
                        </wps:spPr>
                        <wps:bodyPr rot="0" vert="horz" wrap="square" lIns="91440" tIns="45720" rIns="91440" bIns="45720" anchor="t" anchorCtr="0" upright="1">
                          <a:noAutofit/>
                        </wps:bodyPr>
                      </wps:wsp>
                      <wps:wsp>
                        <wps:cNvPr id="1437833649" name="Line 53"/>
                        <wps:cNvCnPr>
                          <a:cxnSpLocks noChangeShapeType="1"/>
                        </wps:cNvCnPr>
                        <wps:spPr bwMode="auto">
                          <a:xfrm>
                            <a:off x="4137778" y="2752725"/>
                            <a:ext cx="1395730" cy="0"/>
                          </a:xfrm>
                          <a:prstGeom prst="line">
                            <a:avLst/>
                          </a:prstGeom>
                          <a:noFill/>
                          <a:ln w="0">
                            <a:solidFill>
                              <a:srgbClr val="000000"/>
                            </a:solidFill>
                            <a:prstDash val="solid"/>
                            <a:round/>
                          </a:ln>
                        </wps:spPr>
                        <wps:bodyPr/>
                      </wps:wsp>
                      <wps:wsp>
                        <wps:cNvPr id="1550385822" name="Rectangle 54"/>
                        <wps:cNvSpPr>
                          <a:spLocks noChangeArrowheads="1"/>
                        </wps:cNvSpPr>
                        <wps:spPr bwMode="auto">
                          <a:xfrm>
                            <a:off x="4137778" y="2752725"/>
                            <a:ext cx="1395730" cy="5715"/>
                          </a:xfrm>
                          <a:prstGeom prst="rect">
                            <a:avLst/>
                          </a:prstGeom>
                          <a:solidFill>
                            <a:srgbClr val="000000"/>
                          </a:solidFill>
                          <a:ln>
                            <a:noFill/>
                          </a:ln>
                        </wps:spPr>
                        <wps:bodyPr rot="0" vert="horz" wrap="square" lIns="91440" tIns="45720" rIns="91440" bIns="45720" anchor="t" anchorCtr="0" upright="1">
                          <a:noAutofit/>
                        </wps:bodyPr>
                      </wps:wsp>
                      <wps:wsp>
                        <wps:cNvPr id="1740782408" name="Line 55"/>
                        <wps:cNvCnPr>
                          <a:cxnSpLocks noChangeShapeType="1"/>
                        </wps:cNvCnPr>
                        <wps:spPr bwMode="auto">
                          <a:xfrm>
                            <a:off x="4137778" y="4251960"/>
                            <a:ext cx="1395730" cy="0"/>
                          </a:xfrm>
                          <a:prstGeom prst="line">
                            <a:avLst/>
                          </a:prstGeom>
                          <a:noFill/>
                          <a:ln w="0">
                            <a:solidFill>
                              <a:srgbClr val="000000"/>
                            </a:solidFill>
                            <a:prstDash val="solid"/>
                            <a:round/>
                          </a:ln>
                        </wps:spPr>
                        <wps:bodyPr/>
                      </wps:wsp>
                      <wps:wsp>
                        <wps:cNvPr id="127948840" name="Rectangle 56"/>
                        <wps:cNvSpPr>
                          <a:spLocks noChangeArrowheads="1"/>
                        </wps:cNvSpPr>
                        <wps:spPr bwMode="auto">
                          <a:xfrm>
                            <a:off x="4137778" y="4251960"/>
                            <a:ext cx="1395730" cy="5080"/>
                          </a:xfrm>
                          <a:prstGeom prst="rect">
                            <a:avLst/>
                          </a:prstGeom>
                          <a:solidFill>
                            <a:srgbClr val="000000"/>
                          </a:solidFill>
                          <a:ln>
                            <a:noFill/>
                          </a:ln>
                        </wps:spPr>
                        <wps:bodyPr rot="0" vert="horz" wrap="square" lIns="91440" tIns="45720" rIns="91440" bIns="45720" anchor="t" anchorCtr="0" upright="1">
                          <a:noAutofit/>
                        </wps:bodyPr>
                      </wps:wsp>
                      <wps:wsp>
                        <wps:cNvPr id="1019185887" name="Line 57"/>
                        <wps:cNvCnPr>
                          <a:cxnSpLocks noChangeShapeType="1"/>
                        </wps:cNvCnPr>
                        <wps:spPr bwMode="auto">
                          <a:xfrm>
                            <a:off x="4137778" y="5745480"/>
                            <a:ext cx="1395730" cy="0"/>
                          </a:xfrm>
                          <a:prstGeom prst="line">
                            <a:avLst/>
                          </a:prstGeom>
                          <a:noFill/>
                          <a:ln w="0">
                            <a:solidFill>
                              <a:srgbClr val="000000"/>
                            </a:solidFill>
                            <a:prstDash val="solid"/>
                            <a:round/>
                          </a:ln>
                        </wps:spPr>
                        <wps:bodyPr/>
                      </wps:wsp>
                      <wps:wsp>
                        <wps:cNvPr id="466054968" name="Rectangle 58"/>
                        <wps:cNvSpPr>
                          <a:spLocks noChangeArrowheads="1"/>
                        </wps:cNvSpPr>
                        <wps:spPr bwMode="auto">
                          <a:xfrm>
                            <a:off x="4137778" y="5745480"/>
                            <a:ext cx="1395730" cy="5080"/>
                          </a:xfrm>
                          <a:prstGeom prst="rect">
                            <a:avLst/>
                          </a:prstGeom>
                          <a:solidFill>
                            <a:srgbClr val="000000"/>
                          </a:solidFill>
                          <a:ln>
                            <a:noFill/>
                          </a:ln>
                        </wps:spPr>
                        <wps:bodyPr rot="0" vert="horz" wrap="square" lIns="91440" tIns="45720" rIns="91440" bIns="45720" anchor="t" anchorCtr="0" upright="1">
                          <a:noAutofit/>
                        </wps:bodyPr>
                      </wps:wsp>
                    </wpc:wpc>
                  </a:graphicData>
                </a:graphic>
              </wp:anchor>
            </w:drawing>
          </mc:Choice>
          <mc:Fallback>
            <w:pict>
              <v:group id="画布 1" o:spid="_x0000_s1026" o:spt="203" style="position:absolute;left:0pt;margin-left:-78.6pt;margin-top:-78.45pt;height:586.2pt;width:506.3pt;z-index:251660288;mso-width-relative:page;mso-height-relative:page;" coordsize="6430010,7444740" editas="canvas" o:gfxdata="UEsDBAoAAAAAAIdO4kAAAAAAAAAAAAAAAAAEAAAAZHJzL1BLAwQUAAAACACHTuJAaUtxj90AAAAO&#10;AQAADwAAAGRycy9kb3ducmV2LnhtbE2PwU7DMAyG70i8Q2QkLmhLOpGxlaY7TEJMCGmiYztnTWgr&#10;Gqdrsna8PYYL3Gz50+/vz1YX17LB9qHxqCCZCmAWS28arBS8754mC2AhajS69WgVfNkAq/z6KtOp&#10;8SO+2aGIFaMQDKlWUMfYpZyHsrZOh6nvLNLtw/dOR1r7iptejxTuWj4TYs6dbpA+1Lqz69qWn8XZ&#10;KRjL7XDYvT7z7d1h4/G0Oa2L/YtStzeJeAQW7SX+wfCjT+qQk9PRn9EE1iqYJPJhRuzvNF8CI2Yh&#10;5T2wI8EikRJ4nvH/NfJvUEsDBBQAAAAIAIdO4kAhSMTifgkAAGZwAAAOAAAAZHJzL2Uyb0RvYy54&#10;bWztXduO28gRfQ+QfyD0Hg/73i14vFjYsbGAkyzizQdwJOqCSKRCaqzxvu4v7McEyPcE+Y2c7pZE&#10;mqTWmh1M0wbaD2NdKIrdfXiq6lR16eV3D9tN8jGv6nVZ3E7Ii3SS5MWsnK+L5e3kHz+9/ZOeJPU+&#10;K+bZpizy28mnvJ589+qPf3h52E1zWq7KzTyvEpykqKeH3e1ktd/vpjc39WyVb7P6RbnLC7y5KKtt&#10;tsfTankzr7IDzr7d3NA0lTeHsprvqnKW1zVefePfnBzPWF1zwnKxWM/yN+XsfpsXe3/WKt9kewyp&#10;Xq139eSVu9rFIp/t/7ZY1Pk+2dxOMNK9+4svweM7+/fm1ctsuqyy3Wo9O15Cds0ldMa0zdYFvvR8&#10;qjfZPkvuq3XvVNv1rCrrcrF/MSu3N34gbkYwCpJ25uZdVd7v3FiW08Nyd550LFRn1n/3aWd//fhj&#10;laznQIKhhBjFuZokRbbFyv/v1//899+/JMRO0mG3nOLYd9Xuw+7H6vjC0j+z435YVFv7P0aUPLjp&#10;/XSe3vxhn8zwouQsxSAnyQzv4Yu44scFmK2wSr3PzVZ//sInb05ffGOv73w5hx2gWTfzVT9tvj6s&#10;sl3ulqG2c3CaL4WxcKO0PM3X34G2rFhu8kT7KXOH2/myM1Pv3pezf9ZJUb5e4aj8+6oqD6s8m+Pq&#10;3BRjDK0P2Cc1PprcHf5SzrEa2f2+dBDrTDUXmuGW7U+3EJwJcZpuZhQhwl7XedKy6a6q9+/ycpvY&#10;B7eTCgNwX5F9fF/v/aGnQ9wQys16/na92bgn1fLu9aZKPma4td66f8ez1+3DNoU9uCjtx/wZ7Stu&#10;rHZ4Fln19K6cf8JQq9Lfn2AnPFiV1c+T5IB783ZS/+s+q/JJsvmhwHQZwoGcZO+ecKEonlTtd+7a&#10;72TFDKe6newniX/4eu8J4H5XrZcrfBNxgy7K7zHFi7UbeHNVx4sFnvy1Pj+wOKGSay5IH1gmILAA&#10;F+6BRSWRoG773dn0dDcrSSUT/mYmknP5RHCdIZJNr8LM/uHuARfULNRvwKeAJTuB5wycM2jwwAMG&#10;Dy6BxSF+ZwHydnSAUA34p7ih+/gAux7nBET17MyDq0gZc9xDdaoY4PAZRAwR6RkiXBkRIRKIQ+BM&#10;MJ0a3LUDGDka9JaxeT7r1JAIM4LSk8E/kQgYJJKItX0jWBkuJBjeUrx39xr3hdCALNIghNuHXQ6J&#10;ZuboHQVHiEqNkPAah8wMCwgQLlItifdEEEFIoTqeiNSILE6eSDQzNvQJZGaEFEQx04SMLQ7hASHS&#10;cIiQqT76GdFVHd9VJdpQY0SqBoJkH41a/z2Er0o0Ecb7qkLDbzUdEiFMURpZZAxXhNpw3hiiBgJe&#10;IkehEUVSylUnnNGIg88IiRFvQDtDDeeMGD3kq6qAAOFE2pDXRbyDECFUpTGgGSWgMYpJkcIdGYhn&#10;QuqxhGoFZcxhRCjDWZdGCMXLZx6J/mpAHoFSzJlE/NAPeUMqq9RIKDMnZ4TCg+5YGkJ4gxDBrIgG&#10;Ye33C/dRW+0n14azOsIoOKypoX2IQEsLp60SSpWwXGZTZSm4rQeRaGnGEkYQSqRIrFm5u8cjNKS4&#10;2uaRQZBEj3U0jEhCmIQrOGBr6DjyqqJCCJ8gaqSRaGnGQggIRPK0VW7RaGc0pLxKUMdA9dHSRIh8&#10;TYleGBrNlTSGDxiakPqqoFK6yMp6I1Qht9hxWKngTdjLaKqdrxQd1ucvQxKwMinjeshhdYsUSGBt&#10;O6yc2PKVDkSipRnL0hBlKBT4VA1k8mhIfbXtryJrJAXtYAQc0tBIVFgDKiNEI8fKkEeDI9AtB6Ah&#10;JdY2RlAQAOmjg5FYEDAaj2gUdDEN8z+AkaASqxBGqnNFQKq7GIkVAWNhhEI6I1LAAxjAyFgaK2cM&#10;sO3wSPRHxsII0ZQbyyUDPisbS2SF40GID1uiOjJ+4QjSIwapVMkHNFY2lsaK4qI+j0R/ZDQegXPI&#10;FGdDZQEsqMbaStbAidaoQLOposgj4/MIIhqlEWcCD724BlsXwiX02nFNxIjbcFV/LftpjMY+vkGE&#10;hBRZ2wra4I6r6LGOZWls3R9SI3BO+yTiqD6QyNomEUCEEF+T0BiamPAdDyKScsqHdgOzkBorkYRT&#10;6xEhVTO4KQ/bZZsq1lh9FlBjVSnS7yhDHyhzZmNJrMj8ouKpWwsfy8/8jvTge66Q8VVSM6kHUjXY&#10;5R/OXW121HBsqOlu24yeyFhmhkps6qVDW79ZSHWVKGzKs3kAWxDQ7w1ATNok8rCRIn1q54lYwHpt&#10;AasRxDCDXXB9V9XfxaFcVYFc7rGAlaFWtZvqZZqcU70RIa5fTaBNmy7VCxcxNQMQCSmtAgKpsgln&#10;kMgwRCh4xHcYiRAJChH0e8FmSNesqVsNwEMqq9bU+VgG6SK7cSPKql9FCxqCKgDoVXJgWy8Pqari&#10;OlJNPUKw7Yr3dvXCXUJ5gOcQRhjq9i2EYmHi8xcmaviHhqohIxNSVbV+BpcnhGBPTeSQr0R255Kj&#10;JRAUy5Mb8n5d5AkSvk2U+7rwvfNmD8WHTvs8t33rp087dMZzPsupe57/iHVyr+qeBwVVoHrWy2VK&#10;UGyS6NgYJlHwDOHXNi102LlMHhsMwGU2LvTP+yyKSQ72fK7cvN0vr2631cNmY/w7MtZnbfVsW743&#10;Wb3y7ffcW/660TKymHuKu9hoz75tZyhcoxCCJi4p1xrOQ09B50Hl0Uett1BPDVw/W7Qr1/aq9nex&#10;ZWK7FyfqMlCaiL8neHkuaauqYbmEU8ThsmtrIpc8qlHt8BZdotBzlSGrP+RaBNVIW1zy5fWGYHZi&#10;8lMH11Nv1Se3X71sJyKX5BfbK1+AF0klhxuQniV4zyVteTUslwjF0Yk1csmTml4PL7axyRZjW3T0&#10;3BLs3G0c0edupdp2Q7+83JFKvpFOzigaUVw1zc8ckyD/2wArAJNIZQBxF+EIJHs9rpuSEYou5gy6&#10;SQxwrmvKP0wkaB8Hq4GNdmer0WznRp17s+DPziSPWe5IJN8IkaCLlGboF3B2eT2TtKXW52cSDpDD&#10;9/4trcSgZ02kkmt/3+MCldjeMlpotAnpOyUhpdPHrXfUSr4RLsGvrijswGoqBDyXhNVd29i6EDtH&#10;LnnMbwVd4BIkYKzsOlC4LELKro9b7uiWfCNUkhJDYKmaakVPJWFl1za2LsTOkUqeTiUcfWYEh2Ay&#10;4JWEVF0ft9yRSp5MJUgVup+fc2UTx5/Ks79v137uEorNzwO++j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0CwAAW0NvbnRlbnRfVHlwZXNdLnht&#10;bFBLAQIUAAoAAAAAAIdO4kAAAAAAAAAAAAAAAAAGAAAAAAAAAAAAEAAAANYKAABfcmVscy9QSwEC&#10;FAAUAAAACACHTuJAihRmPNEAAACUAQAACwAAAAAAAAABACAAAAD6CgAAX3JlbHMvLnJlbHNQSwEC&#10;FAAKAAAAAACHTuJAAAAAAAAAAAAAAAAABAAAAAAAAAAAABAAAAAAAAAAZHJzL1BLAQIUABQAAAAI&#10;AIdO4kBpS3GP3QAAAA4BAAAPAAAAAAAAAAEAIAAAACIAAABkcnMvZG93bnJldi54bWxQSwECFAAU&#10;AAAACACHTuJAIUjE4n4JAABmcAAADgAAAAAAAAABACAAAAAsAQAAZHJzL2Uyb0RvYy54bWxQSwUG&#10;AAAAAAYABgBZAQAAHA0AAAAA&#10;">
                <o:lock v:ext="edit" aspectratio="f"/>
                <v:shape id="画布 1" o:spid="_x0000_s1026" style="position:absolute;left:0;top:0;height:7444740;width:6430010;" filled="f" stroked="f" coordsize="21600,21600" o:gfxdata="UEsDBAoAAAAAAIdO4kAAAAAAAAAAAAAAAAAEAAAAZHJzL1BLAwQUAAAACACHTuJAaUtxj90AAAAO&#10;AQAADwAAAGRycy9kb3ducmV2LnhtbE2PwU7DMAyG70i8Q2QkLmhLOpGxlaY7TEJMCGmiYztnTWgr&#10;Gqdrsna8PYYL3Gz50+/vz1YX17LB9qHxqCCZCmAWS28arBS8754mC2AhajS69WgVfNkAq/z6KtOp&#10;8SO+2aGIFaMQDKlWUMfYpZyHsrZOh6nvLNLtw/dOR1r7iptejxTuWj4TYs6dbpA+1Lqz69qWn8XZ&#10;KRjL7XDYvT7z7d1h4/G0Oa2L/YtStzeJeAQW7SX+wfCjT+qQk9PRn9EE1iqYJPJhRuzvNF8CI2Yh&#10;5T2wI8EikRJ4nvH/NfJvUEsDBBQAAAAIAIdO4kAwlTxlLAkAANpvAAAOAAAAZHJzL2Uyb0RvYy54&#10;bWztXV1v20YWfV+g/4HQe2PO94wRpygcpCiQ7hab7g+gJcoSViJVUrac/fV7ZkYSaWqU2HU9TIDJ&#10;gyOZNEVyDs+999wPvf3pYb3K7sumXdbV1YS8ySdZWU3r2bK6vZr8548PP+pJ1m6Lalas6qq8mnwu&#10;28lP7374x9vd5rKk9aJezcomw0Gq9nK3uZosttvN5cVFO12U66J9U2/KChvndbMutnjb3F7MmmKH&#10;o69XFzTP5cWubmabpp6WbYvfvvcbJ/sjNk85YD2fL6fl+3p6ty6rrT9qU66KLS6pXSw37eSdO9v5&#10;vJxu/zWft+U2W11NcKVb9xMfgtc39ufFu7fF5W1TbBbL6f4UiqecwuCa1sWywoceD/W+2BbZXbM8&#10;OdR6OW3qtp5v30zr9YW/EHdHcBUkH9yb66K6L/zFTHGvDyeIV3/jcW9u7XlX9YflaoW7cYGjX9rf&#10;2f93WO3Sbl5Vj3fyv3H77vfZbQCHdnMERvuyU/y0KDalW8b2cvrP+9+bbDkDWhVuEjdKy0lWFWug&#10;899Y4aK6XZWZtmtpzwK7f9r83tgTbjcf6+l/26yqrxfYq/y5aerdoixmODti98cV9P7Avmnxp9nN&#10;7rd6hqMXd9vaLevDvFnbA2LBsoerCRea4TH5fERQ+bDNptggBGdCAFxTbFPMKEKE+5zi8nCITdNu&#10;fynrdWZfXE0aXID7iOL+Y7u1p1RcHnZxl1CvljO7Nu5Nc3tzvWqy+wJw/uD+7Y/e9nc7u1r+8vxt&#10;uqlnn3GpTe2fCTACXizq5n+TbIfn4WrS/nlXNOUkW/1a4XYZwrl9gNwbLhTFm6a/5aa/paimONTV&#10;ZDvJ/MvrrX/o7jbN8naBTyLuoqv6Z9zi+dJduL39/qz2CwM8+XN9fWBxQiXXXJBTYJmIwAJcuAcW&#10;lUSCLu1nF5cHeClJJRMeXURyLl8IruNT/4UnvI+Z7cPNw/4p+yp8KliPA3iOwDmCBi88YPDiHFgc&#10;4jcWIB9GBwjVgH+OB/oUH8Qt0iMieUXmwVnkjDnuoTpXDHB4BBFDRH6ECFdGJIhE4hAYcKZzg6c2&#10;gBFnbSJhpCMRZgSloO1HCAGDJBKxtm8EK8OFBMNbih+6L4SOYma4BcuQQ5KZGcsPUbkREl5jyMyw&#10;iADhIteSeE+Es1wKNSQRLS1snJ9LkpmxoU8kMyOkIIgseAgiPCJEOisjZK73fkZyVcd3VYk21BiR&#10;q0CQ7KPRSH4IJ5oI431VoeG3mgGJEKYoTSwyhitCbThvDFGBgJfIUWhEkZxyNQhnNOLgI0JSxBvR&#10;zlDDOSNGh3xVFREgnEgb8rqINwgRQlWeAppRAhqjmBQ53JFAPBNTjyVUKyhjDiNCGc6GNEIofn3k&#10;keSvRuQRKMWcScQPpyFvTGWVGgll5uCMUHjQA0tDCO8QIpgV0SCbQI3/i8J90lZPE1rhrI4wCg5r&#10;bugpRKCl7fXmCFkdQqkSlsts7iYHt51AJFmasYQRhBI5EmtW7j7hERpTXO3zSBAkyWMdDSOSECbh&#10;CgZsDR1HXlVUCOETRJ00kizNWAgBgUie85B2RmPKq7aOgeq9pUkQ+ZYSvTA0mitpDA8Ympj6qqBS&#10;usjKeiNUIbc4cFip4F3Yy2iuna+UHNbXL0MSsDI54zrksLpFiiSw9h1WTmz5ygAiydKMZWmIMhQK&#10;fK4CaRoaU1/t+6vIGklBBxgBh3Q0khTWiMoI0cixMuTR4AgMywFoTIm1jxEUBED6GGAkFQSMxiMa&#10;BV1Mw/wHMBJVYhXCSHWsCMj1ECMyVQSMVLxKIZ0RKeABBDAylsbKGQNsBzyS/JHxeIRyY7kk4LOy&#10;sURWOB6E+LAlqSPjF44gPWKQSpU8oLGysTRWFBed8kjyR0bjETiHTHEWKgtgUTXWXrIGTrRGBZpN&#10;FSUeGZ9HENEojTgTeDiJa9C6EC+h149rEkZcw1X7rfTTGI0+viBCYoqsfQUt2HGVPNaxLI2t+0Nq&#10;BM7pKYk4qo8ksvZJBBAhxNckdIYmJXzHg4iknPJQNzCLqbESSTi1HhFSNcGmPLTLdlWsqfososaq&#10;cqTfUYYeKHNmY0msyPyi4mlYC5/Kz0aSz5DxVVIzqQOpGnT5x3NXu44ajoaaYdtm8kTGMjNUoqmX&#10;hlq/WUx1lSg05dk8gC0IOJ0NQEzeJfLQSJG/dPJEKmB9agGrEcQwgy64U1fVP8WxXFWBXO6+gJWh&#10;VnWY6mWaHFO9CSFuXk2kpk2X6oWLmJsARGJKq4BArmzCGSQShggFj/i+3gSRqBDBvBc0Q4JzAhCJ&#10;qaxaU+djGaSLbONGklW/iRE0BFUA0KtkoK2Xx1RVcR65ph4haLviJ129cJdQHuA5hBGGun0LoVSY&#10;+PqFiRr+oaEqZGRiqqrWz+DygBD01CQO+UZkdy45RgJBsTzYmI/LqsyQ8O2i3OvKz86bPlSfBuPz&#10;XPvWH583mIznfJbD9Dz/J9bJfdL0PCioAtWzXi5TgqJJYmBjmETBM+ygnaLnsHOePFa4gC/Nz3sU&#10;xWQ7ezxXbt6fl9f2x+qh2Rj/9oz1aKyeHcv3vmgXfvye2+TPu6nvqpmnODt6z90Weye8c+llDbvZ&#10;3qF4g0IIhrjkXGseSMPxqPLos9ZbqJcGro8W7Ylrm0YmlmfHkIa7NlEmCl0VfbJ4kH31queSvqoa&#10;l0s4RRwuh7YmccmzZs6eWWyFmasMWf2QaxFVI+1xydfXG4LZgcn/Yhd34hJvs155ri/JJYcbkB8l&#10;eM8lfXk1LpcIxTGJNXHJcLz338AlxiZbjB3RcZLYR+du54i+9hDnvhv69eVOVPKdTHJG0Yjiqht+&#10;5pgE+d8OWBGYRCoDiLsIRyDZ63HdlYxQTDFn0E1SgPO0QfhnnBKmYDXQaHe0Gt00eNS5dwv+6kzy&#10;nOVORPKdEAmmSGmGeQFHl9czSV9qfX0m4ZiRCN/7S1qJwcyaRCVP/U6NM1RiZ8tooTEm5NQpiSmd&#10;Pm+9k1bynXCJ4rnSmMT+WCvxiZF9cUBcLjkTOycuec7385zhEiRgrOwayOOKmLJrn0q+vtzJLflO&#10;qCQnhsBSddWK3i2JK7v2sXUmdk5U8nIq4ZgzIzgEk4BXElN1fd5yJyp5MZUgVTi13/jmyib2X09n&#10;v1Ou/94lFLuv5Hv3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KILAABbQ29udGVudF9UeXBlc10ueG1sUEsBAhQACgAAAAAAh07iQAAAAAAAAAAA&#10;AAAAAAYAAAAAAAAAAAAQAAAAhAoAAF9yZWxzL1BLAQIUABQAAAAIAIdO4kCKFGY80QAAAJQBAAAL&#10;AAAAAAAAAAEAIAAAAKgKAABfcmVscy8ucmVsc1BLAQIUAAoAAAAAAIdO4kAAAAAAAAAAAAAAAAAE&#10;AAAAAAAAAAAAEAAAAAAAAABkcnMvUEsBAhQAFAAAAAgAh07iQGlLcY/dAAAADgEAAA8AAAAAAAAA&#10;AQAgAAAAIgAAAGRycy9kb3ducmV2LnhtbFBLAQIUABQAAAAIAIdO4kAwlTxlLAkAANpvAAAOAAAA&#10;AAAAAAEAIAAAACwBAABkcnMvZTJvRG9jLnhtbFBLBQYAAAAABgAGAFkBAADKDAAAAAA=&#10;">
                  <v:fill on="f" focussize="0,0"/>
                  <v:stroke on="f"/>
                  <v:imagedata o:title=""/>
                  <o:lock v:ext="edit" aspectratio="t"/>
                </v:shape>
                <v:rect id="Rectangle 8" o:spid="_x0000_s1026" o:spt="1" style="position:absolute;left:45838;top:0;height:7397115;width:5543550;" fillcolor="#FFFFFF" filled="t" stroked="f" coordsize="21600,21600" o:gfxdata="UEsDBAoAAAAAAIdO4kAAAAAAAAAAAAAAAAAEAAAAZHJzL1BLAwQUAAAACACHTuJA0+BMVdoAAAAO&#10;AQAADwAAAGRycy9kb3ducmV2LnhtbE2PwU7DMAyG70i8Q2QkblvSsZStNN0BaSfgwIbE1WuytqJx&#10;SpNt5e0xXOBmy59+f3+5mXwvzm6MXSAD2VyBcFQH21Fj4G2/na1AxIRksQ/kDHy5CJvq+qrEwoYL&#10;vbrzLjWCQygWaKBNaSikjHXrPMZ5GBzx7RhGj4nXsZF2xAuH+14ulMqlx474Q4uDe2xd/bE7eQOY&#10;L+3ny/Huef90ynHdTGqr35UxtzeZegCR3JT+YPjRZ3Wo2OkQTmSj6A3MMn2/YPZ3ytcgmFlpvQRx&#10;YFhlWoOsSvm/RvUNUEsDBBQAAAAIAIdO4kAhcylqHgIAADcEAAAOAAAAZHJzL2Uyb0RvYy54bWyt&#10;U8Fu2zAMvQ/YPwi6r46TuEmMOEWRoMOAbi3W7QMUWY6FyaJGKXG6rx8lp1nWXXqYD4YoUo98T0/L&#10;m2Nn2EGh12Arnl+NOFNWQq3truLfv919mHPmg7C1MGBVxZ+V5zer9++WvSvVGFowtUJGINaXvat4&#10;G4Irs8zLVnXCX4FTlpINYCcChbjLahQ9oXcmG49G11kPWDsEqbyn3c2Q5CdEfAsgNI2WagNy3ykb&#10;BlRURgSi5FvtPF+laZtGyfDQNF4FZipOTEP6UxNab+M/Wy1FuUPhWi1PI4i3jPCKUye0paZnqI0I&#10;gu1R/wPVaYngoQlXErpsIJIUIRb56JU2T61wKnEhqb07i+7/H6z8cnhEpmtywowGmC5m82vOrOjo&#10;5r+SesLujGLzqFPvfEnlT+4RI1Pv7kH+8MzCuqUqdYsIfatETdPlsT7760AMPB1l2/4z1IQu9gGS&#10;ZMcGuwhIYrBjxafFfEIWfD7fjjoGJilRFNNJUdDFScrNJotZnhepjyhfIBz68FFBx+Ki4kgEUgtx&#10;uPchjiTKl5JEAYyu77QxKcDddm2QHQRZ5S59J3R/WWZsLLYQjw2IcSdxjfQGmbZQPxNVhMFv9Npo&#10;0QL+4qwnr1Xc/9wLVJyZT5bkWuTTaTRnCqbFbEwBXma2lxlhJUFVPHA2LNdhMPTeod611ClPpC3c&#10;ksSNTsSj/MNUp2HJT0mPk/ejYS/jVPXnva9+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PgTFXa&#10;AAAADgEAAA8AAAAAAAAAAQAgAAAAIgAAAGRycy9kb3ducmV2LnhtbFBLAQIUABQAAAAIAIdO4kAh&#10;cylqHgIAADcEAAAOAAAAAAAAAAEAIAAAACkBAABkcnMvZTJvRG9jLnhtbFBLBQYAAAAABgAGAFkB&#10;AAC5BQAAAAA=&#10;">
                  <v:fill on="t" focussize="0,0"/>
                  <v:stroke on="f"/>
                  <v:imagedata o:title=""/>
                  <o:lock v:ext="edit" aspectratio="f"/>
                </v:rect>
                <v:rect id="Rectangle 9" o:spid="_x0000_s1026" o:spt="1" style="position:absolute;left:11548;top:2616200;height:164465;width:762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1xc2PAgIAAP8DAAAOAAAAZHJzL2Uyb0RvYy54bWyt&#10;U8Fu2zAMvQ/YPwi6L44zx+uMOEXRIMOAbi3W7QMUWY6FyaJAKbGzrx8lJ93aXXrYRaAk8pHv6Wl1&#10;PfaGHRV6Dbbm+WzOmbISGm33Nf/xffvuijMfhG2EAatqflKeX6/fvlkNrlIL6MA0ChmBWF8NruZd&#10;CK7KMi871Qs/A6csXbaAvQi0xX3WoBgIvTfZYj4vswGwcQhSeU+nm+mSnxHxNYDQtlqqDchDr2yY&#10;UFEZEYiS77TzfJ2mbVslw33behWYqTkxDWmlJhTv4pqtV6Lao3CdlucRxGtGeMGpF9pS0yeojQiC&#10;HVD/A9VrieChDTMJfTYRSYoQi3z+QpvHTjiVuJDU3j2J7v8frPx6fECmG3JCkS/K4qpY5pxZ0dPL&#10;fyP1hN0bxT5GnQbnK0p/dA8YmXp3B/KnZxZuO8pSN4gwdEo0NF0e87NnBXHjqZTthi/QELo4BEiS&#10;jS32EZDEYCPV5suCLHiq+aLMS3LM9EZqDEzS9YdyUb5fciYpIS+LolymXqK6wDj04ZOCnsWg5kgk&#10;UhtxvPMhjiWqS0rsamGrjUk2MPbZASXGk0QjTj4pEMbdeBZjB82JCCFMrqI/RUEH+IuzgRxVc0sf&#10;iDPz2ZIk0XyXAC/B7hIIK6mw5oGzKbwNyaST0Dck1Van4aOMU9/zZOSLxOns4Wi8v/cp68+/Xf8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QF/ydoAAAAOAQAADwAAAAAAAAABACAAAAAiAAAAZHJz&#10;L2Rvd25yZXYueG1sUEsBAhQAFAAAAAgAh07iQPXFzY8CAgAA/wMAAA4AAAAAAAAAAQAgAAAAKQEA&#10;AGRycy9lMm9Eb2MueG1sUEsFBgAAAAAGAAYAWQEAAJ0FAAAAAA==&#10;">
                  <v:fill on="f" focussize="0,0"/>
                  <v:stroke on="f"/>
                  <v:imagedata o:title=""/>
                  <o:lock v:ext="edit" aspectratio="f"/>
                  <v:textbox inset="0mm,0mm,0mm,0mm" style="mso-fit-shape-to-text:t;">
                    <w:txbxContent>
                      <w:p w14:paraId="71891C05">
                        <w:r>
                          <w:rPr>
                            <w:rFonts w:hint="eastAsia" w:ascii="宋体" w:cs="宋体"/>
                            <w:color w:val="000000"/>
                            <w:kern w:val="0"/>
                            <w:sz w:val="20"/>
                            <w:szCs w:val="20"/>
                          </w:rPr>
                          <w:t>招  标  人：</w:t>
                        </w:r>
                      </w:p>
                    </w:txbxContent>
                  </v:textbox>
                </v:rect>
                <v:rect id="Rectangle 10" o:spid="_x0000_s1026" o:spt="1" style="position:absolute;left:4400033;top:2807335;height:147955;width:9150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A/SEaRAgIAAAEEAAAOAAAAZHJzL2Uyb0RvYy54bWyt&#10;U8tu2zAQvBfoPxC815L8aGLBchDEcFEgbYOm/QCaoiyiFJdY0pbcr++SspMmveTQi7Akl7Mzo+Hq&#10;ZugMOyr0GmzFi0nOmbISam33Ff/5Y/vhmjMfhK2FAasqflKe36zfv1v1rlRTaMHUChmBWF/2ruJt&#10;CK7MMi9b1Qk/AacsHTaAnQi0xH1Wo+gJvTPZNM8/Zj1g7RCk8p52N+MhPyPiWwChabRUG5CHTtkw&#10;oqIyIpAk32rn+TqxbRolw7em8SowU3FSGtKXhlC9i99svRLlHoVrtTxTEG+h8EpTJ7SloU9QGxEE&#10;O6D+B6rTEsFDEyYSumwUkhwhFUX+ypvHVjiVtJDV3j2Z7v8frPx6fECm64pPr+fzPJ8trzizoqMf&#10;/53ME3ZvFCuST73zJbU/ugeMSr27B/nLMwt3LbWpW0ToWyVqYldEX7MXF+LC01W2679ATfDiECBZ&#10;NjTYRUAygw0Vjyzy2YyzU+SUX81mi/EvqSEwSQ3LYpHTHpPUUMyvlot0nonyAuTQh08KOhaLiiPp&#10;SIPE8d6HSEyUl5Y418JWG5OCYOyLDWqMO0lI5B5T5csw7AbqjuUO6hNJQhhzRa+KihbwN2c9Zari&#10;lp4QZ+azJVNi/C4FXordpRBW0sWKB87G8i6kmI5W35JZW53IP889M6NkJE3nFMfo/b1OXc8vd/0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QF/ydoAAAAOAQAADwAAAAAAAAABACAAAAAiAAAAZHJz&#10;L2Rvd25yZXYueG1sUEsBAhQAFAAAAAgAh07iQD9IRpECAgAAAQQAAA4AAAAAAAAAAQAgAAAAKQEA&#10;AGRycy9lMm9Eb2MueG1sUEsFBgAAAAAGAAYAWQEAAJ0FAAAAAA==&#10;">
                  <v:fill on="f" focussize="0,0"/>
                  <v:stroke on="f"/>
                  <v:imagedata o:title=""/>
                  <o:lock v:ext="edit" aspectratio="f"/>
                  <v:textbox inset="0mm,0mm,0mm,0mm" style="mso-fit-shape-to-text:t;">
                    <w:txbxContent>
                      <w:p w14:paraId="4F430486">
                        <w:r>
                          <w:rPr>
                            <w:rFonts w:hint="eastAsia" w:ascii="宋体" w:cs="宋体"/>
                            <w:color w:val="000000"/>
                            <w:kern w:val="0"/>
                            <w:sz w:val="18"/>
                            <w:szCs w:val="18"/>
                          </w:rPr>
                          <w:t>(单位资质专用章)</w:t>
                        </w:r>
                      </w:p>
                    </w:txbxContent>
                  </v:textbox>
                </v:rect>
                <v:rect id="Rectangle 11" o:spid="_x0000_s1026" o:spt="1" style="position:absolute;left:11548;top:3952240;height:164465;width:635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SqnzzAAIAAAAEAAAOAAAAZHJzL2Uyb0RvYy54bWyt&#10;U8tu2zAQvBfoPxC817L8QiJYDoIYLgqkbdA0H0BTlEVU5BJL2pL79V1SctoklxwKCMSS3J3dGQ3X&#10;N71p2Umh12BLnk+mnCkrodL2UPKnn7tPV5z5IGwlWrCq5Gfl+c3m44d15wo1gwbaSiEjEOuLzpW8&#10;CcEVWeZlo4zwE3DK0mUNaESgLR6yCkVH6KbNZtPpKusAK4cglfd0uh0u+YiI7wGEutZSbUEejbJh&#10;QEXVikCUfKOd55s0bV0rGb7XtVeBtSUnpiGt1ITifVyzzVoUBxSu0XIcQbxnhFecjNCWmj5DbUUQ&#10;7Ij6DZTREsFDHSYSTDYQSYoQi3z6SpvHRjiVuJDU3j2L7v8frPx2ekCmq5JT//nV9Ho1I2msMPTn&#10;f5B6wh5axfI8CtU5X1D+o3vASNW7e5C/PLNw11CaukWErlGiovFSfvaiIG48lbJ99xUqghfHAEmz&#10;vkYTAUkN1lNtvlyQB88ln18vZ7PF+JNUH5ik69V8SR9nkhLy1WKxWsbZMlFcYBz68FmBYTEoORKL&#10;1Eac7n0YUi8psauFnW7b5IPWvjggzHiSaMTJBwVCv+9HMfZQnYkQwmArelQUNIC/OevIUiW39II4&#10;a79YkiS67xLgJdhfAmElFZY8cDaEdyG5dBD6lqTa6TR8lHHoO05Gxkj0RxNH5/27T1l/H+7m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EBf8naAAAADgEAAA8AAAAAAAAAAQAgAAAAIgAAAGRycy9k&#10;b3ducmV2LnhtbFBLAQIUABQAAAAIAIdO4kDSqnzzAAIAAAAEAAAOAAAAAAAAAAEAIAAAACkBAABk&#10;cnMvZTJvRG9jLnhtbFBLBQYAAAAABgAGAFkBAACbBQAAAAA=&#10;">
                  <v:fill on="f" focussize="0,0"/>
                  <v:stroke on="f"/>
                  <v:imagedata o:title=""/>
                  <o:lock v:ext="edit" aspectratio="f"/>
                  <v:textbox inset="0mm,0mm,0mm,0mm" style="mso-fit-shape-to-text:t;">
                    <w:txbxContent>
                      <w:p w14:paraId="2881C383">
                        <w:r>
                          <w:rPr>
                            <w:rFonts w:hint="eastAsia" w:ascii="宋体" w:cs="宋体"/>
                            <w:color w:val="000000"/>
                            <w:kern w:val="0"/>
                            <w:sz w:val="20"/>
                            <w:szCs w:val="20"/>
                          </w:rPr>
                          <w:t>法定代表人</w:t>
                        </w:r>
                      </w:p>
                    </w:txbxContent>
                  </v:textbox>
                </v:rect>
                <v:rect id="Rectangle 12" o:spid="_x0000_s1026" o:spt="1" style="position:absolute;left:11548;top:4115435;height:164465;width:762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raS3F/wEAAAAEAAAOAAAAZHJzL2Uyb0RvYy54bWyt&#10;U8Fu2zAMvQ/YPwi6L44zxxuMOEXRIMOAbiva9QMUWY6FWaJAKbGzrx8lJ93aXnrYRaAo6vG9J2p1&#10;NZqeHRV6Dbbm+WzOmbISGm33NX/8uf3wmTMfhG1ED1bV/KQ8v1q/f7caXKUW0EHfKGQEYn01uJp3&#10;Ibgqy7zslBF+Bk5ZOmwBjQi0xX3WoBgI3fTZYj4vswGwcQhSeU/ZzXTIz4j4FkBoWy3VBuTBKBsm&#10;VFS9CCTJd9p5vk5s21bJ8KNtvQqsrzkpDWmlJhTv4pqtV6Lao3CdlmcK4i0UXmgyQltq+gS1EUGw&#10;A+pXUEZLBA9tmEkw2SQkOUIq8vkLbx464VTSQlZ792S6/3+w8vvxDpluaBKKYlnmy6Kg97fC0Mvf&#10;k3vC7nvF8kU0anC+ovoHd4dRqne3IH95ZuGmozJ1jQhDp0RD9PJYnz27EDeerrLd8A0agheHAMmz&#10;sUUTAckNNtJdIkEcTjUvYvhxOT2SGgOTdPypXJSUY5IK8rIoynSeieoC49CHLwoMi0HNkVSkNuJ4&#10;60OkJapLSexqYav7Ps1Bb58lqDBmkozIfHIgjLvxbMYOmhMJQpjGij4VBR3gb84GGqmaW/pBnPVf&#10;LVkSp+8S4CXYXQJhJV2seeBsCm9CmtLJ6GuyaqsT+Wjj1PfMjAYjaToPcZy8f/ep6u/HXf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MQF/ydoAAAAOAQAADwAAAAAAAAABACAAAAAiAAAAZHJzL2Rv&#10;d25yZXYueG1sUEsBAhQAFAAAAAgAh07iQGtpLcX/AQAAAAQAAA4AAAAAAAAAAQAgAAAAKQEAAGRy&#10;cy9lMm9Eb2MueG1sUEsFBgAAAAAGAAYAWQEAAJoFAAAAAA==&#10;">
                  <v:fill on="f" focussize="0,0"/>
                  <v:stroke on="f"/>
                  <v:imagedata o:title=""/>
                  <o:lock v:ext="edit" aspectratio="f"/>
                  <v:textbox inset="0mm,0mm,0mm,0mm" style="mso-fit-shape-to-text:t;">
                    <w:txbxContent>
                      <w:p w14:paraId="514FFB6A">
                        <w:r>
                          <w:rPr>
                            <w:rFonts w:hint="eastAsia" w:ascii="宋体" w:cs="宋体"/>
                            <w:color w:val="000000"/>
                            <w:kern w:val="0"/>
                            <w:sz w:val="20"/>
                            <w:szCs w:val="20"/>
                          </w:rPr>
                          <w:t>或其授权人：</w:t>
                        </w:r>
                      </w:p>
                    </w:txbxContent>
                  </v:textbox>
                </v:rect>
                <v:rect id="Rectangle 13" o:spid="_x0000_s1026" o:spt="1" style="position:absolute;left:4508618;top:4306570;height:147955;width:6864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01d1SBAIAAAEEAAAOAAAAZHJzL2Uyb0RvYy54bWyt&#10;U9Fu2yAUfZ+0f0C8L7ab2EmsOFXVKNOkbqvW7QMIxjGa4SIgsbOv3wU73dq99GEv1gUu555zfNjc&#10;DqojZ2GdBF3RbJZSIjSHWupjRX98339YUeI80zXrQIuKXoSjt9v37za9KcUNtNDVwhIE0a7sTUVb&#10;702ZJI63QjE3AyM0HjZgFfO4tMektqxHdNUlN2laJD3Y2ljgwjnc3Y2HdEK0bwGEppFc7ICflNB+&#10;RLWiYx4luVYaR7eRbdMI7r82jROedBVFpT5+cQjWh/BNthtWHi0zreQTBfYWCq80KSY1Dn2G2jHP&#10;yMnKf6CU5BYcNH7GQSWjkOgIqsjSV948tcyIqAWtdubZdPf/YPmX86Mlsq7oMl3nxXqZLSnRTOGP&#10;/4bmMX3sBMnmwafeuBLbn8yjDUqdeQD+0xEN9y22iTtroW8Fq5FdFvqTFxfCwuFVcug/Q43w7OQh&#10;WjY0VgVANIMMFV3k6arIMIQXrOdpkS+nvyQGTzg2FKtiMc8p4diQLZbrPI/TWHkFMtb5jwIUCUVF&#10;LeqIg9j5wflAjJXXljBXw152XQxCp19sYGPYiUIC99EDPxyGyY4D1BeUZGHMFb4qLFqwvyjpMVMV&#10;1fiEKOk+aTQlxO9a2GtxuBZMc7xYUU/JWN77GNPR6js0ay8j+WDkOHdihsmImqYUh+j9vY5df17u&#10;9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AX/J2gAAAA4BAAAPAAAAAAAAAAEAIAAAACIAAABk&#10;cnMvZG93bnJldi54bWxQSwECFAAUAAAACACHTuJA9NXdUgQCAAABBAAADgAAAAAAAAABACAAAAAp&#10;AQAAZHJzL2Uyb0RvYy54bWxQSwUGAAAAAAYABgBZAQAAnwUAAAAA&#10;">
                  <v:fill on="f" focussize="0,0"/>
                  <v:stroke on="f"/>
                  <v:imagedata o:title=""/>
                  <o:lock v:ext="edit" aspectratio="f"/>
                  <v:textbox inset="0mm,0mm,0mm,0mm" style="mso-fit-shape-to-text:t;">
                    <w:txbxContent>
                      <w:p w14:paraId="518627DB">
                        <w:r>
                          <w:rPr>
                            <w:rFonts w:hint="eastAsia" w:ascii="宋体" w:cs="宋体"/>
                            <w:color w:val="000000"/>
                            <w:kern w:val="0"/>
                            <w:sz w:val="18"/>
                            <w:szCs w:val="18"/>
                          </w:rPr>
                          <w:t>(签字或盖章)</w:t>
                        </w:r>
                      </w:p>
                    </w:txbxContent>
                  </v:textbox>
                </v:rect>
                <v:rect id="Rectangle 14" o:spid="_x0000_s1026" o:spt="1" style="position:absolute;left:11548;top:5608955;height:164465;width:762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XFAQoAgIAAP8DAAAOAAAAZHJzL2Uyb0RvYy54bWyt&#10;U9Fu2yAUfZ+0f0C8L7bT2GmtOFXVKNOkbqvW7QMIxjEacBGQ2NnX74KTbu1e+rAX6wKXc885Pqxu&#10;R63IUTgvwTS0mOWUCMOhlWbf0B/ftx+uKfGBmZYpMKKhJ+Hp7fr9u9VgazGHHlQrHEEQ4+vBNrQP&#10;wdZZ5nkvNPMzsMLgYQdOs4BLt89axwZE1yqb53mVDeBa64AL73F3Mx3SM6J7CyB0neRiA/yghQkT&#10;qhOKBZTke2k9XSe2XSd4+Np1XgSiGopKQ/riEKx38ZutV6zeO2Z7yc8U2FsovNKkmTQ49BlqwwIj&#10;Byf/gdKSO/DQhRkHnU1CkiOooshfefPUMyuSFrTa22fT/f+D5V+Oj47ItqFlVRbLq5vFkhLDNP74&#10;b2geM3slSLGIPg3W19j+ZB9dVOrtA/Cfnhi477FN3DkHQy9Yi+yK2J+9uBAXHq+S3fAZWoRnhwDJ&#10;srFzOgKiGWTEu0W5wAieIqP8+qYsp38kxkA4Hi+reXVVUsKxoagWiyqdZ6y+wFjnw0cBmsSioQ5V&#10;pDHs+OBDpMXqS0ucamArlUoxUObFBjbGnSQjMp8cCONuPJuxg/aEghxMqcI3hUUP7hclAyaqoQYf&#10;ECXqk0FLYvguhbsUu0vBDMeLDQ2UTOV9SCGdjL5Dq7YykY82TnPPzDAXSdM5wzF4f69T1593u/4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QF/ydoAAAAOAQAADwAAAAAAAAABACAAAAAiAAAAZHJz&#10;L2Rvd25yZXYueG1sUEsBAhQAFAAAAAgAh07iQJcUBCgCAgAA/wMAAA4AAAAAAAAAAQAgAAAAKQEA&#10;AGRycy9lMm9Eb2MueG1sUEsFBgAAAAAGAAYAWQEAAJ0FAAAAAA==&#10;">
                  <v:fill on="f" focussize="0,0"/>
                  <v:stroke on="f"/>
                  <v:imagedata o:title=""/>
                  <o:lock v:ext="edit" aspectratio="f"/>
                  <v:textbox inset="0mm,0mm,0mm,0mm" style="mso-fit-shape-to-text:t;">
                    <w:txbxContent>
                      <w:p w14:paraId="7634908C">
                        <w:r>
                          <w:rPr>
                            <w:rFonts w:hint="eastAsia" w:ascii="宋体" w:cs="宋体"/>
                            <w:color w:val="000000"/>
                            <w:kern w:val="0"/>
                            <w:sz w:val="20"/>
                            <w:szCs w:val="20"/>
                          </w:rPr>
                          <w:t>编  制  人：</w:t>
                        </w:r>
                      </w:p>
                    </w:txbxContent>
                  </v:textbox>
                </v:rect>
                <v:rect id="Rectangle 15" o:spid="_x0000_s1026" o:spt="1" style="position:absolute;left:4181593;top:5800090;height:147955;width:13722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5qtSOBgIAAAMEAAAOAAAAZHJzL2Uyb0RvYy54bWyt&#10;U9Fu2yAUfZ+0f0C8L7aTuomtOFXVKNOkbqvW7gMIxjGa4SIgsbOv3wU73dq+9GEv1gUu555zfFjf&#10;DKojJ2GdBF3RbJZSIjSHWupDRX8+7T6tKHGe6Zp1oEVFz8LRm83HD+velGIOLXS1sARBtCt7U9HW&#10;e1MmieOtUMzNwAiNhw1YxTwu7SGpLesRXXXJPE2vkx5sbSxw4RzubsdDOiHa9wBC00gutsCPSmg/&#10;olrRMY+SXCuNo5vItmkE99+bxglPuoqiUh+/OATrffgmmzUrD5aZVvKJAnsPhVeaFJMahz5DbZln&#10;5GjlGygluQUHjZ9xUMkoJDqCKrL0lTePLTMiakGrnXk23f0/WP7t9GCJrDEJq2JeFHm6vKZEM4V/&#10;/ge6x/ShEyTLg1G9cSX2P5oHG6Q6cw/8lyMa7lpsE7fWQt8KViO9LPQnLy6EhcOrZN9/hRrh2dFD&#10;9GxorAqA6AYZKnqVrbK8WFByrmi+StO0mH6TGDzh2JAtlvP5IqeEY0d2tSzySC9h5QXJWOc/C1Ak&#10;FBW1KCROYqd75wMzVl5awmANO9l1MQqdfrGBjWEnKgnkRxP8sB8mP/ZQn1GThTFZ+K6waMH+pqTH&#10;VFVU4yOipPui0ZUQwEthL8X+UjDN8WJFPSVjeedjUEevb9GtnYzkg5Pj3IkZZiNqmnIcwvfvOnb9&#10;fbub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EBf8naAAAADgEAAA8AAAAAAAAAAQAgAAAAIgAA&#10;AGRycy9kb3ducmV2LnhtbFBLAQIUABQAAAAIAIdO4kD5qtSOBgIAAAMEAAAOAAAAAAAAAAEAIAAA&#10;ACkBAABkcnMvZTJvRG9jLnhtbFBLBQYAAAAABgAGAFkBAAChBQAAAAA=&#10;">
                  <v:fill on="f" focussize="0,0"/>
                  <v:stroke on="f"/>
                  <v:imagedata o:title=""/>
                  <o:lock v:ext="edit" aspectratio="f"/>
                  <v:textbox inset="0mm,0mm,0mm,0mm" style="mso-fit-shape-to-text:t;">
                    <w:txbxContent>
                      <w:p w14:paraId="0B63418B">
                        <w:r>
                          <w:rPr>
                            <w:rFonts w:hint="eastAsia" w:ascii="宋体" w:cs="宋体"/>
                            <w:color w:val="000000"/>
                            <w:kern w:val="0"/>
                            <w:sz w:val="18"/>
                            <w:szCs w:val="18"/>
                          </w:rPr>
                          <w:t>(造价工程师签字盖专用章)</w:t>
                        </w:r>
                      </w:p>
                    </w:txbxContent>
                  </v:textbox>
                </v:rect>
                <v:rect id="Rectangle 16" o:spid="_x0000_s1026" o:spt="1" style="position:absolute;left:11548;top:7102475;height:164465;width:8261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0hE9GBAIAAAAEAAAOAAAAZHJzL2Uyb0RvYy54bWyt&#10;U9Fu2yAUfZ+0f0C8LzaZ47RWnKpqlGlSt1br9gEE4xjNcBGQ2NnX74KTbu1e+rAXdOFezr3ncFjd&#10;jLonR+m8AlNTNsspkUZAo8y+pj++bz9cUeIDNw3vwcianqSnN+v371aDreQcOugb6QiCGF8NtqZd&#10;CLbKMi86qbmfgZUGky04zQNu3T5rHB8QXffZPM/LbADXWAdCeo+nmylJz4juLYDQtkrIDYiDliZM&#10;qE72PCAl3ynr6TpN27ZShIe29TKQvqbINKQVm2C8i2u2XvFq77jtlDiPwN8ywitOmiuDTZ+hNjxw&#10;cnDqHyithAMPbZgJ0NlEJCmCLFj+SpunjluZuKDU3j6L7v8frPh6fHRENTWds6LIr6/ZklFiuMaX&#10;/4bqcbPvJWFlFGqwvsL6J/voIlVv70H89MTAXYdl8tY5GDrJGxyPxfrsxYW48XiV7IYv0CA8PwRI&#10;mo2t0xEQ1SAj3mWLAj14qumS5fNiuZgeSY6BCExfzUv2cUGJwAJWFkWZ8hmvLjDW+fBJgiYxqKlD&#10;FqkNP977EMfi1aUkdjWwVX2ffNCbFwdYGE8SjTj5pEAYd+NZjB00JyTkYLIVfioMOnC/KBnQUjU1&#10;+IMo6T8blCS67xK4S7C7BNwIvFjTQMkU3oXk0knoW5Rqq9LwUcap73kyNEbidDZxdN7f+1T15+Ou&#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AX/J2gAAAA4BAAAPAAAAAAAAAAEAIAAAACIAAABk&#10;cnMvZG93bnJldi54bWxQSwECFAAUAAAACACHTuJAdIRPRgQCAAAABAAADgAAAAAAAAABACAAAAAp&#10;AQAAZHJzL2Uyb0RvYy54bWxQSwUGAAAAAAYABgBZAQAAnwUAAAAA&#10;">
                  <v:fill on="f" focussize="0,0"/>
                  <v:stroke on="f"/>
                  <v:imagedata o:title=""/>
                  <o:lock v:ext="edit" aspectratio="f"/>
                  <v:textbox inset="0mm,0mm,0mm,0mm" style="mso-fit-shape-to-text:t;">
                    <w:txbxContent>
                      <w:p w14:paraId="363883BB">
                        <w:r>
                          <w:rPr>
                            <w:rFonts w:hint="eastAsia" w:ascii="宋体" w:cs="宋体"/>
                            <w:color w:val="000000"/>
                            <w:kern w:val="0"/>
                            <w:sz w:val="20"/>
                            <w:szCs w:val="20"/>
                          </w:rPr>
                          <w:t>编 制 时 间：</w:t>
                        </w:r>
                      </w:p>
                    </w:txbxContent>
                  </v:textbox>
                </v:rect>
                <v:rect id="Rectangle 17" o:spid="_x0000_s1026" o:spt="1" style="position:absolute;left:4160003;top:7102475;height:164465;width:1270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bHEX4BgIAAAIEAAAOAAAAZHJzL2Uyb0RvYy54bWyt&#10;U9Fu2yAUfZ+0f0C8L7YTN2mtkKpqlGlSt1Xr9gEY4xjNcBGQ2NnX74KTbu1e+rAX64IP555zuKxv&#10;R92To3RegWG0mOWUSCOgUWbP6I/vuw/XlPjATcN7MJLRk/T0dvP+3XqwlZxDB30jHUES46vBMtqF&#10;YKss86KTmvsZWGnwZwtO84BLt88axwdk1302z/NlNoBrrAMhvcfd7fSTnhndWwihbZWQWxAHLU2Y&#10;WJ3seUBLvlPW001S27ZShK9t62UgPaPoNKQvNsG6jt9ss+bV3nHbKXGWwN8i4ZUnzZXBps9UWx44&#10;OTj1D5VWwoGHNswE6GwykhJBF0X+KpunjluZvGDU3j6H7v8frfhyfHRENYzOb8pyUdxc4/UbrvHi&#10;v2F43Ox7SYpVzGmwvkL4k3100am3DyB+emLgvkOYvHMOhk7yBtUVEZ+9OBAXHo+SevgMDdLzQ4AU&#10;2dg6HQkxDDIyWhbLPM8XlJwYXRX5vFxdTbckx0AEAor5Kl8urigRiCiWZblMgIxXFybrfPgoQZNY&#10;MOrQSOrEjw8+RGW8ukBiYwM71fdpEnrzYgOBcSc5ieKnEMJYj+c8amhO6MnBNFj4rLDowP2iZMCh&#10;YtTgG6Kk/2QwlTh/l8JdivpScCPwIKOBkqm8D2lOp6zvMK2dSuJjklPfszIcjeTpPMZx9v5eJ9Sf&#10;p7v5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EBf8naAAAADgEAAA8AAAAAAAAAAQAgAAAAIgAA&#10;AGRycy9kb3ducmV2LnhtbFBLAQIUABQAAAAIAIdO4kCbHEX4BgIAAAIEAAAOAAAAAAAAAAEAIAAA&#10;ACkBAABkcnMvZTJvRG9jLnhtbFBLBQYAAAAABgAGAFkBAAChBQAAAAA=&#10;">
                  <v:fill on="f" focussize="0,0"/>
                  <v:stroke on="f"/>
                  <v:imagedata o:title=""/>
                  <o:lock v:ext="edit" aspectratio="f"/>
                  <v:textbox inset="0mm,0mm,0mm,0mm" style="mso-fit-shape-to-text:t;">
                    <w:txbxContent>
                      <w:p w14:paraId="4ED65F59">
                        <w:r>
                          <w:rPr>
                            <w:rFonts w:hint="eastAsia" w:ascii="宋体" w:cs="宋体"/>
                            <w:color w:val="000000"/>
                            <w:kern w:val="0"/>
                            <w:sz w:val="20"/>
                            <w:szCs w:val="20"/>
                          </w:rPr>
                          <w:t xml:space="preserve">      年    月    日</w:t>
                        </w:r>
                      </w:p>
                    </w:txbxContent>
                  </v:textbox>
                </v:rect>
                <v:rect id="Rectangle 18" o:spid="_x0000_s1026" o:spt="1" style="position:absolute;left:1287263;top:5794375;height:147955;width:1257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K01xsAwIAAAIEAAAOAAAAZHJzL2Uyb0RvYy54bWyt&#10;U9Fu2yAUfZ+0f0C8L7aTJk6sOFXVKNOkbqvW7QMIxjEacBGQ2NnX74KTbu1e+rAX6wKHc885vqxv&#10;B63ISTgvwdS0mOSUCMOhkeZQ0x/fdx+WlPjATMMUGFHTs/D0dvP+3bq3lZhCB6oRjiCJ8VVva9qF&#10;YKss87wTmvkJWGHwsAWnWcClO2SNYz2ya5VN83yR9eAa64AL73F3Ox7SC6N7CyG0reRiC/yohQkj&#10;qxOKBbTkO2k93SS1bSt4+Nq2XgSiaopOQ/piE6z38Ztt1qw6OGY7yS8S2FskvPKkmTTY9JlqywIj&#10;Ryf/odKSO/DQhgkHnY1GUiLooshfZfPUMSuSF4za2+fQ/f+j5V9Oj47IpqarcraY50U5o8QwjT/+&#10;G4bHzEEJUixjTr31FcKf7KOLTr19AP7TEwP3HcLEnXPQd4I1qK6I+OzFhbjweJXs+8/QID07BkiR&#10;Da3TkRDDIAPenS7L6QJVnGs6L1c3s3I+/iUxBMITALdnc0o4IoqbcjVPgIxVVybrfPgoQJNY1NSh&#10;kdSJnR58iMpYdYXExgZ2Uqk0Ccq82EBg3ElOovgxhDDsh0see2jO6MnBOFj4rLDowP2ipMehqqnB&#10;N0SJ+mQwlTh/18Jdi/21YIbjxZoGSsbyPqQ5HbO+w7R2MomPSY59L8pwNJKnyxjH2ft7nVB/nu7m&#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EBf8naAAAADgEAAA8AAAAAAAAAAQAgAAAAIgAAAGRy&#10;cy9kb3ducmV2LnhtbFBLAQIUABQAAAAIAIdO4kDK01xsAwIAAAIEAAAOAAAAAAAAAAEAIAAAACkB&#10;AABkcnMvZTJvRG9jLnhtbFBLBQYAAAAABgAGAFkBAACeBQAAAAA=&#10;">
                  <v:fill on="f" focussize="0,0"/>
                  <v:stroke on="f"/>
                  <v:imagedata o:title=""/>
                  <o:lock v:ext="edit" aspectratio="f"/>
                  <v:textbox inset="0mm,0mm,0mm,0mm" style="mso-fit-shape-to-text:t;">
                    <w:txbxContent>
                      <w:p w14:paraId="4A314970">
                        <w:r>
                          <w:rPr>
                            <w:rFonts w:hint="eastAsia" w:ascii="宋体" w:cs="宋体"/>
                            <w:color w:val="000000"/>
                            <w:kern w:val="0"/>
                            <w:sz w:val="18"/>
                            <w:szCs w:val="18"/>
                          </w:rPr>
                          <w:t>(造价人员签字盖专用章)</w:t>
                        </w:r>
                      </w:p>
                    </w:txbxContent>
                  </v:textbox>
                </v:rect>
                <v:rect id="Rectangle 19" o:spid="_x0000_s1026" o:spt="1" style="position:absolute;left:2966203;top:5827395;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avBgJBAIAAAAEAAAOAAAAZHJzL2Uyb0RvYy54bWyt&#10;U01vGyEQvVfqf0Dc6/1wbMcrr6MolqtKaRM17Q/ALOtFBQYB9q776zuwdtKklxx6QcPweDPvMaxu&#10;Bq3IUTgvwdS0mOSUCMOhkWZf058/tp+uKfGBmYYpMKKmJ+Hpzfrjh1VvK1FCB6oRjiCJ8VVva9qF&#10;YKss87wTmvkJWGHwsAWnWcCt22eNYz2ya5WVeT7PenCNdcCF95jdjIf0zOjeQwhtK7nYAD9oYcLI&#10;6oRiASX5TlpP16nbthU8PLStF4GomqLSkFYsgvEurtl6xaq9Y7aT/NwCe08LbzRpJg0WfabasMDI&#10;wcl/qLTkDjy0YcJBZ6OQ5AiqKPI33jx1zIqkBa329tl0//9o+bfjoyOyqemizK+m8wUaY5jGd/+O&#10;3jGzV4IUy2hTb32F6Cf76KJQb++B//LEwF2HMHHrHPSdYA02V0R89upC3Hi8Snb9V2iQnh0CJMeG&#10;1ulIiF6Qoablcj4v8yklp5rOrsvFdDkbH0kMgXAEFMXVcjqjhCOgmE1zjGM1Vl2IrPPhswBNYlBT&#10;hzpSIXa892GEXiCxroGtVArzrFLmVQI5YyYJib2PHoRhNyA6CtpBc0JJDsaxwk+FQQfuNyU9jlRN&#10;Df4gStQXg6bE6bsE7hLsLgEzHC/WNFAyhnchTWlsyNtbNGsrU/Mvdc+d4WAk+echjpP39z6hXj7u&#10;+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AX/J2gAAAA4BAAAPAAAAAAAAAAEAIAAAACIAAABk&#10;cnMvZG93bnJldi54bWxQSwECFAAUAAAACACHTuJAWrwYCQQCAAAABAAADgAAAAAAAAABACAAAAAp&#10;AQAAZHJzL2Uyb0RvYy54bWxQSwUGAAAAAAYABgBZAQAAnwUAAAAA&#10;">
                  <v:fill on="f" focussize="0,0"/>
                  <v:stroke on="f"/>
                  <v:imagedata o:title=""/>
                  <o:lock v:ext="edit" aspectratio="f"/>
                  <v:textbox inset="0mm,0mm,0mm,0mm" style="mso-fit-shape-to-text:t;">
                    <w:txbxContent>
                      <w:p w14:paraId="03A626AF"/>
                    </w:txbxContent>
                  </v:textbox>
                </v:rect>
                <v:rect id="Rectangle 20" o:spid="_x0000_s1026" o:spt="1" style="position:absolute;left:1227573;top:7097395;height:164465;width:1270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AyxNJmBAIAAAIEAAAOAAAAZHJzL2Uyb0RvYy54bWyt&#10;U9Fu2yAUfZ+0f0C8L3acJp6tOFXVKNOkbqvW7QMIxjEacBGQ2N3X74KTdu1e+rAX6wKHc+85Pqyv&#10;R63ISTgvwTR0PsspEYZDK82hoT9/7D58pMQHZlqmwIiGPgpPrzfv360HW4sCelCtcARJjK8H29A+&#10;BFtnmee90MzPwAqDhx04zQIu3SFrHRuQXausyPNVNoBrrQMuvMfd7XRIz4zuLYTQdZKLLfCjFiZM&#10;rE4oFlCS76X1dJOm7TrBw7eu8yIQ1VBUGtIXm2C9j99ss2b1wTHbS34egb1lhFeaNJMGmz5RbVlg&#10;5OjkP1RacgceujDjoLNJSHIEVczzV9489MyKpAWt9vbJdP//aPnX070jsm3osiqLqsqrghLDNP74&#10;72geMwclSJF8GqyvEf5g711U6u0d8F+eGLjtESZunIOhF6zF6ebR1+zFhbjweJXshy/QIj07BkiW&#10;jZ3TkRDNICPeLYpyWS4oeWxomVflolpOf0mMgfAEKPPVYkkJR8R8dXW1SoCM1Rcm63z4JECTWDTU&#10;oZDUiZ3ufIiTsfoCiY0N7KRSKQnKvNhAYNxJSuLwMVa+DuN+RHQs99A+oiYHU7DwWWHRg/tNyYCh&#10;aqjBN0SJ+mzQlZi/S+Euxf5SMMPxYkMDJVN5G1JOJ69v0K2dTMM/9z1PhtFIms4xjtn7e51Qz093&#10;8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AX/J2gAAAA4BAAAPAAAAAAAAAAEAIAAAACIAAABk&#10;cnMvZG93bnJldi54bWxQSwECFAAUAAAACACHTuJAMsTSZgQCAAACBAAADgAAAAAAAAABACAAAAAp&#10;AQAAZHJzL2Uyb0RvYy54bWxQSwUGAAAAAAYABgBZAQAAnwUAAAAA&#10;">
                  <v:fill on="f" focussize="0,0"/>
                  <v:stroke on="f"/>
                  <v:imagedata o:title=""/>
                  <o:lock v:ext="edit" aspectratio="f"/>
                  <v:textbox inset="0mm,0mm,0mm,0mm" style="mso-fit-shape-to-text:t;">
                    <w:txbxContent>
                      <w:p w14:paraId="0635B6DA">
                        <w:r>
                          <w:rPr>
                            <w:rFonts w:hint="eastAsia" w:ascii="宋体" w:cs="宋体"/>
                            <w:color w:val="000000"/>
                            <w:kern w:val="0"/>
                            <w:sz w:val="20"/>
                            <w:szCs w:val="20"/>
                          </w:rPr>
                          <w:t xml:space="preserve">      年    月    日</w:t>
                        </w:r>
                      </w:p>
                    </w:txbxContent>
                  </v:textbox>
                </v:rect>
                <v:rect id="Rectangle 21" o:spid="_x0000_s1026" o:spt="1" style="position:absolute;left:2966203;top:7097395;height:164465;width:8261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xff4nBAIAAAIEAAAOAAAAZHJzL2Uyb0RvYy54bWyt&#10;U11v2yAUfZ+0/4B4X/yRxk2sOFXVKNOkbqvW7QcQjGM04CIgsbtfvwtOurV76cNerAsczr3n+LC+&#10;GbUiJ+G8BNPQYpZTIgyHVppDQ398331YUuIDMy1TYERDn4SnN5v379aDrUUJPahWOIIkxteDbWgf&#10;gq2zzPNeaOZnYIXBww6cZgGX7pC1jg3IrlVW5nmVDeBa64AL73F3Ox3SM6N7CyF0neRiC/yohQkT&#10;qxOKBZTke2k93aRpu07w8LXrvAhENRSVhvTFJljv4zfbrFl9cMz2kp9HYG8Z4ZUmzaTBps9UWxYY&#10;OTr5D5WW3IGHLsw46GwSkhxBFUX+ypvHnlmRtKDV3j6b7v8fLf9yenBEtpiEZZEvFvl8vqDEMI1/&#10;/hu6x8xBCVIW0ajB+hrxj/bBRane3gP/6YmBux5h4tY5GHrBWhwv4bMXF+LC41WyHz5Di/TsGCB5&#10;NnZOR0J0g4wNLVdVVeZzSp4aep2vruerxfSbxBgIR8CyrIo4JUdAUV1dVek8Y/WFyDofPgrQJBYN&#10;dagjNWKnex9QCEIvkNjXwE4qlZKgzIsNBMadJCTOPnkQxv14tmMP7RNKcjAFC58VFj24X5QMGKqG&#10;GnxDlKhPBk2J+bsU7lLsLwUzHC82NFAylXch5XSy+hbN2sk0fDRy6nueDKORNJ1jHLP39zqh/jzd&#10;z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AX/J2gAAAA4BAAAPAAAAAAAAAAEAIAAAACIAAABk&#10;cnMvZG93bnJldi54bWxQSwECFAAUAAAACACHTuJAcX3+JwQCAAACBAAADgAAAAAAAAABACAAAAAp&#10;AQAAZHJzL2Uyb0RvYy54bWxQSwUGAAAAAAYABgBZAQAAnwUAAAAA&#10;">
                  <v:fill on="f" focussize="0,0"/>
                  <v:stroke on="f"/>
                  <v:imagedata o:title=""/>
                  <o:lock v:ext="edit" aspectratio="f"/>
                  <v:textbox inset="0mm,0mm,0mm,0mm" style="mso-fit-shape-to-text:t;">
                    <w:txbxContent>
                      <w:p w14:paraId="410AB0D6">
                        <w:r>
                          <w:rPr>
                            <w:rFonts w:hint="eastAsia" w:ascii="宋体" w:cs="宋体"/>
                            <w:color w:val="000000"/>
                            <w:kern w:val="0"/>
                            <w:sz w:val="20"/>
                            <w:szCs w:val="20"/>
                          </w:rPr>
                          <w:t>复 核 时 间：</w:t>
                        </w:r>
                      </w:p>
                    </w:txbxContent>
                  </v:textbox>
                </v:rect>
                <v:rect id="Rectangle 22" o:spid="_x0000_s1026" o:spt="1" style="position:absolute;left:11548;top:7255510;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q0HNhAAIAAAAEAAAOAAAAZHJzL2Uyb0RvYy54bWyt&#10;U8Fu2zAMvQ/YPwi6L46TOtuMOEXRIMOAbivW7QMUWY6FWaJAKbGzrx8lx+3aXXrYRaAo6pHv6Wl9&#10;PZiOnRR6Dbbi+WzOmbISam0PFf/5Y/fuA2c+CFuLDqyq+Fl5fr15+2bdu1ItoIWuVsgIxPqydxVv&#10;Q3BllnnZKiP8DJyydNgAGhFoi4esRtETuumyxXy+ynrA2iFI5T1lt+MhvyDiawChabRUW5BHo2wY&#10;UVF1IhAl32rn+SZN2zRKhm9N41VgXcWJaUgrNaF4H9dssxblAYVrtbyMIF4zwgtORmhLTR+htiII&#10;dkT9D5TREsFDE2YSTDYSSYoQi3z+QpuHVjiVuJDU3j2K7v8frPx6ukema3LCKs+Xq9WyIGmsMPTy&#10;30k9YQ+dYotFFKp3vqT6B3ePkap3dyB/eWbhtqUydYMIfatETePlsT57diFuPF1l+/4L1AQvjgGS&#10;ZkODJgKSGmygu3lxRR48V/z9oiiK/PJIaghMpuOrj8uCM0kFebGcUxx7iXKCcejDJwWGxaDiSCxS&#10;G3G682EsnUpiVws73XWUF2VnnyUIM2YSjTj5qEAY9gNVRzp7qM9ECGG0FX0qClrA35z1ZKmKW/pB&#10;nHWfLUkS3TcFOAX7KRBW0sWKB87G8DYkl8aBvLshqXY6Df/U9zIZGSPRv5g4Ou/vfap6+rib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EBf8naAAAADgEAAA8AAAAAAAAAAQAgAAAAIgAAAGRycy9k&#10;b3ducmV2LnhtbFBLAQIUABQAAAAIAIdO4kCq0HNhAAIAAAAEAAAOAAAAAAAAAAEAIAAAACkBAABk&#10;cnMvZTJvRG9jLnhtbFBLBQYAAAAABgAGAFkBAACbBQAAAAA=&#10;">
                  <v:fill on="f" focussize="0,0"/>
                  <v:stroke on="f"/>
                  <v:imagedata o:title=""/>
                  <o:lock v:ext="edit" aspectratio="f"/>
                  <v:textbox inset="0mm,0mm,0mm,0mm" style="mso-fit-shape-to-text:t;">
                    <w:txbxContent>
                      <w:p w14:paraId="38C4328F"/>
                    </w:txbxContent>
                  </v:textbox>
                </v:rect>
                <v:rect id="Rectangle 23" o:spid="_x0000_s1026" o:spt="1" style="position:absolute;left:1701283;top:7255510;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X8oEbAwIAAAEEAAAOAAAAZHJzL2Uyb0RvYy54bWyt&#10;U9Fu2yAUfZ+0f0C8L7aTuOmsOFXVKNOkbqvW7QMwxjEacBGQ2NnX74KTdu1e+rAXdLkczr3ncFnf&#10;jFqRo3BegqlpMcspEYZDK82+pj9/7D5cU+IDMy1TYERNT8LTm837d+vBVmIOPahWOIIkxleDrWkf&#10;gq2yzPNeaOZnYIXBww6cZgG3bp+1jg3IrlU2z/OrbADXWgdceI/Z7XRIz4zuLYTQdZKLLfCDFiZM&#10;rE4oFlCS76X1dJO67TrBw7eu8yIQVVNUGtKKRTBu4ppt1qzaO2Z7yc8tsLe08EqTZtJg0SeqLQuM&#10;HJz8h0pL7sBDF2YcdDYJSY6giiJ/5c1jz6xIWtBqb59M9/+Pln89Pjgi25qW+eJqmS+XK0oM0/jw&#10;39E8ZvZKkPki+jRYXyH80T64qNTbe+C/PDFw1yNM3DoHQy9Yi90VEZ+9uBA3Hq+SZvgCLdKzQ4Bk&#10;2dg5HQnRDDLi3VVezK8XlJxqupqXZVmcX0mMgfAIKJYfFyUlHAFFucgxjtVYdSGyzodPAjSJQU0d&#10;6kiF2PHehwl6gcS6BnZSKcyzSpkXCeSMmSQk9j55EMZmRHQU1EB7QkkOprnCX4VBD+43JQPOVE0N&#10;fiFK1GeDpsTxuwTuEjSXgBmOF2saKJnCu5DGNDbk7S2atZOp+ee6585wMpL88xTH0ft7n1DPP3fz&#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EBf8naAAAADgEAAA8AAAAAAAAAAQAgAAAAIgAAAGRy&#10;cy9kb3ducmV2LnhtbFBLAQIUABQAAAAIAIdO4kCX8oEbAwIAAAEEAAAOAAAAAAAAAAEAIAAAACkB&#10;AABkcnMvZTJvRG9jLnhtbFBLBQYAAAAABgAGAFkBAACeBQAAAAA=&#10;">
                  <v:fill on="f" focussize="0,0"/>
                  <v:stroke on="f"/>
                  <v:imagedata o:title=""/>
                  <o:lock v:ext="edit" aspectratio="f"/>
                  <v:textbox inset="0mm,0mm,0mm,0mm" style="mso-fit-shape-to-text:t;">
                    <w:txbxContent>
                      <w:p w14:paraId="390760A9"/>
                    </w:txbxContent>
                  </v:textbox>
                </v:rect>
                <v:rect id="Rectangle 24" o:spid="_x0000_s1026" o:spt="1" style="position:absolute;left:5266173;top:7271385;height:132080;width:254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bANGLBwIAAAIEAAAOAAAAZHJzL2Uyb0RvYy54bWyt&#10;U11v2yAUfZ+0/4B4Xxw7X64Vp6oaZZrUbdW6/QCCcYwGXAQkdvbrd8FJt3YvfdiLdcGXc885HNa3&#10;g1bkJJyXYGqaT6aUCMOhkeZQ0x/fdx9KSnxgpmEKjKjpWXh6u3n/bt3bShTQgWqEIwhifNXbmnYh&#10;2CrLPO+EZn4CVhj82YLTLODSHbLGsR7RtcqK6XSZ9eAa64AL73F3O/6kF0T3FkBoW8nFFvhRCxNG&#10;VCcUCyjJd9J6ukls21bw8LVtvQhE1RSVhvTFIVjv4zfbrFl1cMx2kl8osLdQeKVJM2lw6DPUlgVG&#10;jk7+A6Uld+ChDRMOOhuFJEdQRT595c1Tx6xIWtBqb59N9/8Pln85PToiG0xCmZfz1fLmZk6JYRpv&#10;/hu6x8xBCVLMo1G99RX2P9lHF6V6+wD8pycG7jtsE3fOQd8J1iC9PPZnLw7EhcejZN9/hgbh2TFA&#10;8mxonY6A6AYZaroolst8NaPkXNNVscpn5WK8JjEEwrGhWMyXswUlHBvyWTEt0zVmrLoCWefDRwGa&#10;xKKmDnWkQez04EMkxqprS5xrYCeVSklQ5sUGNsadJCRyHz0Iw3642LGH5oySHIzBwmeFRQfuFyU9&#10;hqqmBt8QJeqTQVNi/q6Fuxb7a8EMx4M1DZSM5X1IOR2tvkOzdjKRj0aOcy/MMBpJ0yXGMXt/r1PX&#10;n6e7+Q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xAX/J2gAAAA4BAAAPAAAAAAAAAAEAIAAAACIA&#10;AABkcnMvZG93bnJldi54bWxQSwECFAAUAAAACACHTuJAmwDRiwcCAAACBAAADgAAAAAAAAABACAA&#10;AAApAQAAZHJzL2Uyb0RvYy54bWxQSwUGAAAAAAYABgBZAQAAogUAAAAA&#10;">
                  <v:fill on="f" focussize="0,0"/>
                  <v:stroke on="f"/>
                  <v:imagedata o:title=""/>
                  <o:lock v:ext="edit" aspectratio="f"/>
                  <v:textbox inset="0mm,0mm,0mm,0mm" style="mso-fit-shape-to-text:t;">
                    <w:txbxContent>
                      <w:p w14:paraId="08D32960">
                        <w:r>
                          <w:rPr>
                            <w:rFonts w:hint="eastAsia" w:ascii="宋体" w:cs="宋体"/>
                            <w:color w:val="000000"/>
                            <w:kern w:val="0"/>
                            <w:sz w:val="16"/>
                            <w:szCs w:val="16"/>
                          </w:rPr>
                          <w:t>扉—1</w:t>
                        </w:r>
                      </w:p>
                    </w:txbxContent>
                  </v:textbox>
                </v:rect>
                <v:rect id="Rectangle 25" o:spid="_x0000_s1026" o:spt="1" style="position:absolute;left:1227573;top:4148455;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mI3f5BQIAAAEEAAAOAAAAZHJzL2Uyb0RvYy54bWyt&#10;U8tu2zAQvBfoPxC813rYclzBchDEcFEgbYOm/QCaoiyiJJcgaUvp13dJ2UmTXnLoRVguZ2d3Rsv1&#10;9agVOQnnJZiGFrOcEmE4tNIcGvrzx+7DihIfmGmZAiMa+ig8vd68f7cebC1K6EG1whEkMb4ebEP7&#10;EGydZZ73QjM/AysMXnbgNAt4dIesdWxAdq2yMs+X2QCutQ648B6z2+mSnhndWwih6yQXW+BHLUyY&#10;WJ1QLKAk30vr6SZN23WCh29d50UgqqGoNKQvNsF4H7/ZZs3qg2O2l/w8AnvLCK80aSYNNn2i2rLA&#10;yNHJf6i05A48dGHGQWeTkOQIqijyV9489MyKpAWt9vbJdP//aPnX070jsm1oNV8u8/liVVJimMYf&#10;/x3NY+agBCmr6NNgfY3wB3vvolJv74D/8sTAbY8wceMcDL1gLU5XRHz2oiAePJaS/fAFWqRnxwDJ&#10;srFzOhKiGWTE2rK8qq7mlDw2dFEsVosqdWe1GAPhEVAsPs4rSjgCimqeYxy7sfpCZJ0PnwRoEoOG&#10;OtSRGrHTnQ8T9AKJfQ3spFKYZ7UyLxLIGTNJSJx98iCM+xHRUdAe2keU5GDaK3xVGPTgflMy4E41&#10;1OATokR9NmhKXL9L4C7B/hIww7GwoYGSKbwNaU3jQN7eoFk7mYZ/7nueDDcjyT9vcVy9v88J9fxy&#10;N3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QF/ydoAAAAOAQAADwAAAAAAAAABACAAAAAiAAAA&#10;ZHJzL2Rvd25yZXYueG1sUEsBAhQAFAAAAAgAh07iQKYjd/kFAgAAAQQAAA4AAAAAAAAAAQAgAAAA&#10;KQEAAGRycy9lMm9Eb2MueG1sUEsFBgAAAAAGAAYAWQEAAKAFAAAAAA==&#10;">
                  <v:fill on="f" focussize="0,0"/>
                  <v:stroke on="f"/>
                  <v:imagedata o:title=""/>
                  <o:lock v:ext="edit" aspectratio="f"/>
                  <v:textbox inset="0mm,0mm,0mm,0mm" style="mso-fit-shape-to-text:t;">
                    <w:txbxContent>
                      <w:p w14:paraId="14E2ED7B"/>
                    </w:txbxContent>
                  </v:textbox>
                </v:rect>
                <v:rect id="Rectangle 26" o:spid="_x0000_s1026" o:spt="1" style="position:absolute;left:2966203;top:3946525;height:164465;width:635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Ni2okBQIAAAIEAAAOAAAAZHJzL2Uyb0RvYy54bWyt&#10;U9Fu2yAUfZ+0f0C8L3acxlmsOFXVKNOkbq3W7gMIxjEacBGQ2NnX74KTbm1f+jDJsi74cO49x4fV&#10;9aAVOQrnJZiaTic5JcJwaKTZ1/Tn0/bTZ0p8YKZhCoyo6Ul4er3++GHV20oU0IFqhCNIYnzV25p2&#10;IdgqyzzvhGZ+AlYY/NiC0yzg0u2zxrEe2bXKijwvsx5cYx1w4T3ubsaP9Mzo3kMIbSu52AA/aGHC&#10;yOqEYgEl+U5aT9dp2rYVPNy3rReBqJqi0pDe2ATrXXxn6xWr9o7ZTvLzCOw9I7zSpJk02PSZasMC&#10;Iwcn31BpyR14aMOEg85GIckRVDHNX3nz2DErkha02ttn0/3/o+Xfjw+OyAaTsFgW+aLMFwtKDNP4&#10;53+ge8zslSBFGY3qra8Q/2gfXJTq7R3wX54YuO0QJm6cg74TrMHxphGfvTgQFx6Pkl3/DRqkZ4cA&#10;ybOhdToSohtkqGmxLMsin1FyqulseVXOi/n4m8QQCEdAOZvjQwlHwLS8QkTqxqoLkXU+fBGgSSxq&#10;6lBHasSOdz7EwVh1gcS+BrZSqZQEZV5sIDDuJCFx9tGDMOyGsx07aE4oycEYLLxWWHTgflPSY6hq&#10;avAOUaK+GjQl5u9SuEuxuxTMcDxY00DJWN6GlNPR6hs0ayvT8NHIse95MoxG0nSOcczev+uE+nt1&#10;13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QF/ydoAAAAOAQAADwAAAAAAAAABACAAAAAiAAAA&#10;ZHJzL2Rvd25yZXYueG1sUEsBAhQAFAAAAAgAh07iQE2LaiQFAgAAAgQAAA4AAAAAAAAAAQAgAAAA&#10;KQEAAGRycy9lMm9Eb2MueG1sUEsFBgAAAAAGAAYAWQEAAKAFAAAAAA==&#10;">
                  <v:fill on="f" focussize="0,0"/>
                  <v:stroke on="f"/>
                  <v:imagedata o:title=""/>
                  <o:lock v:ext="edit" aspectratio="f"/>
                  <v:textbox inset="0mm,0mm,0mm,0mm" style="mso-fit-shape-to-text:t;">
                    <w:txbxContent>
                      <w:p w14:paraId="012E91B7">
                        <w:r>
                          <w:rPr>
                            <w:rFonts w:hint="eastAsia" w:ascii="宋体" w:cs="宋体"/>
                            <w:color w:val="000000"/>
                            <w:kern w:val="0"/>
                            <w:sz w:val="20"/>
                            <w:szCs w:val="20"/>
                          </w:rPr>
                          <w:t>法定代表人</w:t>
                        </w:r>
                      </w:p>
                    </w:txbxContent>
                  </v:textbox>
                </v:rect>
                <v:rect id="Rectangle 27" o:spid="_x0000_s1026" o:spt="1" style="position:absolute;left:2966203;top:4110355;height:164465;width:762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92cCCBgIAAAIEAAAOAAAAZHJzL2Uyb0RvYy54bWyt&#10;U11v2yAUfZ+0/4B4X/yRxM2sOFXVKNOkbq3W7QcQjGM04CIgsbtfvwtOurV76cNerAtczj3n+LC+&#10;HrUiJ+G8BNPQYpZTIgyHVppDQ398331YUeIDMy1TYERDn4Sn15v379aDrUUJPahWOIIgxteDbWgf&#10;gq2zzPNeaOZnYIXBww6cZgGX7pC1jg2IrlVW5nmVDeBa64AL73F3Ox3SM6J7CyB0neRiC/yohQkT&#10;qhOKBZTke2k93SS2XSd4uO86LwJRDUWlIX1xCNb7+M02a1YfHLO95GcK7C0UXmnSTBoc+gy1ZYGR&#10;o5P/QGnJHXjowoyDziYhyRFUUeSvvHnsmRVJC1rt7bPp/v/B8q+nB0dki0lYrapiXhTLOSWGafzz&#10;39A9Zg5KkPIqGjVYX2P/o31wUaq3d8B/emLgtsc2ceMcDL1gLdIrYn/24kJceLxK9sMXaBGeHQMk&#10;z8bO6QiIbpCxoeXHqipzZPHU0EVR5PPlcvpNYgyEY8NVVVbzJSUcG4pqsajSecbqC5B1PnwSoEks&#10;GupQRxrETnc+RGKsvrTEuQZ2UqmUBGVebGBj3ElCIvfJgzDux7Mde2ifUJKDKVj4rLDowf2iZMBQ&#10;NdTgG6JEfTZoSszfpXCXYn8pmOF4saGBkqm8DSmnk9U3aNZOJvLRyGnumRlGI2k6xzhm7+916vrz&#10;dD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EBf8naAAAADgEAAA8AAAAAAAAAAQAgAAAAIgAA&#10;AGRycy9kb3ducmV2LnhtbFBLAQIUABQAAAAIAIdO4kD92cCCBgIAAAIEAAAOAAAAAAAAAAEAIAAA&#10;ACkBAABkcnMvZTJvRG9jLnhtbFBLBQYAAAAABgAGAFkBAAChBQAAAAA=&#10;">
                  <v:fill on="f" focussize="0,0"/>
                  <v:stroke on="f"/>
                  <v:imagedata o:title=""/>
                  <o:lock v:ext="edit" aspectratio="f"/>
                  <v:textbox inset="0mm,0mm,0mm,0mm" style="mso-fit-shape-to-text:t;">
                    <w:txbxContent>
                      <w:p w14:paraId="15EA5600">
                        <w:r>
                          <w:rPr>
                            <w:rFonts w:hint="eastAsia" w:ascii="宋体" w:cs="宋体"/>
                            <w:color w:val="000000"/>
                            <w:kern w:val="0"/>
                            <w:sz w:val="20"/>
                            <w:szCs w:val="20"/>
                          </w:rPr>
                          <w:t>或其授权人：</w:t>
                        </w:r>
                      </w:p>
                    </w:txbxContent>
                  </v:textbox>
                </v:rect>
                <v:rect id="Rectangle 28" o:spid="_x0000_s1026" o:spt="1" style="position:absolute;left:1559678;top:4300855;height:147955;width:6864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TVTOpBQIAAAIEAAAOAAAAZHJzL2Uyb0RvYy54bWyt&#10;U8GO2yAQvVfqPyDuje0kThwrzmq1UapK23bV3X4AwThGNQwCEjv9+g442XZ3L3voBQ0w82be47G+&#10;GVRHTsI6Cbqi2SSlRGgOtdSHiv582n0qKHGe6Zp1oEVFz8LRm83HD+velGIKLXS1sARBtCt7U9HW&#10;e1MmieOtUMxNwAiNlw1YxTxu7SGpLesRXXXJNE0XSQ+2Nha4cA5Pt+MlvSDa9wBC00gutsCPSmg/&#10;olrRMY+UXCuNo5s4bdMI7r83jROedBVFpj6u2ATjfViTzZqVB8tMK/llBPaeEV5xUkxqbPoMtWWe&#10;kaOVb6CU5BYcNH7CQSUjkagIssjSV9o8tsyIyAWlduZZdPf/YPm304MlskYnFKssnxXLbEaJZgpf&#10;/geqx/ShE2RaBKF640rMfzQPNlB15h74L0c03LWYJm6thb4VrMbxspCfvCgIG4elZN9/hRrh2dFD&#10;1GxorAqAqAYZsDbPV4sluvBc0fksTYs8H59JDJ5wTFgUi/ksp4RjQjZfrsb7hJVXIGOd/yxAkRBU&#10;1CKP2Iid7p0Pg7HymhL6atjJrotO6PSLA0wMJ5FImH3UwA/74SLHHuozUrIwGgu/FQYt2N+U9Giq&#10;imr8Q5R0XzSKEvx3Dew12F8DpjkWVtRTMoZ3Pvp0lPoWxdrJOHwQcux7mQytETldbBy89+8+Zv39&#10;up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QF/ydoAAAAOAQAADwAAAAAAAAABACAAAAAiAAAA&#10;ZHJzL2Rvd25yZXYueG1sUEsBAhQAFAAAAAgAh07iQJNVM6kFAgAAAgQAAA4AAAAAAAAAAQAgAAAA&#10;KQEAAGRycy9lMm9Eb2MueG1sUEsFBgAAAAAGAAYAWQEAAKAFAAAAAA==&#10;">
                  <v:fill on="f" focussize="0,0"/>
                  <v:stroke on="f"/>
                  <v:imagedata o:title=""/>
                  <o:lock v:ext="edit" aspectratio="f"/>
                  <v:textbox inset="0mm,0mm,0mm,0mm" style="mso-fit-shape-to-text:t;">
                    <w:txbxContent>
                      <w:p w14:paraId="6CFC43B8">
                        <w:r>
                          <w:rPr>
                            <w:rFonts w:hint="eastAsia" w:ascii="宋体" w:cs="宋体"/>
                            <w:color w:val="000000"/>
                            <w:kern w:val="0"/>
                            <w:sz w:val="18"/>
                            <w:szCs w:val="18"/>
                          </w:rPr>
                          <w:t>(签字或盖章)</w:t>
                        </w:r>
                      </w:p>
                    </w:txbxContent>
                  </v:textbox>
                </v:rect>
                <v:rect id="Rectangle 29" o:spid="_x0000_s1026" o:spt="1" style="position:absolute;left:2966203;top:4333875;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A0Dg+BQIAAAIEAAAOAAAAZHJzL2Uyb0RvYy54bWyt&#10;U11v2yAUfZ+0/4B4X/yVZI0Vp6oaZZrUbdW6/QCCcYwGXAQkdvfrd8FJu3YvfdiLdYHDueccX9bX&#10;o1bkJJyXYBpazHJKhOHQSnNo6M8fuw9XlPjATMsUGNHQR+Hp9eb9u/Vga1FCD6oVjiCJ8fVgG9qH&#10;YOss87wXmvkZWGHwsAOnWcClO2StYwOya5WVeb7MBnCtdcCF97i7nQ7pmdG9hRC6TnKxBX7UwoSJ&#10;1QnFAlryvbSebpLarhM8fOs6LwJRDUWnIX2xCdb7+M02a1YfHLO95GcJ7C0SXnnSTBps+kS1ZYGR&#10;o5P/UGnJHXjowoyDziYjKRF0UeSvsnnomRXJC0bt7VPo/v/R8q+ne0dk29AyX5XFcjEv5pQYpvHP&#10;f8f0mDkoQcpVDGqwvkb8g7130aq3d8B/eWLgtkeYuHEOhl6wFuUVEZ+9uBAXHq+S/fAFWqRnxwAp&#10;s7FzOhJiGmREIavlsswrSh4bOq+q6urjYvpNYgyEI6Ao5qtqQQlHQLGocqxjN1ZfiKzz4ZMATWLR&#10;UIc+UiN2uvNhgl4gsa+BnVQK91mtzIsN5Iw7yUjUPmUQxv2I6GhoD+0jWnIwDRY+Kyx6cL8pGXCo&#10;GmrwDVGiPhsMJc7fpXCXYn8pmOF4saGBkqm8DWlOoyBvbzCsnUzin/ueleFoJPvnMY6z9/c6oZ6f&#10;7uY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QF/ydoAAAAOAQAADwAAAAAAAAABACAAAAAiAAAA&#10;ZHJzL2Rvd25yZXYueG1sUEsBAhQAFAAAAAgAh07iQEDQOD4FAgAAAgQAAA4AAAAAAAAAAQAgAAAA&#10;KQEAAGRycy9lMm9Eb2MueG1sUEsFBgAAAAAGAAYAWQEAAKAFAAAAAA==&#10;">
                  <v:fill on="f" focussize="0,0"/>
                  <v:stroke on="f"/>
                  <v:imagedata o:title=""/>
                  <o:lock v:ext="edit" aspectratio="f"/>
                  <v:textbox inset="0mm,0mm,0mm,0mm" style="mso-fit-shape-to-text:t;">
                    <w:txbxContent>
                      <w:p w14:paraId="43F9C1FD"/>
                    </w:txbxContent>
                  </v:textbox>
                </v:rect>
                <v:rect id="Rectangle 30" o:spid="_x0000_s1026" o:spt="1" style="position:absolute;left:1227573;top:5631180;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r25v3AwIAAAIEAAAOAAAAZHJzL2Uyb0RvYy54bWyt&#10;U0Fu2zAQvBfoHwjea1lynNiC5SCI4aJA2gRN+wCaoiyiIpdY0pbS13dJ2UmTXnLoRRiSy9md0XB1&#10;PZiOHRV6Dbbi+WTKmbISam33Ff/5Y/tpwZkPwtaiA6sq/qQ8v15//LDqXakKaKGrFTIisb7sXcXb&#10;EFyZZV62ygg/AacsHTaARgRa4j6rUfTEbrqsmE4vsx6wdghSeU+7m/GQnxjxPYTQNFqqDciDUTaM&#10;rKg6EUiSb7XzfJ2mbRolw33TeBVYV3FSGtKXmhDexW+2Xolyj8K1Wp5GEO8Z4Y0mI7Slps9UGxEE&#10;O6D+h8poieChCRMJJhuFJEdIRT59481jK5xKWshq755N9/+PVn47PiDTNSVhUVwsF8t8XnBmhaE/&#10;/53cE3bfKTZLRvXOl1T/6B4wSvXuDuQvzyzctlSmbhChb5Woabw8Gpu9uhAXnq6yXf8VaqIXhwDJ&#10;s6FBEwnJDTbQ3aK4ml/NOHuq+PxylueL029SQ2AyFuQXy9mcM0kF+Xw2JRy7ifJM5NCHzwoMi6Di&#10;SDpSI3G882EsPZfEvha2uutSEjr7aoM4404SEmePsfJlGHYDVUe4g/qJJCGMwaJnRaAF/M1ZT6Gq&#10;uKU3xFn3xZIpMX9ngGewOwNhJV2seOBshLch5XS0+obM2uo0/Evf02QUjST/FOOYvb/Xqerl6a7/&#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EBf8naAAAADgEAAA8AAAAAAAAAAQAgAAAAIgAAAGRy&#10;cy9kb3ducmV2LnhtbFBLAQIUABQAAAAIAIdO4kBr25v3AwIAAAIEAAAOAAAAAAAAAAEAIAAAACkB&#10;AABkcnMvZTJvRG9jLnhtbFBLBQYAAAAABgAGAFkBAACeBQAAAAA=&#10;">
                  <v:fill on="f" focussize="0,0"/>
                  <v:stroke on="f"/>
                  <v:imagedata o:title=""/>
                  <o:lock v:ext="edit" aspectratio="f"/>
                  <v:textbox inset="0mm,0mm,0mm,0mm" style="mso-fit-shape-to-text:t;">
                    <w:txbxContent>
                      <w:p w14:paraId="09BCC3FE"/>
                    </w:txbxContent>
                  </v:textbox>
                </v:rect>
                <v:rect id="Rectangle 31" o:spid="_x0000_s1026" o:spt="1" style="position:absolute;left:2966203;top:5603875;height:164465;width:762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AjwQB9AwIAAAIEAAAOAAAAZHJzL2Uyb0RvYy54bWyt&#10;U8tu2zAQvBfoPxC815JfSiJYDoIYLgqkbdC0H0BTlEWU4hJL2pL79V1Sdtqklxx6EZbkcHZmtFzd&#10;Dp1hR4Veg634dJJzpqyEWtt9xX9833645swHYWthwKqKn5Tnt+v371a9K9UMWjC1QkYk1pe9q3gb&#10;giuzzMtWdcJPwClLhw1gJwItcZ/VKHpi70w2y/Mi6wFrhyCV97S7GQ/5mRHfQghNo6XagDx0yoaR&#10;FZURgSz5VjvP10lt0ygZvjaNV4GZipPTkL7UhOpd/GbrlSj3KFyr5VmCeIuEV546oS01fabaiCDY&#10;AfU/VJ2WCB6aMJHQZaORlAi5mOavsnlqhVPJC0Xt3XPo/v/Ryi/HR2S6rvgsn99c5UWxWHJmRUd/&#10;/hulJ+zeKDafxqB650vCP7lHjFa9ewD50zML9y3B1B0i9K0SNclL+OzFhbjwdJXt+s9QE704BEiZ&#10;DQ12kZDSYAMJuSkKEsPZqeLLIp9fXy3H36SGwCQBropZMSeVkgDTYrEo0nkmyguRQx8+KuhYLCqO&#10;5CM1EscHH8gIQS+Q2NfCVhuTJsHYFxsEjDvJSNQ+ZhCG3XCOYwf1iSwhjINFz4qKFvAXZz0NVcUt&#10;vSHOzCdLocT5uxR4KXaXQlhJFyseOBvL+5DmdIz6jsLa6iQ+Bjn2PSuj0UiezmMcZ+/vdUL9ebr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EBf8naAAAADgEAAA8AAAAAAAAAAQAgAAAAIgAAAGRy&#10;cy9kb3ducmV2LnhtbFBLAQIUABQAAAAIAIdO4kAjwQB9AwIAAAIEAAAOAAAAAAAAAAEAIAAAACkB&#10;AABkcnMvZTJvRG9jLnhtbFBLBQYAAAAABgAGAFkBAACeBQAAAAA=&#10;">
                  <v:fill on="f" focussize="0,0"/>
                  <v:stroke on="f"/>
                  <v:imagedata o:title=""/>
                  <o:lock v:ext="edit" aspectratio="f"/>
                  <v:textbox inset="0mm,0mm,0mm,0mm" style="mso-fit-shape-to-text:t;">
                    <w:txbxContent>
                      <w:p w14:paraId="350D6A2A">
                        <w:r>
                          <w:rPr>
                            <w:rFonts w:hint="eastAsia" w:ascii="宋体" w:cs="宋体"/>
                            <w:color w:val="000000"/>
                            <w:kern w:val="0"/>
                            <w:sz w:val="20"/>
                            <w:szCs w:val="20"/>
                          </w:rPr>
                          <w:t>复  核  人：</w:t>
                        </w:r>
                      </w:p>
                    </w:txbxContent>
                  </v:textbox>
                </v:rect>
                <v:rect id="Rectangle 32" o:spid="_x0000_s1026" o:spt="1" style="position:absolute;left:1227573;top:1318895;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DOsGPAwIAAAIEAAAOAAAAZHJzL2Uyb0RvYy54bWyt&#10;U0Fu2zAQvBfoHwjea9lWXDuC5SCI4aJA2gRN+wCaoiyiIpdY0pbc13dJWWmTXnLoRVhSy9mZ4XB9&#10;05uWnRR6Dbbks8mUM2UlVNoeSv7j++7DijMfhK1EC1aV/Kw8v9m8f7fuXKHm0EBbKWQEYn3RuZI3&#10;Ibgiy7xslBF+Ak5Z+lkDGhFoiYesQtERummz+XT6MesAK4cglfe0ux1+8gsivgUQ6lpLtQV5NMqG&#10;ARVVKwJJ8o12nm8S27pWMjzUtVeBtSUnpSF9aQjV+/jNNmtRHFC4RssLBfEWCq80GaEtDX2G2oog&#10;2BH1P1BGSwQPdZhIMNkgJDlCKmbTV948NcKppIWs9u7ZdP//YOXX0yMyXVESpvkiX17lK7p/Kwzd&#10;/DdyT9hDq1g+j0Z1zhfU/+QeMUr17h7kT88s3DXUpm4RoWuUqIjeLPZnLw7EhaejbN99gYrgxTFA&#10;8qyv0URAcoP1dHY+Xy6WOWdnqvPZanW9GK5J9YHJ2DC7us4XnMnYsMiJd5omihHIoQ+fFBgWi5Ij&#10;6UiDxOneh0hMFGNLnGthp9s2JaG1LzaoMe4kIZH74EHo9/3Fjj1UZ5KEMASLnhUVDeAvzjoKVckt&#10;vSHO2s+WTIn5Gwsci/1YCCvpYMkDZ0N5F1JOB6tvyaydTuSjkcPcCzOKRtJ0iXHM3t/r1PXn6W5+&#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EBf8naAAAADgEAAA8AAAAAAAAAAQAgAAAAIgAAAGRy&#10;cy9kb3ducmV2LnhtbFBLAQIUABQAAAAIAIdO4kCDOsGPAwIAAAIEAAAOAAAAAAAAAAEAIAAAACkB&#10;AABkcnMvZTJvRG9jLnhtbFBLBQYAAAAABgAGAFkBAACeBQAAAAA=&#10;">
                  <v:fill on="f" focussize="0,0"/>
                  <v:stroke on="f"/>
                  <v:imagedata o:title=""/>
                  <o:lock v:ext="edit" aspectratio="f"/>
                  <v:textbox inset="0mm,0mm,0mm,0mm" style="mso-fit-shape-to-text:t;">
                    <w:txbxContent>
                      <w:p w14:paraId="7E09FA4C"/>
                    </w:txbxContent>
                  </v:textbox>
                </v:rect>
                <v:rect id="Rectangle 33" o:spid="_x0000_s1026" o:spt="1" style="position:absolute;left:2966203;top:1318895;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A3kPpIBAIAAAIEAAAOAAAAZHJzL2Uyb0RvYy54bWyt&#10;U01vGyEQvVfqf0Dc6/3quvbK6yiK5apS2kRN+gMwy3pRgUGAvev++g67dtIklxx6QcPweDPvMayu&#10;Bq3IUTgvwdQ0m6WUCMOhkWZf01+P208LSnxgpmEKjKjpSXh6tf74YdXbSuTQgWqEI0hifNXbmnYh&#10;2CpJPO+EZn4GVhg8bMFpFnDr9knjWI/sWiV5ms6THlxjHXDhPWY30yE9M7r3EELbSi42wA9amDCx&#10;OqFYQEm+k9bT9dht2woe7trWi0BUTVFpGFcsgvEursl6xaq9Y7aT/NwCe08LrzRpJg0WfaLasMDI&#10;wck3VFpyBx7aMOOgk0nI6AiqyNJX3jx0zIpRC1rt7ZPp/v/R8h/He0dkg5OQlV8WZV4WOSWGaXz5&#10;n+geM3slSFFEo3rrK8Q/2HsXpXp7C/y3JwZuOoSJa+eg7wRrsL0s4pMXF+LG41Wy679Dg/TsEGD0&#10;bGidjoToBhlqmi/n8zwtKDkhT5EtFstyeiYxBMIRkGWfl0VJCY+AskgxjtVYdSGyzoevAjSJQU0d&#10;6hgLseOtDxP0Aol1DWylUphnlTIvEsgZM6OQ2PvkQRh2A6KjoB00J5TkYBos/FYYdOD+UNLjUNXU&#10;4B+iRH0zaEqcv0vgLsHuEjDD8WJNAyVTeBPGOY0NeXuNZm3l2Pxz3XNnOBqj/PMYx9n7dz+inr/u&#10;+i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AX/J2gAAAA4BAAAPAAAAAAAAAAEAIAAAACIAAABk&#10;cnMvZG93bnJldi54bWxQSwECFAAUAAAACACHTuJAN5D6SAQCAAACBAAADgAAAAAAAAABACAAAAAp&#10;AQAAZHJzL2Uyb0RvYy54bWxQSwUGAAAAAAYABgBZAQAAnwUAAAAA&#10;">
                  <v:fill on="f" focussize="0,0"/>
                  <v:stroke on="f"/>
                  <v:imagedata o:title=""/>
                  <o:lock v:ext="edit" aspectratio="f"/>
                  <v:textbox inset="0mm,0mm,0mm,0mm" style="mso-fit-shape-to-text:t;">
                    <w:txbxContent>
                      <w:p w14:paraId="09F01C2F"/>
                    </w:txbxContent>
                  </v:textbox>
                </v:rect>
                <v:rect id="Rectangle 34" o:spid="_x0000_s1026" o:spt="1" style="position:absolute;left:1227573;top:2616200;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v/ZqzAgIAAAAEAAAOAAAAZHJzL2Uyb0RvYy54bWyt&#10;U11v2yAUfZ+0/4B4Xxw7X40Vp6oaZZrUrdW6/gCCcYwGXAQkdvbrd8FJu3YvfeiLdYHDueccX1bX&#10;vVbkKJyXYCqaj8aUCMOhlmZf0adf2y9XlPjATM0UGFHRk/D0ev3506qzpSigBVULR5DE+LKzFW1D&#10;sGWWed4KzfwIrDB42IDTLODS7bPasQ7ZtcqK8XiedeBq64AL73F3MxzSM6N7DyE0jeRiA/yghQkD&#10;qxOKBbTkW2k9XSe1TSN4uG8aLwJRFUWnIX2xCda7+M3WK1buHbOt5GcJ7D0S3njSTBps+ky1YYGR&#10;g5P/UWnJHXhowoiDzgYjKRF0kY/fZPPYMiuSF4za2+fQ/cfR8h/HB0dkXdFieTVdLiYFJYZp/O8/&#10;MTtm9kqQyTTG1FlfIvrRPrho1Ns74L89MXDbIkzcOAddK1iN4vKIz15diAuPV8mu+w410rNDgJRY&#10;3zgdCTEL0uPdoljMFhNKTihpns9xZIafJPpAeATk0+VkRglHQD6bjLGO3Vh5IbLOh68CNIlFRR36&#10;SI3Y8c6HAXqBxL4GtlIp3GelMq82kDPuJCNR+5BB6Hc9oqOhHdQntORgGCt8VFi04P5Q0uFIVdTg&#10;C6JEfTMYSpy+S+Euxe5SMMPxYkUDJUN5G9KURkHe3mBYW5nEv/Q9K8PBSPbPQxwn7991Qr083P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QF/ydoAAAAOAQAADwAAAAAAAAABACAAAAAiAAAAZHJz&#10;L2Rvd25yZXYueG1sUEsBAhQAFAAAAAgAh07iQK/9mrMCAgAAAAQAAA4AAAAAAAAAAQAgAAAAKQEA&#10;AGRycy9lMm9Eb2MueG1sUEsFBgAAAAAGAAYAWQEAAJ0FAAAAAA==&#10;">
                  <v:fill on="f" focussize="0,0"/>
                  <v:stroke on="f"/>
                  <v:imagedata o:title=""/>
                  <o:lock v:ext="edit" aspectratio="f"/>
                  <v:textbox inset="0mm,0mm,0mm,0mm" style="mso-fit-shape-to-text:t;">
                    <w:txbxContent>
                      <w:p w14:paraId="668610FD"/>
                    </w:txbxContent>
                  </v:textbox>
                </v:rect>
                <v:rect id="Rectangle 35" o:spid="_x0000_s1026" o:spt="1" style="position:absolute;left:2966203;top:2611120;height:164465;width:8261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13LCaAQIAAAEEAAAOAAAAZHJzL2Uyb0RvYy54bWyt&#10;U9Fu2yAUfZ+0f0C8L46dxuqsOFXVKNOkbqva7QMIxjEacBGQ2NnX74Ltbu1e+rAXdLlczj3ncNnc&#10;DFqRs3BegqlpvlhSIgyHRppjTX9833+4psQHZhqmwIiaXoSnN9v37za9rUQBHahGOIIgxle9rWkX&#10;gq2yzPNOaOYXYIXBwxacZgG37pg1jvWIrlVWLJdl1oNrrAMuvMfsbjykE6J7CyC0reRiB/ykhQkj&#10;qhOKBZTkO2k93Sa2bSt4+Na2XgSiaopKQ1qxCcaHuGbbDauOjtlO8okCewuFV5o0kwabPkPtWGDk&#10;5OQ/UFpyBx7asOCgs1FIcgRV5MtX3jx1zIqkBa329tl0//9g+dfzgyOyqWmZr9bFer1CZwzT+PCP&#10;aB4zRyXIah196q2vsPzJPrio1Nt74D89MXDXYZm4dQ76TrAG2eWxPntxIW48XiWH/gs0CM9OAZJl&#10;Q+t0BEQzyFDT4mNZFssVJReMyzzPi+mVxBAIx4JrzCIjwrEgL6+uysQuY9UMZJ0PnwRoEoOaOtSR&#10;GrHzvQ+RGKvmktjXwF4qlQZBmRcJLIyZJCRyHz0Iw2GY7DhAc0FJDsa5wl+FQQfuFyU9zlRNDX4h&#10;StRng6bE8ZsDNweHOWCG48WaBkrG8C6kMR2tvkWz9jKRj0aOfSdmOBlJ0zTFcfT+3qeqPz93+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xAX/J2gAAAA4BAAAPAAAAAAAAAAEAIAAAACIAAABkcnMv&#10;ZG93bnJldi54bWxQSwECFAAUAAAACACHTuJA9dywmgECAAABBAAADgAAAAAAAAABACAAAAApAQAA&#10;ZHJzL2Uyb0RvYy54bWxQSwUGAAAAAAYABgBZAQAAnAUAAAAA&#10;">
                  <v:fill on="f" focussize="0,0"/>
                  <v:stroke on="f"/>
                  <v:imagedata o:title=""/>
                  <o:lock v:ext="edit" aspectratio="f"/>
                  <v:textbox inset="0mm,0mm,0mm,0mm" style="mso-fit-shape-to-text:t;">
                    <w:txbxContent>
                      <w:p w14:paraId="7375EAC0">
                        <w:r>
                          <w:rPr>
                            <w:rFonts w:hint="eastAsia" w:ascii="宋体" w:cs="宋体"/>
                            <w:color w:val="000000"/>
                            <w:kern w:val="0"/>
                            <w:sz w:val="20"/>
                            <w:szCs w:val="20"/>
                          </w:rPr>
                          <w:t>造 价咨询人：</w:t>
                        </w:r>
                      </w:p>
                    </w:txbxContent>
                  </v:textbox>
                </v:rect>
                <v:rect id="Rectangle 36" o:spid="_x0000_s1026" o:spt="1" style="position:absolute;left:1614288;top:2807335;height:147955;width:5721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xQPHZBAIAAAEEAAAOAAAAZHJzL2Uyb0RvYy54bWyt&#10;U8GO2yAQvVfqPyDujWMncVIrzmq1UapK2+6q234AwThGBQYBiZ1+fQecbLvbyx56QcMwvJn3eKxv&#10;Bq3ISTgvwdQ0n0wpEYZDI82hpj++7z6sKPGBmYYpMKKmZ+Hpzeb9u3VvK1FAB6oRjiCI8VVva9qF&#10;YKss87wTmvkJWGHwsAWnWcCtO2SNYz2ia5UV02mZ9eAa64AL7zG7HQ/pBdG9BRDaVnKxBX7UwoQR&#10;1QnFAlLynbSebtK0bSt4eGhbLwJRNUWmIa3YBON9XLPNmlUHx2wn+WUE9pYRXnHSTBps+gy1ZYGR&#10;o5P/QGnJHXhow4SDzkYiSRFkkU9fafPUMSsSF5Ta22fR/f+D5V9Pj47IpqZlXhbzYr4qKTFM48N/&#10;Q/GYOShBZmXUqbe+wvIn++giU2/vgf/0xMBdh2Xi1jnoO8EanC6P9dmLC3Hj8SrZ91+gQXh2DJAk&#10;G1qnIyCKQQa8W+bzYoUmPNe0WE2Xs9lifCUxBMKxYLEscswRjgX5fPlxkc4zVl2BrPPhkwBNYlBT&#10;hzxSI3a69yEOxqprSexrYCeVSkZQ5kUCC2MmEYmzjxqEYT9c5NhDc0ZKDkZf4a/CoAP3i5IePVVT&#10;g1+IEvXZoCjRftfAXYP9NWCG48WaBkrG8C4km45S36JYO5mGj0KOfS+ToTMSp4uLo/X+3qeqPz93&#10;8x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AX/J2gAAAA4BAAAPAAAAAAAAAAEAIAAAACIAAABk&#10;cnMvZG93bnJldi54bWxQSwECFAAUAAAACACHTuJA8UDx2QQCAAABBAAADgAAAAAAAAABACAAAAAp&#10;AQAAZHJzL2Uyb0RvYy54bWxQSwUGAAAAAAYABgBZAQAAnwUAAAAA&#10;">
                  <v:fill on="f" focussize="0,0"/>
                  <v:stroke on="f"/>
                  <v:imagedata o:title=""/>
                  <o:lock v:ext="edit" aspectratio="f"/>
                  <v:textbox inset="0mm,0mm,0mm,0mm" style="mso-fit-shape-to-text:t;">
                    <w:txbxContent>
                      <w:p w14:paraId="479AB0B4">
                        <w:r>
                          <w:rPr>
                            <w:rFonts w:hint="eastAsia" w:ascii="宋体" w:cs="宋体"/>
                            <w:color w:val="000000"/>
                            <w:kern w:val="0"/>
                            <w:sz w:val="18"/>
                            <w:szCs w:val="18"/>
                          </w:rPr>
                          <w:t>(单位盖章)</w:t>
                        </w:r>
                      </w:p>
                    </w:txbxContent>
                  </v:textbox>
                </v:rect>
                <v:rect id="Rectangle 37" o:spid="_x0000_s1026" o:spt="1" style="position:absolute;left:2966203;top:2839720;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GaGKqAwIAAAEEAAAOAAAAZHJzL2Uyb0RvYy54bWyt&#10;U11v2yAUfZ+0/4B4X2wny5cVp6oaZZrUbdW6/QCMcYwGXAQkdvbrd8FJu3YvfdiLdYDDufccXzY3&#10;g1bkJJyXYCpaTHJKhOHQSHOo6M8f+w8rSnxgpmEKjKjoWXh6s33/btPbUkyhA9UIR1DE+LK3Fe1C&#10;sGWWed4JzfwErDB42ILTLODSHbLGsR7Vtcqmeb7IenCNdcCF97i7Gw/pRdG9RRDaVnKxA37UwoRR&#10;1QnFAlrynbSeblO3bSt4+Na2XgSiKopOQ/piEcR1/GbbDSsPjtlO8ksL7C0tvPKkmTRY9ElqxwIj&#10;Ryf/kdKSO/DQhgkHnY1GUiLooshfZfPYMSuSF4za26fQ/f+T5V9PD47IpqLLfF7kq2JeUGKYxh//&#10;HcNj5qAEmS1jTr31JdIf7YOLTr29B/7LEwN3HdLErXPQd4I12F0R+dmLC3Hh8Sqp+y/QoDw7BkiR&#10;Da3TURDDIENFp+vFYprPKDkjXs3Wy+nlL4khEI6Eovi4ns0p4Ugo5rMccazGyquQdT58EqBJBBV1&#10;6CMVYqd7H0bqlRLrGthLpXCflcq82EDNuJOMxN7HDMJQD8iOhmpozmjJwThX+KoQdOB+U9LjTFXU&#10;4BOiRH02GEocvytwV1BfATMcL1Y0UDLCu5DGNDbk7S2GtZep+ee6l85wMpL9yxTH0ft7nVjPL3f7&#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EBf8naAAAADgEAAA8AAAAAAAAAAQAgAAAAIgAAAGRy&#10;cy9kb3ducmV2LnhtbFBLAQIUABQAAAAIAIdO4kBGaGKqAwIAAAEEAAAOAAAAAAAAAAEAIAAAACkB&#10;AABkcnMvZTJvRG9jLnhtbFBLBQYAAAAABgAGAFkBAACeBQAAAAA=&#10;">
                  <v:fill on="f" focussize="0,0"/>
                  <v:stroke on="f"/>
                  <v:imagedata o:title=""/>
                  <o:lock v:ext="edit" aspectratio="f"/>
                  <v:textbox inset="0mm,0mm,0mm,0mm" style="mso-fit-shape-to-text:t;">
                    <w:txbxContent>
                      <w:p w14:paraId="53D09A10"/>
                    </w:txbxContent>
                  </v:textbox>
                </v:rect>
                <v:rect id="Rectangle 38" o:spid="_x0000_s1026" o:spt="1" style="position:absolute;left:11548;top:408940;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p64ZjAQIAAP8DAAAOAAAAZHJzL2Uyb0RvYy54bWyt&#10;U01vGyEQvVfqf0Dc692NP7JZeR1FsVxVSpuoaX4AZlkvKjAIsHfdX9+BtZMmveSQCxqG4c28x2N5&#10;PWhFDsJ5CaamxSSnRBgOjTS7mj792nwpKfGBmYYpMKKmR+Hp9erzp2VvK3EBHahGOIIgxle9rWkX&#10;gq2yzPNOaOYnYIXBwxacZgG3bpc1jvWIrlV2keeLrAfXWAdceI/Z9XhIT4juPYDQtpKLNfC9FiaM&#10;qE4oFpCS76T1dJWmbVvBw33behGIqikyDWnFJhhv45qtlqzaOWY7yU8jsPeM8IaTZtJg02eoNQuM&#10;7J38D0pL7sBDGyYcdDYSSYogiyJ/o81jx6xIXFBqb59F9x8Hy38cHhyRDTqhLC4X5XRRXlJimMaX&#10;/4nqMbNTgkzLKFRvfYX1j/bBRare3gH/7YmB2w7LxI1z0HeCNTheEeuzVxfixuNVsu2/Q4PwbB8g&#10;aTa0TkdAVIMMeLeYz9CDx5rO8vJqdnojMQTC0+nsajqnhON5MZ/mGMdWrDqjWOfDVwGaxKCmDkmk&#10;Luxw58NYei6JTQ1spFKYZ5UyrxKIGTOJRRx8FCAM2wGrI5stNEfk42B0Ff4pDDpwfyjp0VE1NfiB&#10;KFHfDCoSzXcO3DnYngNmOF6saaBkDG9DMmkcyNsbVGoj0/AvfU+ToS8S/ZOHo/H+3aeql3+7+g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xAX/J2gAAAA4BAAAPAAAAAAAAAAEAIAAAACIAAABkcnMv&#10;ZG93bnJldi54bWxQSwECFAAUAAAACACHTuJAaeuGYwECAAD/AwAADgAAAAAAAAABACAAAAApAQAA&#10;ZHJzL2Uyb0RvYy54bWxQSwUGAAAAAAYABgBZAQAAnAUAAAAA&#10;">
                  <v:fill on="f" focussize="0,0"/>
                  <v:stroke on="f"/>
                  <v:imagedata o:title=""/>
                  <o:lock v:ext="edit" aspectratio="f"/>
                  <v:textbox inset="0mm,0mm,0mm,0mm" style="mso-fit-shape-to-text:t;">
                    <w:txbxContent>
                      <w:p w14:paraId="71D7671C"/>
                    </w:txbxContent>
                  </v:textbox>
                </v:rect>
                <v:rect id="Rectangle 39" o:spid="_x0000_s1026" o:spt="1" style="position:absolute;left:1750813;top:76200;height:247015;width:1905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A3USc7AwIAAP8DAAAOAAAAZHJzL2Uyb0RvYy54bWyt&#10;U8Fu2zAMvQ/YPwi6L3acJWmMOEXRIMOAbi3W7QMUWY6FWaJAKbG7rx8lJ93aXXrYRaBE6pHv6Wl9&#10;PZiOnRR6Dbbi00nOmbISam0PFf/xfffhijMfhK1FB1ZV/El5fr15/27du1IV0EJXK2QEYn3Zu4q3&#10;Ibgyy7xslRF+Ak5ZSjaARgTa4iGrUfSEbrqsyPNF1gPWDkEq7+l0Oyb5GRHfAghNo6XagjwaZcOI&#10;iqoTgSj5VjvPN2naplEy3DeNV4F1FSemIa3UhOJ9XLPNWpQHFK7V8jyCeMsIrzgZoS01fYbaiiDY&#10;EfU/UEZLBA9NmEgw2UgkKUIspvkrbR5b4VTiQlJ79yy6/3+w8uvpAZmuK14sVouiWC05s8LQu38j&#10;7YQ9dIrNVlGm3vmSqh/dA0ai3t2B/OmZhduWytQNIvStEjUNN4312YsLcePpKtv3X6AmeHEMkBQb&#10;GjQRkLRgA91dzvOr6Yyzp4ovF2SY8YnUEJiM6VU+X8zmnEnKFx+X+XSemonyguPQh08KDItBxZFo&#10;pD7idOdDnEuUl5LY1sJOd12yQWdfHFBhPEk84uijBGHYD2c19lA/ESOE0VX0pyhoAX9x1pOjKm7p&#10;A3HWfbakSTTfJcBLsL8Ewkq6WPHA2RjehmTSUekb0mqn0/BRx7HveTLyReJ09nA03t/7VPXn325+&#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EBf8naAAAADgEAAA8AAAAAAAAAAQAgAAAAIgAAAGRy&#10;cy9kb3ducmV2LnhtbFBLAQIUABQAAAAIAIdO4kA3USc7AwIAAP8DAAAOAAAAAAAAAAEAIAAAACkB&#10;AABkcnMvZTJvRG9jLnhtbFBLBQYAAAAABgAGAFkBAACeBQAAAAA=&#10;">
                  <v:fill on="f" focussize="0,0"/>
                  <v:stroke on="f"/>
                  <v:imagedata o:title=""/>
                  <o:lock v:ext="edit" aspectratio="f"/>
                  <v:textbox inset="0mm,0mm,0mm,0mm" style="mso-fit-shape-to-text:t;">
                    <w:txbxContent>
                      <w:p w14:paraId="372D979D">
                        <w:r>
                          <w:rPr>
                            <w:rFonts w:hint="eastAsia" w:ascii="宋体" w:cs="宋体"/>
                            <w:color w:val="000000"/>
                            <w:kern w:val="0"/>
                            <w:sz w:val="30"/>
                            <w:szCs w:val="30"/>
                          </w:rPr>
                          <w:t>久凌大厦项目室内改造</w:t>
                        </w:r>
                      </w:p>
                    </w:txbxContent>
                  </v:textbox>
                </v:rect>
                <v:rect id="Rectangle 40" o:spid="_x0000_s1026" o:spt="1" style="position:absolute;left:2535673;top:327025;height:247015;width:3816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8IDxWBQIAAAAEAAAOAAAAZHJzL2Uyb0RvYy54bWyt&#10;U01vGyEQvVfqf0Dc6/2K7XhlHEWxXFVKm6hpfwDLsl7UXQYB9q776zuwdtKklxx6QQMzvJn3eKxv&#10;xr4jR2mdAs1oNkspkVpArfSe0Z8/dp+uKXGe65p3oCWjJ+nozebjh/VgSplDC10tLUEQ7crBMNp6&#10;b8okcaKVPXczMFJjsgHbc49bu09qywdE77skT9NFMoCtjQUhncPT7ZSkZ0T7HkBoGiXkFsShl9pP&#10;qFZ23CMl1yrj6CZO2zRS+IemcdKTjlFk6uOKTTCuwpps1rzcW25aJc4j8PeM8IZTz5XGps9QW+45&#10;OVj1D1SvhAUHjZ8J6JOJSFQEWWTpG22eWm5k5IJSO/Msuvt/sOLb8dESVTO6mmerYrVI8fk17/Hh&#10;v6N4XO87Sa6iToNxJZY/mUcbmDpzD+KXIxruWiyTt9bC0Epe43RZ0DV5dSFsHF4l1fAVaoTnBw9R&#10;srGxfQBEMcjIaD4v5otlQcmJ0SJfpvl8eiQ5eiIwX1xni2JOicB8frVMs5hPeHnBMdb5zxJ6EgJG&#10;LdKIffjx3vkwFy8vJaGthp3quuiDTr86wMJwEnmE0YOpXOnHasTqEFZQn5CRhclW+KkwaMH+pmRA&#10;SzGq8QdR0n3RqElw3yWwl6C6BFwLvMiop2QK73x06aT0LWq1U3H4l77nydAYkdPZxMF5f+9j1cvH&#10;3fw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QF/ydoAAAAOAQAADwAAAAAAAAABACAAAAAiAAAA&#10;ZHJzL2Rvd25yZXYueG1sUEsBAhQAFAAAAAgAh07iQPwgPFYFAgAAAAQAAA4AAAAAAAAAAQAgAAAA&#10;KQEAAGRycy9lMm9Eb2MueG1sUEsFBgAAAAAGAAYAWQEAAKAFAAAAAA==&#10;">
                  <v:fill on="f" focussize="0,0"/>
                  <v:stroke on="f"/>
                  <v:imagedata o:title=""/>
                  <o:lock v:ext="edit" aspectratio="f"/>
                  <v:textbox inset="0mm,0mm,0mm,0mm" style="mso-fit-shape-to-text:t;">
                    <w:txbxContent>
                      <w:p w14:paraId="46113BF3">
                        <w:r>
                          <w:rPr>
                            <w:rFonts w:hint="eastAsia" w:ascii="宋体" w:cs="宋体"/>
                            <w:color w:val="000000"/>
                            <w:kern w:val="0"/>
                            <w:sz w:val="30"/>
                            <w:szCs w:val="30"/>
                          </w:rPr>
                          <w:t>工程</w:t>
                        </w:r>
                      </w:p>
                    </w:txbxContent>
                  </v:textbox>
                </v:rect>
                <v:rect id="Rectangle 41" o:spid="_x0000_s1026" o:spt="1" style="position:absolute;left:3810753;top:327025;height:247015;width:38290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BZ8eNjAQIAAAEEAAAOAAAAZHJzL2Uyb0RvYy54bWyt&#10;U01vGyEQvVfqf0Dc6/1IHG9WXkdRLFeV0jZq0h+AWdaLCgwC7F3313dg7bRJLjn0ggZmeDPv8Vje&#10;jFqRg3BegmloMcspEYZDK82uoT+fNp8qSnxgpmUKjGjoUXh6s/r4YTnYWpTQg2qFIwhifD3YhvYh&#10;2DrLPO+FZn4GVhhMduA0C7h1u6x1bEB0rbIyz6+yAVxrHXDhPZ6upyQ9Ibr3AELXSS7WwPdamDCh&#10;OqFYQEq+l9bTVZq26wQP37vOi0BUQ5FpSCs2wXgb12y1ZPXOMdtLfhqBvWeEV5w0kwabPkOtWWBk&#10;7+QbKC25Aw9dmHHQ2UQkKYIsivyVNo89syJxQam9fRbd/z9Y/u3w4Ihs0QlVdVWUVZVfU2KYxpf/&#10;geoxs1OCXBZRqMH6Gusf7YOLVL29B/7LEwN3PZaJW+dg6AVrcbxUn724EDcer5Lt8BVahGf7AEmz&#10;sXM6AqIaZGzoRVXki/kFJUeMy0VezqdXEmMgPOXL63xOCcd8ebnIi5TPWH3Gsc6HzwI0iUFDHdJI&#10;fdjh3gfkgaXnktjWwEYqlYygzIsDLIwniUccfZIgjNvxpMYW2iMycjD5Cn8VBj2435QM6KmGGvxC&#10;lKgvBjWJ9jsH7hxszwEzHC82NFAyhXch2XRS+ha12sg0fNRx6nuaDJ2ROJ1cHK337z5V/f25q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xAX/J2gAAAA4BAAAPAAAAAAAAAAEAIAAAACIAAABkcnMv&#10;ZG93bnJldi54bWxQSwECFAAUAAAACACHTuJAWfHjYwECAAABBAAADgAAAAAAAAABACAAAAApAQAA&#10;ZHJzL2Uyb0RvYy54bWxQSwUGAAAAAAYABgBZAQAAnAUAAAAA&#10;">
                  <v:fill on="f" focussize="0,0"/>
                  <v:stroke on="f"/>
                  <v:imagedata o:title=""/>
                  <o:lock v:ext="edit" aspectratio="f"/>
                  <v:textbox inset="0mm,0mm,0mm,0mm" style="mso-fit-shape-to-text:t;">
                    <w:txbxContent>
                      <w:p w14:paraId="7DCF1BA8">
                        <w:r>
                          <w:rPr>
                            <w:rFonts w:hint="eastAsia" w:ascii="宋体" w:cs="宋体"/>
                            <w:b/>
                            <w:bCs/>
                            <w:color w:val="000000"/>
                            <w:kern w:val="0"/>
                            <w:sz w:val="30"/>
                            <w:szCs w:val="30"/>
                          </w:rPr>
                          <w:t>工程</w:t>
                        </w:r>
                      </w:p>
                    </w:txbxContent>
                  </v:textbox>
                </v:rect>
                <v:rect id="Rectangle 42" o:spid="_x0000_s1026" o:spt="1" style="position:absolute;left:22978;top:915670;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uQ4MEAgIAAP8DAAAOAAAAZHJzL2Uyb0RvYy54bWyt&#10;U0Fu2zAQvBfoHwjea1ly7NSC5SCI4aJA2gZN+wCaoiyiJJdY0pbc13cp2UmTXnLoRViSy9mZ0XB1&#10;01vDjgqDBlfxfDLlTDkJtXb7iv/8sf3wkbMQhauFAacqflKB36zfv1t1vlQFtGBqhYxAXCg7X/E2&#10;Rl9mWZCtsiJMwCtHhw2gFZGWuM9qFB2hW5MV0+ki6wBrjyBVCLS7GQ/5GRHfAghNo6XagDxY5eKI&#10;isqISJJCq33g64Ft0ygZvzVNUJGZipPSOHxpCNW79M3WK1HuUfhWyzMF8RYKrzRZoR0NfYLaiCjY&#10;AfU/UFZLhABNnEiw2ShkcIRU5NNX3jy2wqtBC1kd/JPp4f/Byq/HB2S6piTki6KYzYkFZ05Y+vPf&#10;yT3h9kaxqyIZ1flQUv+jf8AkNfh7kL8Cc3DXUpu6RYSuVaImennqz15cSItAV9mu+wI1wYtDhMGz&#10;vkGbAMkN1le8KJbXlMFTxZf5fHF9/keqj0zSaZ5fLWdzziSd5/PZlOo0SpQXFI8hflJgWSoqjiRi&#10;mCKO9yGOrZeWNNTBVhtD+6I07sUGYaadQUUiPhoQ+11P3UnNDuoT6UEYU0VviooW8DdnHSWq4o4e&#10;EGfmsyNHUvguBV6K3aUQTtLFikfOxvIuDiFNhIK/Jae2eiD/PPfMjHIxyD9nOAXv7/XQ9fxu13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QF/ydoAAAAOAQAADwAAAAAAAAABACAAAAAiAAAAZHJz&#10;L2Rvd25yZXYueG1sUEsBAhQAFAAAAAgAh07iQO5DgwQCAgAA/wMAAA4AAAAAAAAAAQAgAAAAKQEA&#10;AGRycy9lMm9Eb2MueG1sUEsFBgAAAAAGAAYAWQEAAJ0FAAAAAA==&#10;">
                  <v:fill on="f" focussize="0,0"/>
                  <v:stroke on="f"/>
                  <v:imagedata o:title=""/>
                  <o:lock v:ext="edit" aspectratio="f"/>
                  <v:textbox inset="0mm,0mm,0mm,0mm" style="mso-fit-shape-to-text:t;">
                    <w:txbxContent>
                      <w:p w14:paraId="4A0CE30F"/>
                    </w:txbxContent>
                  </v:textbox>
                </v:rect>
                <v:rect id="Rectangle 43" o:spid="_x0000_s1026" o:spt="1" style="position:absolute;left:1870828;top:872490;height:313055;width:169608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DqKbcIAgIAAAEEAAAOAAAAZHJzL2Uyb0RvYy54bWyt&#10;U11v2yAUfZ+0/4B4X/yRJk2tOFXVKNOkbqvW7QcQjGM04CIgsbNfvwt2urV76cNerAtczj3n+LC+&#10;HbQiJ+G8BFPTYpZTIgyHRppDTX98331YUeIDMw1TYERNz8LT2837d+veVqKEDlQjHEEQ46ve1rQL&#10;wVZZ5nknNPMzsMLgYQtOs4BLd8gax3pE1yor83yZ9eAa64AL73F3Ox7SCdG9BRDaVnKxBX7UwoQR&#10;1QnFAkrynbSebhLbthU8fG1bLwJRNUWlIX1xCNb7+M02a1YdHLOd5BMF9hYKrzRpJg0OfYbassDI&#10;0cl/oLTkDjy0YcZBZ6OQ5AiqKPJX3jx1zIqkBa329tl0//9g+ZfToyOywSSsrouiLJdLSgzT+OO/&#10;oXnMHJQgV/PoU299he1P9tFFpd4+AP/piYH7DtvEnXPQd4I1yK6I/dmLC3Hh8SrZ95+hQXh2DJAs&#10;G1qnIyCaQYbEI1+VGMJzTVfX5dXN9JPEEAiP58ubZb5aUMKxYV7M88UiTWPVBcg6Hz4K0CQWNXWo&#10;Iw1ipwcfIjFWXVriXAM7qVQKgjIvNrAx7iQhkfvoQRj2w2THHpozSnIw5gpfFRYduF+U9Jipmhp8&#10;QpSoTwZNifG7FO5S7C8FMxwv1jRQMpb3IcV0tPoOzdrJRD4aOc6dmGEykqYpxTF6f69T15+Xu/k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QF/ydoAAAAOAQAADwAAAAAAAAABACAAAAAiAAAAZHJz&#10;L2Rvd25yZXYueG1sUEsBAhQAFAAAAAgAh07iQOoptwgCAgAAAQQAAA4AAAAAAAAAAQAgAAAAKQEA&#10;AGRycy9lMm9Eb2MueG1sUEsFBgAAAAAGAAYAWQEAAJ0FAAAAAA==&#10;">
                  <v:fill on="f" focussize="0,0"/>
                  <v:stroke on="f"/>
                  <v:imagedata o:title=""/>
                  <o:lock v:ext="edit" aspectratio="f"/>
                  <v:textbox inset="0mm,0mm,0mm,0mm" style="mso-fit-shape-to-text:t;">
                    <w:txbxContent>
                      <w:p w14:paraId="25B1BF2A">
                        <w:r>
                          <w:rPr>
                            <w:rFonts w:hint="eastAsia" w:ascii="宋体" w:cs="宋体"/>
                            <w:b/>
                            <w:bCs/>
                            <w:color w:val="000000"/>
                            <w:kern w:val="0"/>
                            <w:sz w:val="38"/>
                            <w:szCs w:val="38"/>
                          </w:rPr>
                          <w:t>招标工程量清单</w:t>
                        </w:r>
                      </w:p>
                    </w:txbxContent>
                  </v:textbox>
                </v:rect>
                <v:rect id="Rectangle 44" o:spid="_x0000_s1026" o:spt="1" style="position:absolute;left:3816468;top:877570;height:153035;width:114935;mso-wrap-style:none;" filled="f" stroked="f" coordsize="21600,21600" o:gfxdata="UEsDBAoAAAAAAIdO4kAAAAAAAAAAAAAAAAAEAAAAZHJzL1BLAwQUAAAACACHTuJAMQF/ydoAAAAO&#10;AQAADwAAAGRycy9kb3ducmV2LnhtbE2Py07DMBBF90j8gzVI7Fo7EW5DiNMFUiVAbJryAW48eQh7&#10;HMVuU/4ewwZ2M5qjO+dWu6uz7IJzGD0pyNYCGFLrzUi9go/jflUAC1GT0dYTKvjCALv69qbSpfEL&#10;HfDSxJ6lEAqlVjDEOJWch3ZAp8PaT0jp1vnZ6ZjWuedm1ksKd5bnQmy40yOlD4Oe8HnA9rM5OwX8&#10;2OyXorGz8G95925fXw4deqXu7zLxBCziNf7B8KOf1KFOTid/JhOYVbDK5DZP7O+0eQSWmELKB2Cn&#10;BItMSuB1xf/XqL8BUEsDBBQAAAAIAIdO4kCM5dYqAgIAAP8DAAAOAAAAZHJzL2Uyb0RvYy54bWyt&#10;U01vGyEQvVfqf0Dc6931t1deR1EsV5XSJmraH4BZ1osKDALsXffXd2DtpEkvOfSChmF4895jWN/0&#10;WpGTcF6CqWgxyikRhkMtzaGiP3/sPi0p8YGZmikwoqJn4enN5uOHdWdLMYYWVC0cQRDjy85WtA3B&#10;llnmeSs08yOwwuBhA06zgFt3yGrHOkTXKhvn+TzrwNXWARfeY3Y7HNILonsPIDSN5GIL/KiFCQOq&#10;E4oFlORbaT3dJLZNI3h4aBovAlEVRaUhrdgE431cs82alQfHbCv5hQJ7D4U3mjSTBps+Q21ZYOTo&#10;5D9QWnIHHpow4qCzQUhyBFUU+RtvnlpmRdKCVnv7bLr/f7D82+nREVlXdLksJqvxYkWJYRrf/Tt6&#10;x8xBCTKdRps660usfrKPLgr19h74L08M3LVYJm6dg64VrEZyRazPXl2IG49Xyb77CjXCs2OA5Fjf&#10;OB0B0QvSV3SyLObTOc7gGSktFrPF5Y1EHwjH86KYriYzSjieF7NJjnFsxsorjnU+fBagSQwq6lBG&#10;6sNO9z4MpdeS2NbATiqFeVYq8yqBmDGTdETqgwWh3/dYHfXsoT6jIgfDVOGfwqAF95uSDieqogY/&#10;ECXqi0FP4vBdA3cN9teAGY4XKxooGcK7kIY0EvL2Fr3ayUT+pe+FGc5Fkn+Z4Th4f+9T1cu/3f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QF/ydoAAAAOAQAADwAAAAAAAAABACAAAAAiAAAAZHJz&#10;L2Rvd25yZXYueG1sUEsBAhQAFAAAAAgAh07iQIzl1ioCAgAA/wMAAA4AAAAAAAAAAQAgAAAAKQEA&#10;AGRycy9lMm9Eb2MueG1sUEsFBgAAAAAGAAYAWQEAAJ0FAAAAAA==&#10;">
                  <v:fill on="f" focussize="0,0"/>
                  <v:stroke on="f"/>
                  <v:imagedata o:title=""/>
                  <o:lock v:ext="edit" aspectratio="f"/>
                  <v:textbox inset="0mm,0mm,0mm,0mm" style="mso-fit-shape-to-text:t;">
                    <w:txbxContent>
                      <w:p w14:paraId="41B77045"/>
                    </w:txbxContent>
                  </v:textbox>
                </v:rect>
                <v:line id="Line 45" o:spid="_x0000_s1026" o:spt="20" style="position:absolute;left:1205348;top:2752725;height:0;width:1362710;" filled="f" stroked="t" coordsize="21600,21600" o:gfxdata="UEsDBAoAAAAAAIdO4kAAAAAAAAAAAAAAAAAEAAAAZHJzL1BLAwQUAAAACACHTuJAi8QkeNwAAAAO&#10;AQAADwAAAGRycy9kb3ducmV2LnhtbE2Py07DMBBF90j8gzVI7FrbhaQlxOmiiA0gVQ2VYDmNTZJi&#10;j6PYffD3GDawm9Ec3Tm3XJ6dZUczht6TAjkVwAw1XvfUKti+Pk4WwEJE0mg9GQVfJsCyurwosdD+&#10;RBtzrGPLUgiFAhV0MQ4F56HpjMMw9YOhdPvwo8OY1rHlesRTCneWz4TIucOe0ocOB7PqTPNZH5wC&#10;sX7O3/nLar9/e3rYCLyprZC1UtdXUtwDi+Yc/2D40U/qUCWnnT+QDswqmMhsPkvs75TfAUvMIstu&#10;ge0SLGSWAa9K/r9G9Q1QSwMEFAAAAAgAh07iQHh2K5PlAQAAygMAAA4AAABkcnMvZTJvRG9jLnht&#10;bK1TTZPaMAy9d6b/weN7CWT52GYIe4DZXmjLzG5/gHAc4qlteWxD4N9XdmDb0ssemoPHsqQnvSdl&#10;+XQ2mp2kDwptzSejMWfSCmyUPdT8x+vzp0fOQgTbgEYra36RgT+tPn5Y9q6SJXaoG+kZgdhQ9a7m&#10;XYyuKoogOmkgjNBJS84WvYFIpj8UjYee0I0uyvF4XvToG+dRyBDodTM4+RXRvwcQ21YJuUFxNNLG&#10;AdVLDZEohU65wFe527aVIn5v2yAj0zUnpjGfVITu+3QWqyVUBw+uU+LaArynhTtOBpSlom9QG4jA&#10;jl79A2WU8BiwjSOBphiIZEWIxWR8p81LB05mLiR1cG+ih/8HK76ddp6ppubT+fTzrHws55xZMDT4&#10;rbKSTWdJot6FiiLXducTSXG2L26L4mdgFtcd2IPMrb5eHOVNUkbxV0oygqNC+/4rNhQDx4hZr3Pr&#10;TYIkJdiZcsvx7GFKG3ipebmYlYsy14dKniMTKeBhXi4mND1BEXl8BVQ3EOdD/CLRsHSpuSYCuQic&#10;tiGmpqC6haSaFp+V1nkDtGV9wkvPAbVqkicb/rBfa89OkBYof5neXViC3UDohriMMKyWx6NthtLa&#10;XmVJSgya7rG57PxNLhpx7vG6jmmH/rRz9u9fcPU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8Qk&#10;eNwAAAAOAQAADwAAAAAAAAABACAAAAAiAAAAZHJzL2Rvd25yZXYueG1sUEsBAhQAFAAAAAgAh07i&#10;QHh2K5PlAQAAygMAAA4AAAAAAAAAAQAgAAAAKwEAAGRycy9lMm9Eb2MueG1sUEsFBgAAAAAGAAYA&#10;WQEAAIIFAAAAAA==&#10;">
                  <v:fill on="f" focussize="0,0"/>
                  <v:stroke weight="0pt" color="#000000" joinstyle="round"/>
                  <v:imagedata o:title=""/>
                  <o:lock v:ext="edit" aspectratio="f"/>
                </v:line>
                <v:rect id="Rectangle 46" o:spid="_x0000_s1026" o:spt="1" style="position:absolute;left:1205348;top:2752725;height:5715;width:1362710;" fillcolor="#000000" filled="t" stroked="f" coordsize="21600,21600" o:gfxdata="UEsDBAoAAAAAAIdO4kAAAAAAAAAAAAAAAAAEAAAAZHJzL1BLAwQUAAAACACHTuJABNT4+9sAAAAO&#10;AQAADwAAAGRycy9kb3ducmV2LnhtbE2Py07DMBBF90j8gzVI7Fo7UV3SEKdSkVgi0cKC7px4SKLG&#10;42C7D/h6DBvYzWiO7pxbrS92ZCf0YXCkIJsLYEitMwN1Cl5fHmcFsBA1GT06QgWfGGBdX19VujTu&#10;TFs87WLHUgiFUivoY5xKzkPbo9Vh7iakdHt33uqYVt9x4/U5hduR50IsudUDpQ+9nvChx/awO1oF&#10;m1Wx+Xhe0NPXttnj/q05yNwLpW5vMnEPLOIl/sHwo5/UoU5OjTuSCWxUMMvkXZ7Y32m5ApaYQsoF&#10;sCbBIpMSeF3x/zXqb1BLAwQUAAAACACHTuJA3cZt+iQCAAA9BAAADgAAAGRycy9lMm9Eb2MueG1s&#10;rVPLbtswELwX6D8QvNd6RLZTIXIQ2EhRIG2Dpv0AmqIsohSXXdKW06/vknJSN73kUB0ELnd3uDMc&#10;Xl0fB8MOCr0G2/BilnOmrIRW213Dv3+7fXfJmQ/CtsKAVQ1/VJ5fr96+uRpdrUrowbQKGYFYX4+u&#10;4X0Irs4yL3s1CD8DpywlO8BBBApxl7UoRkIfTFbm+SIbAVuHIJX3tLuZkvyEiK8BhK7TUm1A7gdl&#10;w4SKyohAlHyvneerNG3XKRm+dJ1XgZmGE9OQ/nQIrbfxn62uRL1D4XotTyOI14zwgtMgtKVDn6E2&#10;Igi2R/0P1KAlgocuzCQM2UQkKUIsivyFNg+9cCpxIam9exbd/z9Y+flwj0y35IRqnufV5WVVcmbF&#10;QDf/ldQTdmcUqxZRqNH5muof3D1Gqt7dgfzhmYV1T2XqBhHGXomWxitiffZXQww8tbLt+Alaghf7&#10;AEmzY4dDBCQ12JF6y3x+UZELHxteLuflspxP16SOgclYcLEolwXdoKSK+bJI6UzUTzgOffigYGBx&#10;0XAkGukccbjzIc4l6qeSxAOMbm+1MSnA3XZtkB1ENEz6EhWie15mbCy2ENsmxLiTCEeOk1ZbaB+J&#10;L8LkOnpztOgBf3E2kuMa7n/uBSrOzEdLmr0vqipaNAXVfFlSgOeZ7XlGWElQDQ+cTct1mGy9d6h3&#10;PZ1UJNIWbkjnTifi8Q6mqU7DkquSHqcXEG17HqeqP69+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E1Pj72wAAAA4BAAAPAAAAAAAAAAEAIAAAACIAAABkcnMvZG93bnJldi54bWxQSwECFAAUAAAA&#10;CACHTuJA3cZt+iQCAAA9BAAADgAAAAAAAAABACAAAAAqAQAAZHJzL2Uyb0RvYy54bWxQSwUGAAAA&#10;AAYABgBZAQAAwAUAAAAA&#10;">
                  <v:fill on="t" focussize="0,0"/>
                  <v:stroke on="f"/>
                  <v:imagedata o:title=""/>
                  <o:lock v:ext="edit" aspectratio="f"/>
                </v:rect>
                <v:line id="Line 47" o:spid="_x0000_s1026" o:spt="20" style="position:absolute;left:1205348;top:4251960;height:0;width:1362710;" filled="f" stroked="t" coordsize="21600,21600" o:gfxdata="UEsDBAoAAAAAAIdO4kAAAAAAAAAAAAAAAAAEAAAAZHJzL1BLAwQUAAAACACHTuJAi8QkeNwAAAAO&#10;AQAADwAAAGRycy9kb3ducmV2LnhtbE2Py07DMBBF90j8gzVI7FrbhaQlxOmiiA0gVQ2VYDmNTZJi&#10;j6PYffD3GDawm9Ec3Tm3XJ6dZUczht6TAjkVwAw1XvfUKti+Pk4WwEJE0mg9GQVfJsCyurwosdD+&#10;RBtzrGPLUgiFAhV0MQ4F56HpjMMw9YOhdPvwo8OY1rHlesRTCneWz4TIucOe0ocOB7PqTPNZH5wC&#10;sX7O3/nLar9/e3rYCLyprZC1UtdXUtwDi+Yc/2D40U/qUCWnnT+QDswqmMhsPkvs75TfAUvMIstu&#10;ge0SLGSWAa9K/r9G9Q1QSwMEFAAAAAgAh07iQOHkwDrjAQAAywMAAA4AAABkcnMvZTJvRG9jLnht&#10;bK1Ty47bMAy8F+g/CLo3fuSxWyPOHhJsL2kbYLcfoMiyLVQSBUmJnb8vJSfbNr3soT4IokgOOUN6&#10;/TRqRc7CeQmmpsUsp0QYDo00XU1/vD5/eqTEB2YapsCIml6Ep0+bjx/Wg61ECT2oRjiCIMZXg61p&#10;H4KtsszzXmjmZ2CFQWcLTrOApuuyxrEB0bXKyjxfZQO4xjrgwnt83U1OekV07wGEtpVc7ICftDBh&#10;QnVCsYCUfC+tp5vUbdsKHr63rReBqJoi05BOLIL3YzyzzZpVnWO2l/zaAntPC3ecNJMGi75B7Vhg&#10;5OTkP1Bacgce2jDjoLOJSFIEWRT5nTYvPbMicUGpvX0T3f8/WP7tfHBENrgJ+fyxWM7xpMQwjZPf&#10;SyPI4iFqNFhfYejWHFxkyUfzYvfAf3piYNsz04nU6+vFYl4RM7K/UqLhLVY6Dl+hwRh2CpAEG1un&#10;IyRKQUbMLfPlfIEtXGq6KJfF59V1RmIMhMeA+ap8KHB8HCOSL2PVDcQ6H74I0CReaqqQQCrCznsf&#10;YlOsuoXEmgaepVJpBZQhQ8SLzx6UbKInGa47bpUjZxY3KH2J3l1YhN0x309xCWHaLQcn00yllbnK&#10;EpWYND1Cczm4m1w449TjdR/jEv1pp+zf/+Dm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EJHjc&#10;AAAADgEAAA8AAAAAAAAAAQAgAAAAIgAAAGRycy9kb3ducmV2LnhtbFBLAQIUABQAAAAIAIdO4kDh&#10;5MA64wEAAMsDAAAOAAAAAAAAAAEAIAAAACsBAABkcnMvZTJvRG9jLnhtbFBLBQYAAAAABgAGAFkB&#10;AACABQAAAAA=&#10;">
                  <v:fill on="f" focussize="0,0"/>
                  <v:stroke weight="0pt" color="#000000" joinstyle="round"/>
                  <v:imagedata o:title=""/>
                  <o:lock v:ext="edit" aspectratio="f"/>
                </v:line>
                <v:rect id="Rectangle 48" o:spid="_x0000_s1026" o:spt="1" style="position:absolute;left:1205348;top:4251960;height:5080;width:1362710;" fillcolor="#000000" filled="t" stroked="f" coordsize="21600,21600" o:gfxdata="UEsDBAoAAAAAAIdO4kAAAAAAAAAAAAAAAAAEAAAAZHJzL1BLAwQUAAAACACHTuJABNT4+9sAAAAO&#10;AQAADwAAAGRycy9kb3ducmV2LnhtbE2Py07DMBBF90j8gzVI7Fo7UV3SEKdSkVgi0cKC7px4SKLG&#10;42C7D/h6DBvYzWiO7pxbrS92ZCf0YXCkIJsLYEitMwN1Cl5fHmcFsBA1GT06QgWfGGBdX19VujTu&#10;TFs87WLHUgiFUivoY5xKzkPbo9Vh7iakdHt33uqYVt9x4/U5hduR50IsudUDpQ+9nvChx/awO1oF&#10;m1Wx+Xhe0NPXttnj/q05yNwLpW5vMnEPLOIl/sHwo5/UoU5OjTuSCWxUMMvkXZ7Y32m5ApaYQsoF&#10;sCbBIpMSeF3x/zXqb1BLAwQUAAAACACHTuJAcfZm9SMCAAA9BAAADgAAAGRycy9lMm9Eb2MueG1s&#10;rVPLbtswELwX6D8QvNey/LZgOQhspCiQNkHTfgBNURZRissuacvu13dJOambXnKoDgKXO5zdGS5X&#10;N6fWsKNCr8GWPB8MOVNWQqXtvuTfv919WHDmg7CVMGBVyc/K85v1+3erzhVqBA2YSiEjEuuLzpW8&#10;CcEVWeZlo1rhB+CUpWQN2IpAIe6zCkVH7K3JRsPhLOsAK4cglfe0u+2T/MKIbyGEutZSbUEeWmVD&#10;z4rKiECSfKOd5+vUbV0rGR7q2qvATMlJaUh/KkLrXfxn65Uo9ihco+WlBfGWFl5paoW2VPSFaiuC&#10;YAfU/1C1WiJ4qMNAQpv1QpIjpCIfvvLmqRFOJS1ktXcvpvv/Ryu/HB+R6YomYT5fzMbzxXTJmRUt&#10;3fxXck/YvVFssohGdc4XhH9yjxilencP8odnFjYNwdQtInSNEhW1l0d89teBGHg6ynbdZ6iIXhwC&#10;JM9ONbaRkNxgJzo7Gk7HVJGdSz4ZTfPl7HJN6hSYjIDxbDTP6QYlIabDRUpnonjmcejDRwUti4uS&#10;I8lIdcTx3ofYlyieIUkHGF3daWNSgPvdxiA7ijgw6UtSSO41zNgIthCP9YxxJwmOGnuvdlCdSS9C&#10;P3X05mjRAP7irKOJK7n/eRCoODOfLHm2zCeTOKIpmEznIwrwOrO7zggriarkgbN+uQn9WB8c6n1D&#10;lfIk2sIt+VzrJDzeQd/VpVmaquTH5QXEsb2OE+rPq1//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TU+PvbAAAADgEAAA8AAAAAAAAAAQAgAAAAIgAAAGRycy9kb3ducmV2LnhtbFBLAQIUABQAAAAI&#10;AIdO4kBx9mb1IwIAAD0EAAAOAAAAAAAAAAEAIAAAACoBAABkcnMvZTJvRG9jLnhtbFBLBQYAAAAA&#10;BgAGAFkBAAC/BQAAAAA=&#10;">
                  <v:fill on="t" focussize="0,0"/>
                  <v:stroke on="f"/>
                  <v:imagedata o:title=""/>
                  <o:lock v:ext="edit" aspectratio="f"/>
                </v:rect>
                <v:line id="Line 49" o:spid="_x0000_s1026" o:spt="20" style="position:absolute;left:1205348;top:5745480;height:0;width:1362710;" filled="f" stroked="t" coordsize="21600,21600" o:gfxdata="UEsDBAoAAAAAAIdO4kAAAAAAAAAAAAAAAAAEAAAAZHJzL1BLAwQUAAAACACHTuJAi8QkeNwAAAAO&#10;AQAADwAAAGRycy9kb3ducmV2LnhtbE2Py07DMBBF90j8gzVI7FrbhaQlxOmiiA0gVQ2VYDmNTZJi&#10;j6PYffD3GDawm9Ec3Tm3XJ6dZUczht6TAjkVwAw1XvfUKti+Pk4WwEJE0mg9GQVfJsCyurwosdD+&#10;RBtzrGPLUgiFAhV0MQ4F56HpjMMw9YOhdPvwo8OY1rHlesRTCneWz4TIucOe0ocOB7PqTPNZH5wC&#10;sX7O3/nLar9/e3rYCLyprZC1UtdXUtwDi+Yc/2D40U/qUCWnnT+QDswqmMhsPkvs75TfAUvMIstu&#10;ge0SLGSWAa9K/r9G9Q1QSwMEFAAAAAgAh07iQAgZApflAQAAywMAAA4AAABkcnMvZTJvRG9jLnht&#10;bK1TTZPaMAy9d6b/weN7SWD52GYIe4DZXmjLzG5/gHEc4qlteSxD4N9XdmDb0ssemoPHsqQnvSdl&#10;+XS2hp1UQA2u5uNRyZlyEhrtDjX/8fr86ZEzjMI1woBTNb8o5E+rjx+Wva/UBDowjQqMQBxWva95&#10;F6OvigJlp6zAEXjlyNlCsCKSGQ5FE0RP6NYUk7KcFz2ExgeQCpFeN4OTXxHDewChbbVUG5BHq1wc&#10;UIMyIhIl7LRHvsrdtq2S8XvboorM1JyYxnxSEbrv01mslqI6BOE7La8tiPe0cMfJCu2o6BvURkTB&#10;jkH/A2W1DIDQxpEEWwxEsiLEYlzeafPSCa8yF5Ia/Zvo+P9g5bfTLjDd0CaMy/l0MZmVC86csDT5&#10;rXaKTT8njXqPFYWu3S4klvLsXvwW5E9kDtadcAeVe329eMobp4zir5RkoKdK+/4rNBQjjhGyYOc2&#10;2ARJUrAz5U7K2cOUVvBS89liOps+XmekzpHJFPAwnyzGND5JEdlXiOoG4gPGLwosS5eaGyKQi4jT&#10;FmNqSlS3kFTTwbM2Jq+AcaxPeOkZwegmebIRDvu1Cewk0gblL9O7C0uwG4HdEJcRht0KcHTNUNq4&#10;qyxJiUHTPTSXXbjJRTPOPV73MS3Rn3bO/v0Prn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8Qk&#10;eNwAAAAOAQAADwAAAAAAAAABACAAAAAiAAAAZHJzL2Rvd25yZXYueG1sUEsBAhQAFAAAAAgAh07i&#10;QAgZApflAQAAywMAAA4AAAAAAAAAAQAgAAAAKwEAAGRycy9lMm9Eb2MueG1sUEsFBgAAAAAGAAYA&#10;WQEAAIIFAAAAAA==&#10;">
                  <v:fill on="f" focussize="0,0"/>
                  <v:stroke weight="0pt" color="#000000" joinstyle="round"/>
                  <v:imagedata o:title=""/>
                  <o:lock v:ext="edit" aspectratio="f"/>
                </v:line>
                <v:rect id="Rectangle 50" o:spid="_x0000_s1026" o:spt="1" style="position:absolute;left:1205348;top:5745480;height:5080;width:1362710;" fillcolor="#000000" filled="t" stroked="f" coordsize="21600,21600" o:gfxdata="UEsDBAoAAAAAAIdO4kAAAAAAAAAAAAAAAAAEAAAAZHJzL1BLAwQUAAAACACHTuJABNT4+9sAAAAO&#10;AQAADwAAAGRycy9kb3ducmV2LnhtbE2Py07DMBBF90j8gzVI7Fo7UV3SEKdSkVgi0cKC7px4SKLG&#10;42C7D/h6DBvYzWiO7pxbrS92ZCf0YXCkIJsLYEitMwN1Cl5fHmcFsBA1GT06QgWfGGBdX19VujTu&#10;TFs87WLHUgiFUivoY5xKzkPbo9Vh7iakdHt33uqYVt9x4/U5hduR50IsudUDpQ+9nvChx/awO1oF&#10;m1Wx+Xhe0NPXttnj/q05yNwLpW5vMnEPLOIl/sHwo5/UoU5OjTuSCWxUMMvkXZ7Y32m5ApaYQsoF&#10;sCbBIpMSeF3x/zXqb1BLAwQUAAAACACHTuJAwUFILiACAAA8BAAADgAAAGRycy9lMm9Eb2MueG1s&#10;rVPLbtswELwX6D8QvNeS37ZgOQhspCiQtkHTfgBNURZRissuacvu13dJOYmbXnKoDgKXuzvcGQ5X&#10;N6fWsKNCr8GWfDjIOVNWQqXtvuQ/vt99WHDmg7CVMGBVyc/K85v1+3erzhVqBA2YSiEjEOuLzpW8&#10;CcEVWeZlo1rhB+CUpWQN2IpAIe6zCkVH6K3JRnk+yzrAyiFI5T3tbvskvyDiWwChrrVUW5CHVtnQ&#10;o6IyIhAl32jn+TpNW9dKhq917VVgpuTENKQ/HULrXfxn65Uo9ihco+VlBPGWEV5xaoW2dOgz1FYE&#10;wQ6o/4FqtUTwUIeBhDbriSRFiMUwf6XNYyOcSlxIau+eRff/D1Z+OT4g01XJl7PFeLYcz6ecWdHS&#10;xX8j8YTdG8WmSafO+YLKH90DRqbe3YP86ZmFTUNl6hYRukaJiqYbRl2zvxpi4KmV7brPUBG8OARI&#10;kp1qbCMgicFO1DvKp+MJmfBc8ul8Mp0sLrekToHJWDCejeZDukAZK/I+nYniCcehDx8VtCwuSo5E&#10;I50jjvc+xLlE8VSSeIDR1Z02JgW4320MsqOIfklfokJ0r8uMjcUWYluPGHcS4cgxus8XO6jOxBeh&#10;Nx09OVo0gL8568hwJfe/DgIVZ+aTJc2Ww8kkOjQFk+l8RAFeZ3bXGWElQZU8cNYvN6F39cGh3jd0&#10;0jCRtnBLOtc6EX+Z6jIsmSrpcXkA0bXXcap6efTr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TU&#10;+PvbAAAADgEAAA8AAAAAAAAAAQAgAAAAIgAAAGRycy9kb3ducmV2LnhtbFBLAQIUABQAAAAIAIdO&#10;4kDBQUguIAIAADwEAAAOAAAAAAAAAAEAIAAAACoBAABkcnMvZTJvRG9jLnhtbFBLBQYAAAAABgAG&#10;AFkBAAC8BQAAAAA=&#10;">
                  <v:fill on="t" focussize="0,0"/>
                  <v:stroke on="f"/>
                  <v:imagedata o:title=""/>
                  <o:lock v:ext="edit" aspectratio="f"/>
                </v:rect>
                <v:line id="Line 51" o:spid="_x0000_s1026" o:spt="20" style="position:absolute;left:1679693;top:539750;height:0;width:2104390;" filled="f" stroked="t" coordsize="21600,21600" o:gfxdata="UEsDBAoAAAAAAIdO4kAAAAAAAAAAAAAAAAAEAAAAZHJzL1BLAwQUAAAACACHTuJAi8QkeNwAAAAO&#10;AQAADwAAAGRycy9kb3ducmV2LnhtbE2Py07DMBBF90j8gzVI7FrbhaQlxOmiiA0gVQ2VYDmNTZJi&#10;j6PYffD3GDawm9Ec3Tm3XJ6dZUczht6TAjkVwAw1XvfUKti+Pk4WwEJE0mg9GQVfJsCyurwosdD+&#10;RBtzrGPLUgiFAhV0MQ4F56HpjMMw9YOhdPvwo8OY1rHlesRTCneWz4TIucOe0ocOB7PqTPNZH5wC&#10;sX7O3/nLar9/e3rYCLyprZC1UtdXUtwDi+Yc/2D40U/qUCWnnT+QDswqmMhsPkvs75TfAUvMIstu&#10;ge0SLGSWAa9K/r9G9Q1QSwMEFAAAAAgAh07iQPca+trlAQAAyQMAAA4AAABkcnMvZTJvRG9jLnht&#10;bK1TTW/bMAy9D9h/EHRfnI8mWYw4PSToLtkWoO0PUGQ5FiaJgqjEyb8fJSft2l56mA+CKD4+ko/0&#10;8v5sDTupgBpcxUeDIWfKSai1O1T8+enh23fOMApXCwNOVfyikN+vvn5Zdr5UY2jB1CowInFYdr7i&#10;bYy+LAqUrbICB+CVI2cDwYpIZjgUdRAdsVtTjIfDWdFBqH0AqRDpddM7+ZUxfIYQmkZLtQF5tMrF&#10;njUoIyK1hK32yFe52qZRMv5uGlSRmYpTpzGflITu+3QWq6UoD0H4VstrCeIzJbzryQrtKOkL1UZE&#10;wY5Bf6CyWgZAaOJAgi36RrIi1MVo+E6bx1Z4lXshqdG/iI7/j1b+Ou0C0zVtwnQ8nd/N5zPOnLA0&#10;+K12ik1HSaLOY0nItduF1KQ8u0e/BfkHmYN1K9xB5VKfLp7ickTxJiQZ6CnRvvsJNWHEMULW69wE&#10;myhJCXam2Nl8MVtMOLtUfDpZzKfXCalzZJL849HwbrKg4UkCZF8hyhuHDxh/KLAsXSpuqP6cQ5y2&#10;GKkLgt4gKaWDB21MXgDjWJf40jOC0XXyZCMc9msT2Emk/clf0oOY3sAS7UZg2+Oyq9+sAEdX9wHG&#10;UdxNiF7SPdSXXUju9E4TzszXbUwr9K+dUa9/4Oo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8Qk&#10;eNwAAAAOAQAADwAAAAAAAAABACAAAAAiAAAAZHJzL2Rvd25yZXYueG1sUEsBAhQAFAAAAAgAh07i&#10;QPca+trlAQAAyQMAAA4AAAAAAAAAAQAgAAAAKwEAAGRycy9lMm9Eb2MueG1sUEsFBgAAAAAGAAYA&#10;WQEAAIIFAAAAAA==&#10;">
                  <v:fill on="f" focussize="0,0"/>
                  <v:stroke weight="0pt" color="#000000" joinstyle="round"/>
                  <v:imagedata o:title=""/>
                  <o:lock v:ext="edit" aspectratio="f"/>
                </v:line>
                <v:rect id="Rectangle 52" o:spid="_x0000_s1026" o:spt="1" style="position:absolute;left:1679693;top:539750;height:5080;width:2104390;" fillcolor="#000000" filled="t" stroked="f" coordsize="21600,21600" o:gfxdata="UEsDBAoAAAAAAIdO4kAAAAAAAAAAAAAAAAAEAAAAZHJzL1BLAwQUAAAACACHTuJABNT4+9sAAAAO&#10;AQAADwAAAGRycy9kb3ducmV2LnhtbE2Py07DMBBF90j8gzVI7Fo7UV3SEKdSkVgi0cKC7px4SKLG&#10;42C7D/h6DBvYzWiO7pxbrS92ZCf0YXCkIJsLYEitMwN1Cl5fHmcFsBA1GT06QgWfGGBdX19VujTu&#10;TFs87WLHUgiFUivoY5xKzkPbo9Vh7iakdHt33uqYVt9x4/U5hduR50IsudUDpQ+9nvChx/awO1oF&#10;m1Wx+Xhe0NPXttnj/q05yNwLpW5vMnEPLOIl/sHwo5/UoU5OjTuSCWxUMMvkXZ7Y32m5ApaYQsoF&#10;sCbBIpMSeF3x/zXqb1BLAwQUAAAACACHTuJAjtf3PiMCAAA8BAAADgAAAGRycy9lMm9Eb2MueG1s&#10;rVNNb9swDL0P2H8QdF/sfLox4hRFgg4DurVYtx+gyHIsTBY1SonT/fpRctpl3aWH+WCIIvnI90it&#10;rk+dYUeFXoOt+HiUc6ashFrbfcW/f7v9cMWZD8LWwoBVFX9Snl+v379b9a5UE2jB1AoZgVhf9q7i&#10;bQiuzDIvW9UJPwKnLDkbwE4EMnGf1Sh6Qu9MNsnzRdYD1g5BKu/pdjs4+RkR3wIITaOl2oI8dMqG&#10;ARWVEYEo+VY7z9ep26ZRMtw3jVeBmYoT05D+VITOu/jP1itR7lG4VstzC+ItLbzi1AltqegL1FYE&#10;wQ6o/4HqtETw0ISRhC4biCRFiMU4f6XNYyucSlxIau9eRPf/D1Z+OT4g0zVtwrRYzIpiOSk4s6Kj&#10;yX8l9YTdG8XmkyhU73xJ8Y/uASNV7+5A/vDMwqalMHWDCH2rRE3tjWN89ldCNDylsl3/GWqCF4cA&#10;SbNTg10EJDXYiXIXxXKxnHL2VPH5dFnMz1NSp8Ak+SfjfDZd0gBlDMivkjsT5TOMQx8+KuhYPFQc&#10;iUUqI453PsS2RPkckmiA0fWtNiYZuN9tDLKjiPuSvsSE2F6GGRuDLcS0ATHeJL6R4iDVDuonoosw&#10;LB09OTq0gL8462nhKu5/HgQqzswnS5Itx7NZ3NBkzObFhAy89OwuPcJKgqp44Gw4bsKw1QeHet9S&#10;pXEibeGGZG50Ih5HMHR1bpaWKulxfgBxay/tFPXn0a9/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TU+PvbAAAADgEAAA8AAAAAAAAAAQAgAAAAIgAAAGRycy9kb3ducmV2LnhtbFBLAQIUABQAAAAI&#10;AIdO4kCO1/c+IwIAADwEAAAOAAAAAAAAAAEAIAAAACoBAABkcnMvZTJvRG9jLnhtbFBLBQYAAAAA&#10;BgAGAFkBAAC/BQAAAAA=&#10;">
                  <v:fill on="t" focussize="0,0"/>
                  <v:stroke on="f"/>
                  <v:imagedata o:title=""/>
                  <o:lock v:ext="edit" aspectratio="f"/>
                </v:rect>
                <v:line id="Line 53" o:spid="_x0000_s1026" o:spt="20" style="position:absolute;left:4137778;top:2752725;height:0;width:1395730;" filled="f" stroked="t" coordsize="21600,21600" o:gfxdata="UEsDBAoAAAAAAIdO4kAAAAAAAAAAAAAAAAAEAAAAZHJzL1BLAwQUAAAACACHTuJAi8QkeNwAAAAO&#10;AQAADwAAAGRycy9kb3ducmV2LnhtbE2Py07DMBBF90j8gzVI7FrbhaQlxOmiiA0gVQ2VYDmNTZJi&#10;j6PYffD3GDawm9Ec3Tm3XJ6dZUczht6TAjkVwAw1XvfUKti+Pk4WwEJE0mg9GQVfJsCyurwosdD+&#10;RBtzrGPLUgiFAhV0MQ4F56HpjMMw9YOhdPvwo8OY1rHlesRTCneWz4TIucOe0ocOB7PqTPNZH5wC&#10;sX7O3/nLar9/e3rYCLyprZC1UtdXUtwDi+Yc/2D40U/qUCWnnT+QDswqmMhsPkvs75TfAUvMIstu&#10;ge0SLGSWAa9K/r9G9Q1QSwMEFAAAAAgAh07iQBO+ftjnAQAAywMAAA4AAABkcnMvZTJvRG9jLnht&#10;bK1TwW7bMAy9D9g/CLovTuykbo04PSToLtkWoN0HKLIcC5VEQVJi5+9HyUm7ZZce6oMgiuQj3yO9&#10;fBy0IifhvART09lkSokwHBppDjX9/fL07Z4SH5hpmAIjanoWnj6uvn5Z9rYSOXSgGuEIghhf9bam&#10;XQi2yjLPO6GZn4AVBp0tOM0Cmu6QNY71iK5Vlk+nd1kPrrEOuPAeXzejk14Q3UcAoW0lFxvgRy1M&#10;GFGdUCwgJd9J6+kqddu2godfbetFIKqmyDSkE4vgfR/PbLVk1cEx20l+aYF9pIUbTppJg0XfoDYs&#10;MHJ08j8oLbkDD22YcNDZSCQpgixm0xttnjtmReKCUnv7Jrr/PFj+87RzRDa4CfOivC+Ku/kDJYZp&#10;nPxWGkEWRdSot77C0LXZuciSD+bZboG/emJg3TFzEKnXl7PFvFnMyP5JiYa3WGnf/4AGY9gxQBJs&#10;aJ2OkCgFGWo6nxVlWeIKnmual4u8zBfjjMQQCMeAWfGwKAscH8eINL+MVVcQ63z4LkCTeKmpQgKp&#10;CDttfYhNseoaEmsaeJJKpRVQhvQRLz57ULKJnmS4w36tHDmxuEHpS/RuwiLshvlujEsIY98OjqYZ&#10;SytzkSUqMWq6h+a8c1e5cMapx8s+xiX6207Z7//g6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L&#10;xCR43AAAAA4BAAAPAAAAAAAAAAEAIAAAACIAAABkcnMvZG93bnJldi54bWxQSwECFAAUAAAACACH&#10;TuJAE75+2OcBAADLAwAADgAAAAAAAAABACAAAAArAQAAZHJzL2Uyb0RvYy54bWxQSwUGAAAAAAYA&#10;BgBZAQAAhAUAAAAA&#10;">
                  <v:fill on="f" focussize="0,0"/>
                  <v:stroke weight="0pt" color="#000000" joinstyle="round"/>
                  <v:imagedata o:title=""/>
                  <o:lock v:ext="edit" aspectratio="f"/>
                </v:line>
                <v:rect id="Rectangle 54" o:spid="_x0000_s1026" o:spt="1" style="position:absolute;left:4137778;top:2752725;height:5715;width:1395730;" fillcolor="#000000" filled="t" stroked="f" coordsize="21600,21600" o:gfxdata="UEsDBAoAAAAAAIdO4kAAAAAAAAAAAAAAAAAEAAAAZHJzL1BLAwQUAAAACACHTuJABNT4+9sAAAAO&#10;AQAADwAAAGRycy9kb3ducmV2LnhtbE2Py07DMBBF90j8gzVI7Fo7UV3SEKdSkVgi0cKC7px4SKLG&#10;42C7D/h6DBvYzWiO7pxbrS92ZCf0YXCkIJsLYEitMwN1Cl5fHmcFsBA1GT06QgWfGGBdX19VujTu&#10;TFs87WLHUgiFUivoY5xKzkPbo9Vh7iakdHt33uqYVt9x4/U5hduR50IsudUDpQ+9nvChx/awO1oF&#10;m1Wx+Xhe0NPXttnj/q05yNwLpW5vMnEPLOIl/sHwo5/UoU5OjTuSCWxUMMvkXZ7Y32m5ApaYQsoF&#10;sCbBIpMSeF3x/zXqb1BLAwQUAAAACACHTuJAmj/rcCUCAAA9BAAADgAAAGRycy9lMm9Eb2MueG1s&#10;rVPBbtswDL0P2D8Iuq+OnXhOjThFkaLDgG4r1u0DFFmOhcmiRilxuq8fJadd1l16mA+GKFKPfE9P&#10;q6vjYNhBoddgG55fzDhTVkKr7a7h37/dvlty5oOwrTBgVcMfledX67dvVqOrVQE9mFYhIxDr69E1&#10;vA/B1VnmZa8G4S/AKUvJDnAQgULcZS2KkdAHkxWz2ftsBGwdglTe0+7NlOQnRHwNIHSdluoG5H5Q&#10;NkyoqIwIRMn32nm+TtN2nZLhS9d5FZhpODEN6U9NaL2N/2y9EvUOheu1PI0gXjPCC06D0JaaPkPd&#10;iCDYHvU/UIOWCB66cCFhyCYiSRFikc9eaPPQC6cSF5Lau2fR/f+DlZ8P98h0S04oy9l8WS6LgjMr&#10;Brr5r6SesDujWLmIQo3O11T/4O4xUvXuDuQPzyxseipT14gw9kq0NF4e67O/DsTA01G2HT9BS/Bi&#10;HyBpduxwiICkBjs2fJHPq6oiFz42vKjKoirK6ZrUMTBJBfn8sqzmdIOSKsoqT+lM1E84Dn34oGBg&#10;cdFwJBqpjzjc+RDnEvVTSeIBRre32pgU4G67McgOIhomfYkK0T0vMzYWW4jHJsS4kwhHjpNWW2gf&#10;iS/C5Dp6c7ToAX9xNpLjGu5/7gUqzsxHS5pd5otFtGgKFmVVUIDnme15RlhJUA0PnE3LTZhsvXeo&#10;dz11yhNpC9ekc6cT8XgH01SnYclVSY/TC4i2PY9T1Z9Xv/4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BNT4+9sAAAAOAQAADwAAAAAAAAABACAAAAAiAAAAZHJzL2Rvd25yZXYueG1sUEsBAhQAFAAA&#10;AAgAh07iQJo/63AlAgAAPQQAAA4AAAAAAAAAAQAgAAAAKgEAAGRycy9lMm9Eb2MueG1sUEsFBgAA&#10;AAAGAAYAWQEAAMEFAAAAAA==&#10;">
                  <v:fill on="t" focussize="0,0"/>
                  <v:stroke on="f"/>
                  <v:imagedata o:title=""/>
                  <o:lock v:ext="edit" aspectratio="f"/>
                </v:rect>
                <v:line id="Line 55" o:spid="_x0000_s1026" o:spt="20" style="position:absolute;left:4137778;top:4251960;height:0;width:1395730;" filled="f" stroked="t" coordsize="21600,21600" o:gfxdata="UEsDBAoAAAAAAIdO4kAAAAAAAAAAAAAAAAAEAAAAZHJzL1BLAwQUAAAACACHTuJAi8QkeNwAAAAO&#10;AQAADwAAAGRycy9kb3ducmV2LnhtbE2Py07DMBBF90j8gzVI7FrbhaQlxOmiiA0gVQ2VYDmNTZJi&#10;j6PYffD3GDawm9Ec3Tm3XJ6dZUczht6TAjkVwAw1XvfUKti+Pk4WwEJE0mg9GQVfJsCyurwosdD+&#10;RBtzrGPLUgiFAhV0MQ4F56HpjMMw9YOhdPvwo8OY1rHlesRTCneWz4TIucOe0ocOB7PqTPNZH5wC&#10;sX7O3/nLar9/e3rYCLyprZC1UtdXUtwDi+Yc/2D40U/qUCWnnT+QDswqmMhsPkvs75TfAUvMIstu&#10;ge0SLGSWAa9K/r9G9Q1QSwMEFAAAAAgAh07iQNFuvVflAQAAywMAAA4AAABkcnMvZTJvRG9jLnht&#10;bK1TTW/bMAy9D9h/EHRfbOejbo04PSToLtkWoN0PUGTZFiqJgqTEyb8fJSftll16qA+CKJKPfI/0&#10;8vGkFTkK5yWYmhaTnBJhODTSdDX9/fL07Z4SH5hpmAIjanoWnj6uvn5ZDrYSU+hBNcIRBDG+GmxN&#10;+xBslWWe90IzPwErDDpbcJoFNF2XNY4NiK5VNs3zu2wA11gHXHiPr5vRSS+I7iOA0LaSiw3wgxYm&#10;jKhOKBaQku+l9XSVum1bwcOvtvUiEFVTZBrSiUXwvo9ntlqyqnPM9pJfWmAfaeGGk2bSYNE3qA0L&#10;jByc/A9KS+7AQxsmHHQ2EkmKIIsiv9HmuWdWJC4otbdvovvPg+U/jztHZIObUM7z8n46z3H+hmmc&#10;/FYaQRaLqNFgfYWha7NzkSU/mWe7Bf7qiYF1z0wnUq8vZ4t5RczI/kmJhrdYaT/8gAZj2CFAEuzU&#10;Oh0hUQpyqum8mJVliS2c8T5dFA93lxmJUyAcA4rZw6Kc4fg4RiRfxqoriHU+fBegSbzUVCGBVIQd&#10;tz7Eplh1DYk1DTxJpdIKKEOGiBefPSjZRE8yXLdfK0eOLG5Q+hK9m7AIu2G+H+MSwrhbDg6mGUsr&#10;c5ElKjFquofmvHNXuXDGqcfLPsYl+ttO2e//4Oo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8Qk&#10;eNwAAAAOAQAADwAAAAAAAAABACAAAAAiAAAAZHJzL2Rvd25yZXYueG1sUEsBAhQAFAAAAAgAh07i&#10;QNFuvVflAQAAywMAAA4AAAAAAAAAAQAgAAAAKwEAAGRycy9lMm9Eb2MueG1sUEsFBgAAAAAGAAYA&#10;WQEAAIIFAAAAAA==&#10;">
                  <v:fill on="f" focussize="0,0"/>
                  <v:stroke weight="0pt" color="#000000" joinstyle="round"/>
                  <v:imagedata o:title=""/>
                  <o:lock v:ext="edit" aspectratio="f"/>
                </v:line>
                <v:rect id="Rectangle 56" o:spid="_x0000_s1026" o:spt="1" style="position:absolute;left:4137778;top:4251960;height:5080;width:1395730;" fillcolor="#000000" filled="t" stroked="f" coordsize="21600,21600" o:gfxdata="UEsDBAoAAAAAAIdO4kAAAAAAAAAAAAAAAAAEAAAAZHJzL1BLAwQUAAAACACHTuJABNT4+9sAAAAO&#10;AQAADwAAAGRycy9kb3ducmV2LnhtbE2Py07DMBBF90j8gzVI7Fo7UV3SEKdSkVgi0cKC7px4SKLG&#10;42C7D/h6DBvYzWiO7pxbrS92ZCf0YXCkIJsLYEitMwN1Cl5fHmcFsBA1GT06QgWfGGBdX19VujTu&#10;TFs87WLHUgiFUivoY5xKzkPbo9Vh7iakdHt33uqYVt9x4/U5hduR50IsudUDpQ+9nvChx/awO1oF&#10;m1Wx+Xhe0NPXttnj/q05yNwLpW5vMnEPLOIl/sHwo5/UoU5OjTuSCWxUMMvkXZ7Y32m5ApaYQsoF&#10;sCbBIpMSeF3x/zXqb1BLAwQUAAAACACHTuJA9PfHiSICAAA8BAAADgAAAGRycy9lMm9Eb2MueG1s&#10;rVPLbtswELwX6D8QvNey/LZgOQhspCiQNkHTfgBNURZRissuacvu13dJOambXnKoDsIudzjcGS5X&#10;N6fWsKNCr8GWPB8MOVNWQqXtvuTfv919WHDmg7CVMGBVyc/K85v1+3erzhVqBA2YSiEjEuuLzpW8&#10;CcEVWeZlo1rhB+CUpWIN2IpAKe6zCkVH7K3JRsPhLOsAK4cglfe0uu2L/MKIbyGEutZSbUEeWmVD&#10;z4rKiECSfKOd5+vUbV0rGR7q2qvATMlJaUh/OoTiXfxn65Uo9ihco+WlBfGWFl5paoW2dOgL1VYE&#10;wQ6o/6FqtUTwUIeBhDbrhSRHSEU+fOXNUyOcSlrIau9eTPf/j1Z+OT4i0xVNwmi+nCwWE3LGipYu&#10;/iuZJ+zeKDadRZ865wuCP7lHjEq9uwf5wzMLm4Zg6hYRukaJirrLIz77a0NMPG1lu+4zVEQvDgGS&#10;Zaca20hIZrBTySf5eD6f0xCeKR5N8+XsckvqFJgkQD5eTudjalMSYjpcpHImimcehz58VNCyGJQc&#10;SUY6RxzvfYh9ieIZknSA0dWdNiYluN9tDLKjiPOSviSF5F7DjI1gC3FbzxhXkuCosfdqB9WZ9CL0&#10;Q0dPjoIG8BdnHQ1cyf3Pg0DFmflkybNlPoneh5RMpvMRJXhd2V1XhJVEVfLAWR9uQj/VB4d639BJ&#10;eRJt4ZZ8rnUSHu+g7+rSLA1V8uPyAOLUXucJ9efRr3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NT4+9sAAAAOAQAADwAAAAAAAAABACAAAAAiAAAAZHJzL2Rvd25yZXYueG1sUEsBAhQAFAAAAAgA&#10;h07iQPT3x4kiAgAAPAQAAA4AAAAAAAAAAQAgAAAAKgEAAGRycy9lMm9Eb2MueG1sUEsFBgAAAAAG&#10;AAYAWQEAAL4FAAAAAA==&#10;">
                  <v:fill on="t" focussize="0,0"/>
                  <v:stroke on="f"/>
                  <v:imagedata o:title=""/>
                  <o:lock v:ext="edit" aspectratio="f"/>
                </v:rect>
                <v:line id="Line 57" o:spid="_x0000_s1026" o:spt="20" style="position:absolute;left:4137778;top:5745480;height:0;width:1395730;" filled="f" stroked="t" coordsize="21600,21600" o:gfxdata="UEsDBAoAAAAAAIdO4kAAAAAAAAAAAAAAAAAEAAAAZHJzL1BLAwQUAAAACACHTuJAi8QkeNwAAAAO&#10;AQAADwAAAGRycy9kb3ducmV2LnhtbE2Py07DMBBF90j8gzVI7FrbhaQlxOmiiA0gVQ2VYDmNTZJi&#10;j6PYffD3GDawm9Ec3Tm3XJ6dZUczht6TAjkVwAw1XvfUKti+Pk4WwEJE0mg9GQVfJsCyurwosdD+&#10;RBtzrGPLUgiFAhV0MQ4F56HpjMMw9YOhdPvwo8OY1rHlesRTCneWz4TIucOe0ocOB7PqTPNZH5wC&#10;sX7O3/nLar9/e3rYCLyprZC1UtdXUtwDi+Yc/2D40U/qUCWnnT+QDswqmMhsPkvs75TfAUvMIstu&#10;ge0SLGSWAa9K/r9G9Q1QSwMEFAAAAAgAh07iQM6WRpjmAQAAywMAAA4AAABkcnMvZTJvRG9jLnht&#10;bK1TwW7bMAy9D9g/CLovtpt4To04PSToLtkWoN0HKLIcC5NEQVJi5+9HyUm3ZZce5oMgiuQj3yO9&#10;ehq1ImfhvATT0GKWUyIMh1aaY0N/vD5/WlLiAzMtU2BEQy/C06f1xw+rwdbiAXpQrXAEQYyvB9vQ&#10;PgRbZ5nnvdDMz8AKg84OnGYBTXfMWscGRNcqe8jzz9kArrUOuPAeX7eTk14R3XsAoeskF1vgJy1M&#10;mFCdUCwgJd9L6+k6ddt1gofvXedFIKqhyDSkE4vg/RDPbL1i9dEx20t+bYG9p4U7TppJg0XfoLYs&#10;MHJy8h8oLbkDD12YcdDZRCQpgiyK/E6bl55Zkbig1N6+ie7/Hyz/dt47IlvchLx4LJblcllRYpjG&#10;ye+kEaSsokaD9TWGbszeRZZ8NC92B/ynJwY2PTNHkXp9vVjMK2JG9ldKNLzFSofhK7QYw04BkmBj&#10;53SERCnI2NBFMa+qClfw0tCyWpSL5XVGYgyEY0AxfyyrOY6PY0TyZay+gVjnwxcBmsRLQxUSSEXY&#10;eedDbIrVt5BY08CzVCqtgDJkiHjx2YOSbfQkwx0PG+XImcUNSl+idxcWYbfM91NcQph2y8HJtFNp&#10;Za6yRCUmTQ/QXvbuJhfOOPV43ce4RH/aKfv3P7j+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E&#10;JHjcAAAADgEAAA8AAAAAAAAAAQAgAAAAIgAAAGRycy9kb3ducmV2LnhtbFBLAQIUABQAAAAIAIdO&#10;4kDOlkaY5gEAAMsDAAAOAAAAAAAAAAEAIAAAACsBAABkcnMvZTJvRG9jLnhtbFBLBQYAAAAABgAG&#10;AFkBAACDBQAAAAA=&#10;">
                  <v:fill on="f" focussize="0,0"/>
                  <v:stroke weight="0pt" color="#000000" joinstyle="round"/>
                  <v:imagedata o:title=""/>
                  <o:lock v:ext="edit" aspectratio="f"/>
                </v:line>
                <v:rect id="Rectangle 58" o:spid="_x0000_s1026" o:spt="1" style="position:absolute;left:4137778;top:5745480;height:5080;width:1395730;" fillcolor="#000000" filled="t" stroked="f" coordsize="21600,21600" o:gfxdata="UEsDBAoAAAAAAIdO4kAAAAAAAAAAAAAAAAAEAAAAZHJzL1BLAwQUAAAACACHTuJABNT4+9sAAAAO&#10;AQAADwAAAGRycy9kb3ducmV2LnhtbE2Py07DMBBF90j8gzVI7Fo7UV3SEKdSkVgi0cKC7px4SKLG&#10;42C7D/h6DBvYzWiO7pxbrS92ZCf0YXCkIJsLYEitMwN1Cl5fHmcFsBA1GT06QgWfGGBdX19VujTu&#10;TFs87WLHUgiFUivoY5xKzkPbo9Vh7iakdHt33uqYVt9x4/U5hduR50IsudUDpQ+9nvChx/awO1oF&#10;m1Wx+Xhe0NPXttnj/q05yNwLpW5vMnEPLOIl/sHwo5/UoU5OjTuSCWxUMMvkXZ7Y32m5ApaYQsoF&#10;sCbBIpMSeF3x/zXqb1BLAwQUAAAACACHTuJA2YktyyMCAAA8BAAADgAAAGRycy9lMm9Eb2MueG1s&#10;rVPLbtswELwX6D8QvNeSbPkRIXIQJEhRIG2Cpv0AmqIsohSXXdKW3a/vknJSN73kUB0ELnc5nJld&#10;Xl4desP2Cr0GW/NiknOmrIRG223Nv3+7+7DizAdhG2HAqpofledX6/fvLgdXqSl0YBqFjECsrwZX&#10;8y4EV2WZl53qhZ+AU5aSLWAvAoW4zRoUA6H3Jpvm+SIbABuHIJX3tHs7JvkJEd8CCG2rpboFueuV&#10;DSMqKiMCSfKddp6vE9u2VTI8tK1XgZmak9KQ/nQJrTfxn60vRbVF4TotTxTEWyi80tQLbenSF6hb&#10;EQTbof4HqtcSwUMbJhL6bBSSHCEVRf7Km6dOOJW0kNXevZju/x+s/LJ/RKabmpeLRT4vLxbUfit6&#10;avxXMk/YrVFsvoo+Dc5XVP7kHjEq9e4e5A/PLNx0VKauEWHolGiIXRHrs78OxMDTUbYZPkND8GIX&#10;IFl2aLGPgGQGOxCPYrZcLonFsebzZTkvV6cuqUNgkgqK2cV8OaMGyliRj+lMVM84Dn34qKBncVFz&#10;JBnpHrG/9yHyEtVzSdIBRjd32pgU4HZzY5DtRZyX9CUpJPe8zNhYbCEeGxHjThIcNY5ebaA5kl6E&#10;cejoydGiA/zF2UADV3P/cydQcWY+WfLsoijLOKEpKOfLKQV4ntmcZ4SVBFXzwNm4vAnjVO8c6m1H&#10;NxVJtIVr8rnVSXjswcjqRJaGKvlxegBxas/jVPXn0a9/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TU+PvbAAAADgEAAA8AAAAAAAAAAQAgAAAAIgAAAGRycy9kb3ducmV2LnhtbFBLAQIUABQAAAAI&#10;AIdO4kDZiS3LIwIAADwEAAAOAAAAAAAAAAEAIAAAACoBAABkcnMvZTJvRG9jLnhtbFBLBQYAAAAA&#10;BgAGAFkBAAC/BQAAAAA=&#10;">
                  <v:fill on="t" focussize="0,0"/>
                  <v:stroke on="f"/>
                  <v:imagedata o:title=""/>
                  <o:lock v:ext="edit" aspectratio="f"/>
                </v:rect>
              </v:group>
            </w:pict>
          </mc:Fallback>
        </mc:AlternateContent>
      </w:r>
      <w:r>
        <w:rPr>
          <w:rFonts w:hint="eastAsia"/>
        </w:rPr>
        <w:drawing>
          <wp:inline distT="0" distB="0" distL="0" distR="0">
            <wp:extent cx="5543550" cy="6927850"/>
            <wp:effectExtent l="0" t="0" r="0" b="6350"/>
            <wp:docPr id="1563873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87393" name="图片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5543550" cy="6927850"/>
                    </a:xfrm>
                    <a:prstGeom prst="rect">
                      <a:avLst/>
                    </a:prstGeom>
                    <a:noFill/>
                    <a:ln>
                      <a:noFill/>
                    </a:ln>
                  </pic:spPr>
                </pic:pic>
              </a:graphicData>
            </a:graphic>
          </wp:inline>
        </w:drawing>
      </w:r>
    </w:p>
    <w:p w14:paraId="2DBB6D8A">
      <w:pPr>
        <w:widowControl/>
        <w:jc w:val="left"/>
        <w:rPr>
          <w:sz w:val="24"/>
        </w:rPr>
      </w:pPr>
      <w:r>
        <w:rPr>
          <w:sz w:val="24"/>
        </w:rPr>
        <w:br w:type="page"/>
      </w:r>
    </w:p>
    <w:p w14:paraId="230125F1">
      <w:pPr>
        <w:spacing w:line="360" w:lineRule="auto"/>
        <w:jc w:val="center"/>
        <w:rPr>
          <w:sz w:val="24"/>
        </w:rPr>
      </w:pPr>
    </w:p>
    <w:p w14:paraId="0DF86A2A">
      <w:pPr>
        <w:widowControl/>
        <w:jc w:val="left"/>
        <w:rPr>
          <w:sz w:val="24"/>
        </w:rPr>
      </w:pPr>
      <w:r>
        <w:rPr>
          <w:sz w:val="24"/>
        </w:rPr>
        <w:br w:type="page"/>
      </w:r>
    </w:p>
    <w:p w14:paraId="7FC04D6E">
      <w:pPr>
        <w:spacing w:line="360" w:lineRule="auto"/>
        <w:jc w:val="center"/>
        <w:rPr>
          <w:sz w:val="24"/>
        </w:rPr>
      </w:pPr>
      <w:r>
        <w:rPr>
          <w:rFonts w:hint="eastAsia"/>
        </w:rPr>
        <w:drawing>
          <wp:inline distT="0" distB="0" distL="0" distR="0">
            <wp:extent cx="5543550" cy="7840980"/>
            <wp:effectExtent l="0" t="0" r="0" b="7620"/>
            <wp:docPr id="19125780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57803" name="图片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5543550" cy="7840980"/>
                    </a:xfrm>
                    <a:prstGeom prst="rect">
                      <a:avLst/>
                    </a:prstGeom>
                    <a:noFill/>
                    <a:ln>
                      <a:noFill/>
                    </a:ln>
                  </pic:spPr>
                </pic:pic>
              </a:graphicData>
            </a:graphic>
          </wp:inline>
        </w:drawing>
      </w:r>
    </w:p>
    <w:p w14:paraId="30EB6ABA">
      <w:pPr>
        <w:widowControl/>
        <w:jc w:val="left"/>
        <w:rPr>
          <w:sz w:val="24"/>
        </w:rPr>
      </w:pPr>
      <w:r>
        <w:rPr>
          <w:sz w:val="24"/>
        </w:rPr>
        <w:br w:type="page"/>
      </w:r>
    </w:p>
    <w:p w14:paraId="6FEA809A">
      <w:pPr>
        <w:spacing w:line="360" w:lineRule="auto"/>
        <w:rPr>
          <w:rFonts w:hint="eastAsia" w:ascii="宋体" w:hAnsi="宋体" w:cs="宋体"/>
          <w:szCs w:val="21"/>
        </w:rPr>
        <w:sectPr>
          <w:pgSz w:w="11906" w:h="16838"/>
          <w:pgMar w:top="1588" w:right="1588" w:bottom="1588" w:left="1588" w:header="851" w:footer="851" w:gutter="0"/>
          <w:cols w:space="720" w:num="1"/>
          <w:docGrid w:linePitch="312" w:charSpace="0"/>
        </w:sectPr>
      </w:pPr>
    </w:p>
    <w:p w14:paraId="05DE04FB">
      <w:pPr>
        <w:spacing w:line="360" w:lineRule="auto"/>
        <w:jc w:val="center"/>
        <w:rPr>
          <w:rFonts w:hint="eastAsia" w:ascii="宋体" w:hAnsi="宋体" w:cs="宋体"/>
          <w:szCs w:val="21"/>
        </w:rPr>
      </w:pPr>
      <w:r>
        <w:drawing>
          <wp:inline distT="0" distB="0" distL="0" distR="0">
            <wp:extent cx="8675370" cy="5314315"/>
            <wp:effectExtent l="0" t="0" r="0" b="635"/>
            <wp:docPr id="19103130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31305" name="图片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8675370" cy="5314315"/>
                    </a:xfrm>
                    <a:prstGeom prst="rect">
                      <a:avLst/>
                    </a:prstGeom>
                    <a:noFill/>
                    <a:ln>
                      <a:noFill/>
                    </a:ln>
                  </pic:spPr>
                </pic:pic>
              </a:graphicData>
            </a:graphic>
          </wp:inline>
        </w:drawing>
      </w:r>
    </w:p>
    <w:p w14:paraId="3FC4D802">
      <w:pPr>
        <w:spacing w:line="360" w:lineRule="auto"/>
        <w:jc w:val="center"/>
        <w:rPr>
          <w:rFonts w:hint="eastAsia" w:ascii="宋体" w:hAnsi="宋体" w:cs="宋体"/>
          <w:szCs w:val="21"/>
        </w:rPr>
        <w:sectPr>
          <w:pgSz w:w="16838" w:h="11906" w:orient="landscape"/>
          <w:pgMar w:top="1588" w:right="1588" w:bottom="1588" w:left="1588" w:header="851" w:footer="851" w:gutter="0"/>
          <w:cols w:space="720" w:num="1"/>
          <w:docGrid w:linePitch="312" w:charSpace="0"/>
        </w:sectPr>
      </w:pPr>
    </w:p>
    <w:p w14:paraId="4C7732A1">
      <w:pPr>
        <w:spacing w:line="360" w:lineRule="auto"/>
        <w:jc w:val="center"/>
        <w:rPr>
          <w:rFonts w:hint="eastAsia" w:ascii="宋体" w:hAnsi="宋体" w:cs="宋体"/>
          <w:szCs w:val="21"/>
        </w:rPr>
      </w:pPr>
      <w:r>
        <w:drawing>
          <wp:inline distT="0" distB="0" distL="0" distR="0">
            <wp:extent cx="5543550" cy="7708900"/>
            <wp:effectExtent l="0" t="0" r="0" b="6350"/>
            <wp:docPr id="53388215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882153" name="图片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a:xfrm>
                      <a:off x="0" y="0"/>
                      <a:ext cx="5543550" cy="7708900"/>
                    </a:xfrm>
                    <a:prstGeom prst="rect">
                      <a:avLst/>
                    </a:prstGeom>
                    <a:noFill/>
                    <a:ln>
                      <a:noFill/>
                    </a:ln>
                  </pic:spPr>
                </pic:pic>
              </a:graphicData>
            </a:graphic>
          </wp:inline>
        </w:drawing>
      </w:r>
    </w:p>
    <w:p w14:paraId="7BBF5107">
      <w:pPr>
        <w:widowControl/>
        <w:jc w:val="center"/>
        <w:rPr>
          <w:rFonts w:hint="eastAsia" w:ascii="宋体" w:hAnsi="宋体" w:cs="宋体"/>
          <w:szCs w:val="21"/>
        </w:rPr>
      </w:pPr>
      <w:r>
        <w:rPr>
          <w:rFonts w:ascii="宋体" w:hAnsi="宋体" w:cs="宋体"/>
          <w:szCs w:val="21"/>
        </w:rPr>
        <w:br w:type="page"/>
      </w:r>
    </w:p>
    <w:p w14:paraId="360C43C6">
      <w:pPr>
        <w:widowControl/>
        <w:jc w:val="center"/>
        <w:rPr>
          <w:rFonts w:hint="eastAsia" w:ascii="宋体" w:hAnsi="宋体" w:cs="宋体"/>
          <w:szCs w:val="21"/>
        </w:rPr>
      </w:pPr>
      <w:r>
        <w:drawing>
          <wp:inline distT="0" distB="0" distL="0" distR="0">
            <wp:extent cx="5543550" cy="7574280"/>
            <wp:effectExtent l="0" t="0" r="0" b="7620"/>
            <wp:docPr id="109348988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489884" name="图片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5543550" cy="7574280"/>
                    </a:xfrm>
                    <a:prstGeom prst="rect">
                      <a:avLst/>
                    </a:prstGeom>
                    <a:noFill/>
                    <a:ln>
                      <a:noFill/>
                    </a:ln>
                  </pic:spPr>
                </pic:pic>
              </a:graphicData>
            </a:graphic>
          </wp:inline>
        </w:drawing>
      </w:r>
    </w:p>
    <w:p w14:paraId="6F2ACEFC">
      <w:pPr>
        <w:widowControl/>
        <w:jc w:val="left"/>
        <w:rPr>
          <w:rFonts w:hint="eastAsia" w:ascii="宋体" w:hAnsi="宋体" w:cs="宋体"/>
          <w:szCs w:val="21"/>
        </w:rPr>
      </w:pPr>
      <w:r>
        <w:rPr>
          <w:rFonts w:ascii="宋体" w:hAnsi="宋体" w:cs="宋体"/>
          <w:szCs w:val="21"/>
        </w:rPr>
        <w:br w:type="page"/>
      </w:r>
    </w:p>
    <w:p w14:paraId="0AA9A997">
      <w:pPr>
        <w:widowControl/>
        <w:jc w:val="center"/>
        <w:rPr>
          <w:rFonts w:hint="eastAsia" w:ascii="宋体" w:hAnsi="宋体" w:cs="宋体"/>
          <w:szCs w:val="21"/>
        </w:rPr>
      </w:pPr>
    </w:p>
    <w:p w14:paraId="6D840386">
      <w:pPr>
        <w:spacing w:line="360" w:lineRule="auto"/>
        <w:rPr>
          <w:rFonts w:hint="eastAsia" w:ascii="宋体" w:hAnsi="宋体" w:cs="宋体"/>
          <w:szCs w:val="21"/>
        </w:rPr>
      </w:pPr>
      <w:r>
        <w:rPr>
          <w:rFonts w:hint="eastAsia"/>
        </w:rPr>
        <w:drawing>
          <wp:inline distT="0" distB="0" distL="0" distR="0">
            <wp:extent cx="5543550" cy="7613650"/>
            <wp:effectExtent l="0" t="0" r="0" b="6350"/>
            <wp:docPr id="145377978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779786" name="图片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5543550" cy="7613650"/>
                    </a:xfrm>
                    <a:prstGeom prst="rect">
                      <a:avLst/>
                    </a:prstGeom>
                    <a:noFill/>
                    <a:ln>
                      <a:noFill/>
                    </a:ln>
                  </pic:spPr>
                </pic:pic>
              </a:graphicData>
            </a:graphic>
          </wp:inline>
        </w:drawing>
      </w:r>
    </w:p>
    <w:p w14:paraId="715AB7C4">
      <w:pPr>
        <w:widowControl/>
        <w:jc w:val="left"/>
        <w:rPr>
          <w:rFonts w:hint="eastAsia" w:ascii="宋体" w:hAnsi="宋体" w:cs="宋体"/>
          <w:szCs w:val="21"/>
        </w:rPr>
      </w:pPr>
      <w:r>
        <w:rPr>
          <w:rFonts w:ascii="宋体" w:hAnsi="宋体" w:cs="宋体"/>
          <w:szCs w:val="21"/>
        </w:rPr>
        <w:br w:type="page"/>
      </w:r>
    </w:p>
    <w:p w14:paraId="4CC5C125">
      <w:pPr>
        <w:spacing w:line="360" w:lineRule="auto"/>
        <w:jc w:val="center"/>
        <w:rPr>
          <w:rFonts w:hint="eastAsia" w:ascii="宋体" w:hAnsi="宋体" w:cs="宋体"/>
          <w:szCs w:val="21"/>
        </w:rPr>
      </w:pPr>
      <w:r>
        <w:drawing>
          <wp:inline distT="0" distB="0" distL="0" distR="0">
            <wp:extent cx="5543550" cy="7651115"/>
            <wp:effectExtent l="0" t="0" r="0" b="6985"/>
            <wp:docPr id="41596684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966841" name="图片 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a:xfrm>
                      <a:off x="0" y="0"/>
                      <a:ext cx="5543550" cy="7651115"/>
                    </a:xfrm>
                    <a:prstGeom prst="rect">
                      <a:avLst/>
                    </a:prstGeom>
                    <a:noFill/>
                    <a:ln>
                      <a:noFill/>
                    </a:ln>
                  </pic:spPr>
                </pic:pic>
              </a:graphicData>
            </a:graphic>
          </wp:inline>
        </w:drawing>
      </w:r>
    </w:p>
    <w:p w14:paraId="74CB644F">
      <w:pPr>
        <w:widowControl/>
        <w:jc w:val="left"/>
        <w:rPr>
          <w:rFonts w:hint="eastAsia" w:ascii="宋体" w:hAnsi="宋体" w:cs="宋体"/>
          <w:szCs w:val="21"/>
        </w:rPr>
      </w:pPr>
      <w:r>
        <w:rPr>
          <w:rFonts w:ascii="宋体" w:hAnsi="宋体" w:cs="宋体"/>
          <w:szCs w:val="21"/>
        </w:rPr>
        <w:br w:type="page"/>
      </w:r>
    </w:p>
    <w:p w14:paraId="237C196F">
      <w:pPr>
        <w:spacing w:line="360" w:lineRule="auto"/>
        <w:jc w:val="center"/>
        <w:rPr>
          <w:rFonts w:hint="eastAsia" w:ascii="宋体" w:hAnsi="宋体" w:cs="宋体"/>
          <w:szCs w:val="21"/>
        </w:rPr>
      </w:pPr>
      <w:r>
        <w:drawing>
          <wp:inline distT="0" distB="0" distL="0" distR="0">
            <wp:extent cx="5543550" cy="7693025"/>
            <wp:effectExtent l="0" t="0" r="0" b="3175"/>
            <wp:docPr id="143916109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161098" name="图片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5543550" cy="7693025"/>
                    </a:xfrm>
                    <a:prstGeom prst="rect">
                      <a:avLst/>
                    </a:prstGeom>
                    <a:noFill/>
                    <a:ln>
                      <a:noFill/>
                    </a:ln>
                  </pic:spPr>
                </pic:pic>
              </a:graphicData>
            </a:graphic>
          </wp:inline>
        </w:drawing>
      </w:r>
    </w:p>
    <w:p w14:paraId="1DFC6897">
      <w:pPr>
        <w:widowControl/>
        <w:jc w:val="left"/>
        <w:rPr>
          <w:rFonts w:hint="eastAsia" w:ascii="宋体" w:hAnsi="宋体" w:cs="宋体"/>
          <w:szCs w:val="21"/>
        </w:rPr>
      </w:pPr>
      <w:r>
        <w:rPr>
          <w:rFonts w:ascii="宋体" w:hAnsi="宋体" w:cs="宋体"/>
          <w:szCs w:val="21"/>
        </w:rPr>
        <w:br w:type="page"/>
      </w:r>
    </w:p>
    <w:p w14:paraId="73CB3C66">
      <w:pPr>
        <w:spacing w:line="360" w:lineRule="auto"/>
        <w:rPr>
          <w:rFonts w:hint="eastAsia" w:ascii="宋体" w:hAnsi="宋体" w:cs="宋体"/>
          <w:szCs w:val="21"/>
        </w:rPr>
        <w:sectPr>
          <w:pgSz w:w="11906" w:h="16838"/>
          <w:pgMar w:top="1588" w:right="1588" w:bottom="1588" w:left="1588" w:header="851" w:footer="851" w:gutter="0"/>
          <w:cols w:space="720" w:num="1"/>
          <w:docGrid w:linePitch="312" w:charSpace="0"/>
        </w:sectPr>
      </w:pPr>
    </w:p>
    <w:p w14:paraId="0F278B04">
      <w:pPr>
        <w:pStyle w:val="3"/>
        <w:spacing w:before="0" w:after="0" w:line="440" w:lineRule="exact"/>
        <w:rPr>
          <w:rFonts w:hint="eastAsia" w:hAnsi="宋体"/>
        </w:rPr>
        <w:sectPr>
          <w:pgSz w:w="11906" w:h="16838"/>
          <w:pgMar w:top="1588" w:right="1588" w:bottom="1588" w:left="1588" w:header="851" w:footer="851" w:gutter="0"/>
          <w:cols w:space="720" w:num="1"/>
          <w:vAlign w:val="center"/>
          <w:docGrid w:linePitch="312" w:charSpace="0"/>
        </w:sectPr>
      </w:pPr>
      <w:bookmarkStart w:id="2715" w:name="_Toc142385795"/>
      <w:r>
        <w:rPr>
          <w:rFonts w:hint="eastAsia" w:hAnsi="宋体"/>
        </w:rPr>
        <w:t>第七章 附件——响应文件格式</w:t>
      </w:r>
      <w:bookmarkEnd w:id="2715"/>
    </w:p>
    <w:p w14:paraId="17D3BF6F">
      <w:pPr>
        <w:pStyle w:val="517"/>
        <w:spacing w:before="120" w:after="120" w:line="320" w:lineRule="exact"/>
        <w:ind w:left="0" w:leftChars="0"/>
        <w:rPr>
          <w:rFonts w:hint="eastAsia" w:ascii="宋体" w:hAnsi="宋体" w:eastAsia="宋体"/>
          <w:sz w:val="24"/>
          <w:szCs w:val="20"/>
        </w:rPr>
      </w:pPr>
      <w:r>
        <w:rPr>
          <w:rFonts w:ascii="宋体" w:hAnsi="宋体" w:eastAsia="宋体"/>
          <w:sz w:val="24"/>
          <w:szCs w:val="20"/>
        </w:rPr>
        <w:t>商务文件部分包括：</w:t>
      </w:r>
    </w:p>
    <w:p w14:paraId="3163BD26">
      <w:pPr>
        <w:pStyle w:val="517"/>
        <w:spacing w:before="120" w:after="120" w:line="320" w:lineRule="exact"/>
        <w:ind w:left="359" w:leftChars="171"/>
        <w:rPr>
          <w:rFonts w:hint="eastAsia" w:ascii="宋体" w:hAnsi="宋体" w:eastAsia="宋体"/>
          <w:sz w:val="24"/>
          <w:szCs w:val="20"/>
        </w:rPr>
      </w:pPr>
      <w:r>
        <w:rPr>
          <w:rFonts w:hint="eastAsia" w:ascii="宋体" w:hAnsi="宋体" w:eastAsia="宋体"/>
          <w:b/>
          <w:sz w:val="24"/>
        </w:rPr>
        <w:t>★</w:t>
      </w:r>
      <w:r>
        <w:rPr>
          <w:rFonts w:hint="eastAsia" w:ascii="宋体" w:hAnsi="宋体" w:eastAsia="宋体"/>
          <w:sz w:val="24"/>
          <w:szCs w:val="20"/>
        </w:rPr>
        <w:t xml:space="preserve">1、报价函 </w:t>
      </w:r>
    </w:p>
    <w:p w14:paraId="5A5C1AA4">
      <w:pPr>
        <w:pStyle w:val="517"/>
        <w:spacing w:before="120" w:after="120" w:line="320" w:lineRule="exact"/>
        <w:ind w:left="359" w:leftChars="171"/>
        <w:rPr>
          <w:rFonts w:hint="eastAsia" w:ascii="宋体" w:hAnsi="宋体" w:eastAsia="宋体"/>
          <w:sz w:val="24"/>
          <w:szCs w:val="20"/>
        </w:rPr>
      </w:pPr>
      <w:r>
        <w:rPr>
          <w:rFonts w:hint="eastAsia" w:ascii="宋体" w:hAnsi="宋体" w:eastAsia="宋体"/>
          <w:b/>
          <w:sz w:val="24"/>
        </w:rPr>
        <w:t>★</w:t>
      </w:r>
      <w:r>
        <w:rPr>
          <w:rFonts w:hint="eastAsia" w:ascii="宋体" w:hAnsi="宋体" w:eastAsia="宋体"/>
          <w:sz w:val="24"/>
          <w:szCs w:val="20"/>
        </w:rPr>
        <w:t xml:space="preserve">2、法定代表人授权书 </w:t>
      </w:r>
    </w:p>
    <w:p w14:paraId="1A76FC7E">
      <w:pPr>
        <w:pStyle w:val="517"/>
        <w:spacing w:before="120" w:after="120" w:line="320" w:lineRule="exact"/>
        <w:ind w:left="359" w:leftChars="171"/>
        <w:rPr>
          <w:rFonts w:hint="eastAsia" w:ascii="宋体" w:hAnsi="宋体" w:eastAsia="宋体"/>
          <w:sz w:val="24"/>
          <w:szCs w:val="20"/>
        </w:rPr>
      </w:pPr>
      <w:r>
        <w:rPr>
          <w:rFonts w:hint="eastAsia" w:ascii="宋体" w:hAnsi="宋体" w:eastAsia="宋体"/>
          <w:b/>
          <w:sz w:val="24"/>
        </w:rPr>
        <w:t>★</w:t>
      </w:r>
      <w:r>
        <w:rPr>
          <w:rFonts w:hint="eastAsia" w:ascii="宋体" w:hAnsi="宋体" w:eastAsia="宋体"/>
          <w:sz w:val="24"/>
          <w:szCs w:val="20"/>
        </w:rPr>
        <w:t xml:space="preserve">3、已标价工程量清单 </w:t>
      </w:r>
    </w:p>
    <w:p w14:paraId="61C12B5D">
      <w:pPr>
        <w:pStyle w:val="517"/>
        <w:spacing w:before="120" w:after="120" w:line="320" w:lineRule="exact"/>
        <w:ind w:left="359" w:leftChars="171" w:firstLine="240" w:firstLineChars="100"/>
        <w:rPr>
          <w:rFonts w:hint="eastAsia" w:ascii="宋体" w:hAnsi="宋体" w:eastAsia="宋体"/>
          <w:sz w:val="24"/>
          <w:szCs w:val="20"/>
        </w:rPr>
      </w:pPr>
      <w:r>
        <w:rPr>
          <w:rFonts w:hint="eastAsia" w:ascii="宋体" w:hAnsi="宋体" w:eastAsia="宋体"/>
          <w:sz w:val="24"/>
          <w:szCs w:val="20"/>
        </w:rPr>
        <w:t>4、资格证明文件</w:t>
      </w:r>
    </w:p>
    <w:p w14:paraId="4AA97476">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sz w:val="24"/>
        </w:rPr>
        <w:t>★4</w:t>
      </w:r>
      <w:r>
        <w:rPr>
          <w:rFonts w:ascii="宋体" w:hAnsi="宋体"/>
          <w:sz w:val="24"/>
        </w:rPr>
        <w:t>.1有效的</w:t>
      </w:r>
      <w:r>
        <w:rPr>
          <w:rFonts w:hint="eastAsia" w:ascii="宋体" w:hAnsi="宋体"/>
          <w:sz w:val="24"/>
        </w:rPr>
        <w:t>企业</w:t>
      </w:r>
      <w:r>
        <w:rPr>
          <w:rFonts w:hint="eastAsia" w:ascii="宋体" w:hAnsi="宋体" w:cs="宋体"/>
          <w:kern w:val="0"/>
          <w:sz w:val="24"/>
          <w:lang w:val="zh-CN"/>
        </w:rPr>
        <w:t>法人营业执照</w:t>
      </w:r>
      <w:r>
        <w:rPr>
          <w:rFonts w:hint="eastAsia" w:ascii="宋体" w:hAnsi="宋体"/>
          <w:sz w:val="24"/>
        </w:rPr>
        <w:t>及有效的资质证书</w:t>
      </w:r>
      <w:r>
        <w:rPr>
          <w:rFonts w:ascii="宋体" w:hAnsi="宋体"/>
          <w:sz w:val="24"/>
        </w:rPr>
        <w:t>（复印件加盖公章）；</w:t>
      </w:r>
    </w:p>
    <w:p w14:paraId="61E5BF5D">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b/>
          <w:sz w:val="24"/>
        </w:rPr>
        <w:t>★</w:t>
      </w:r>
      <w:r>
        <w:rPr>
          <w:rFonts w:hint="eastAsia" w:ascii="宋体" w:hAnsi="宋体"/>
          <w:sz w:val="24"/>
        </w:rPr>
        <w:t>4</w:t>
      </w:r>
      <w:r>
        <w:rPr>
          <w:rFonts w:ascii="宋体" w:hAnsi="宋体"/>
          <w:sz w:val="24"/>
        </w:rPr>
        <w:t>.2</w:t>
      </w:r>
      <w:r>
        <w:rPr>
          <w:rFonts w:hint="eastAsia" w:ascii="宋体" w:hAnsi="宋体"/>
          <w:sz w:val="24"/>
        </w:rPr>
        <w:t>依法缴纳税收和</w:t>
      </w:r>
      <w:r>
        <w:rPr>
          <w:rFonts w:ascii="宋体" w:hAnsi="宋体"/>
          <w:sz w:val="24"/>
        </w:rPr>
        <w:t>社会保障资金</w:t>
      </w:r>
      <w:r>
        <w:rPr>
          <w:rFonts w:hint="eastAsia" w:ascii="宋体" w:hAnsi="宋体"/>
          <w:sz w:val="24"/>
        </w:rPr>
        <w:t>的良好记录的声明承诺书</w:t>
      </w:r>
      <w:r>
        <w:rPr>
          <w:rFonts w:ascii="宋体" w:hAnsi="宋体"/>
          <w:sz w:val="24"/>
        </w:rPr>
        <w:t>；</w:t>
      </w:r>
    </w:p>
    <w:p w14:paraId="45EB2D39">
      <w:pPr>
        <w:spacing w:line="360" w:lineRule="auto"/>
        <w:ind w:left="899" w:leftChars="428"/>
        <w:rPr>
          <w:rFonts w:hint="eastAsia" w:ascii="宋体" w:hAnsi="宋体"/>
          <w:sz w:val="24"/>
        </w:rPr>
      </w:pPr>
      <w:r>
        <w:rPr>
          <w:rFonts w:hint="eastAsia" w:ascii="宋体" w:hAnsi="宋体"/>
          <w:b/>
          <w:sz w:val="24"/>
        </w:rPr>
        <w:t>★</w:t>
      </w:r>
      <w:r>
        <w:rPr>
          <w:rFonts w:hint="eastAsia" w:ascii="宋体" w:hAnsi="宋体"/>
          <w:sz w:val="24"/>
        </w:rPr>
        <w:t>4.3</w:t>
      </w:r>
      <w:r>
        <w:rPr>
          <w:rFonts w:hint="eastAsia" w:ascii="宋体" w:hAnsi="宋体" w:cs="宋体"/>
          <w:kern w:val="0"/>
          <w:sz w:val="24"/>
          <w:lang w:val="zh-CN"/>
        </w:rPr>
        <w:t>参加本次采购活动前三年</w:t>
      </w:r>
      <w:r>
        <w:rPr>
          <w:rFonts w:hint="eastAsia" w:ascii="宋体" w:hAnsi="宋体" w:cs="宋体"/>
          <w:kern w:val="0"/>
          <w:sz w:val="24"/>
        </w:rPr>
        <w:t>（2021年10月8日至响应文件递交截止之日）</w:t>
      </w:r>
      <w:r>
        <w:rPr>
          <w:rFonts w:hint="eastAsia" w:ascii="宋体" w:hAnsi="宋体" w:cs="宋体"/>
          <w:kern w:val="0"/>
          <w:sz w:val="24"/>
          <w:lang w:val="zh-CN"/>
        </w:rPr>
        <w:t>内</w:t>
      </w:r>
      <w:r>
        <w:rPr>
          <w:rFonts w:hint="eastAsia" w:ascii="宋体" w:hAnsi="宋体" w:cs="宋体"/>
          <w:kern w:val="0"/>
          <w:sz w:val="24"/>
        </w:rPr>
        <w:t>，</w:t>
      </w:r>
      <w:r>
        <w:rPr>
          <w:rFonts w:hint="eastAsia" w:ascii="宋体" w:hAnsi="宋体" w:cs="宋体"/>
          <w:kern w:val="0"/>
          <w:sz w:val="24"/>
          <w:lang w:val="zh-CN"/>
        </w:rPr>
        <w:t>未被</w:t>
      </w:r>
      <w:r>
        <w:rPr>
          <w:rFonts w:hint="eastAsia" w:ascii="宋体" w:hAnsi="宋体" w:cs="宋体"/>
          <w:kern w:val="0"/>
          <w:sz w:val="24"/>
        </w:rPr>
        <w:t>“</w:t>
      </w:r>
      <w:r>
        <w:rPr>
          <w:rFonts w:hint="eastAsia" w:ascii="宋体" w:hAnsi="宋体" w:cs="宋体"/>
          <w:kern w:val="0"/>
          <w:sz w:val="24"/>
          <w:lang w:val="zh-CN"/>
        </w:rPr>
        <w:t>信用中国</w:t>
      </w:r>
      <w:r>
        <w:rPr>
          <w:rFonts w:hint="eastAsia" w:ascii="宋体" w:hAnsi="宋体" w:cs="宋体"/>
          <w:kern w:val="0"/>
          <w:sz w:val="24"/>
        </w:rPr>
        <w:t>”（https://www.creditchina.gov.cn/）</w:t>
      </w:r>
      <w:r>
        <w:rPr>
          <w:rFonts w:hint="eastAsia" w:ascii="宋体" w:hAnsi="宋体" w:cs="宋体"/>
          <w:kern w:val="0"/>
          <w:sz w:val="24"/>
          <w:lang w:val="zh-CN"/>
        </w:rPr>
        <w:t>网站列入失信被执行人和重大税收违法失信主体、未被</w:t>
      </w:r>
      <w:r>
        <w:rPr>
          <w:rFonts w:hint="eastAsia" w:ascii="宋体" w:hAnsi="宋体" w:cs="宋体"/>
          <w:kern w:val="0"/>
          <w:sz w:val="24"/>
        </w:rPr>
        <w:t>“</w:t>
      </w:r>
      <w:r>
        <w:rPr>
          <w:rFonts w:hint="eastAsia" w:ascii="宋体" w:hAnsi="宋体" w:cs="宋体"/>
          <w:kern w:val="0"/>
          <w:sz w:val="24"/>
          <w:lang w:val="zh-CN"/>
        </w:rPr>
        <w:t>中国政府采购网</w:t>
      </w:r>
      <w:r>
        <w:rPr>
          <w:rFonts w:hint="eastAsia" w:ascii="宋体" w:hAnsi="宋体" w:cs="宋体"/>
          <w:kern w:val="0"/>
          <w:sz w:val="24"/>
        </w:rPr>
        <w:t>”（http://www.ccgp.gov.cn）</w:t>
      </w:r>
      <w:r>
        <w:rPr>
          <w:rFonts w:hint="eastAsia" w:ascii="宋体" w:hAnsi="宋体" w:cs="宋体"/>
          <w:kern w:val="0"/>
          <w:sz w:val="24"/>
          <w:lang w:val="zh-CN"/>
        </w:rPr>
        <w:t>网站列入政府采购严重违法失信行为记录名单</w:t>
      </w:r>
      <w:r>
        <w:rPr>
          <w:rFonts w:hint="eastAsia" w:ascii="宋体" w:hAnsi="宋体" w:cs="宋体"/>
          <w:kern w:val="0"/>
          <w:sz w:val="24"/>
        </w:rPr>
        <w:t>（</w:t>
      </w:r>
      <w:r>
        <w:rPr>
          <w:rFonts w:hint="eastAsia" w:ascii="宋体" w:hAnsi="宋体" w:cs="宋体"/>
          <w:kern w:val="0"/>
          <w:sz w:val="24"/>
          <w:lang w:val="zh-CN"/>
        </w:rPr>
        <w:t>或处罚期限届满的</w:t>
      </w:r>
      <w:r>
        <w:rPr>
          <w:rFonts w:hint="eastAsia" w:ascii="宋体" w:hAnsi="宋体" w:cs="宋体"/>
          <w:kern w:val="0"/>
          <w:sz w:val="24"/>
        </w:rPr>
        <w:t>）的声明；</w:t>
      </w:r>
    </w:p>
    <w:p w14:paraId="6A32C6C3">
      <w:pPr>
        <w:spacing w:line="360" w:lineRule="auto"/>
        <w:ind w:left="899" w:leftChars="428"/>
        <w:rPr>
          <w:rFonts w:hint="eastAsia" w:ascii="宋体" w:hAnsi="宋体"/>
          <w:sz w:val="24"/>
        </w:rPr>
      </w:pPr>
      <w:r>
        <w:rPr>
          <w:rFonts w:hint="eastAsia" w:ascii="宋体" w:hAnsi="宋体"/>
          <w:b/>
          <w:sz w:val="24"/>
        </w:rPr>
        <w:t>★</w:t>
      </w:r>
      <w:r>
        <w:rPr>
          <w:rFonts w:hint="eastAsia" w:ascii="宋体" w:hAnsi="宋体"/>
          <w:sz w:val="24"/>
        </w:rPr>
        <w:t>4.4供应商无不良行为记录，企业信誉良好等资信承诺书（格式自拟）；</w:t>
      </w:r>
    </w:p>
    <w:p w14:paraId="390005A0">
      <w:pPr>
        <w:spacing w:line="360" w:lineRule="auto"/>
        <w:ind w:left="899" w:leftChars="428"/>
        <w:rPr>
          <w:rFonts w:hint="eastAsia" w:ascii="宋体" w:hAnsi="宋体"/>
          <w:sz w:val="24"/>
        </w:rPr>
      </w:pPr>
      <w:r>
        <w:rPr>
          <w:rFonts w:hint="eastAsia" w:ascii="宋体" w:hAnsi="宋体"/>
          <w:b/>
          <w:sz w:val="24"/>
        </w:rPr>
        <w:t>★</w:t>
      </w:r>
      <w:r>
        <w:rPr>
          <w:rFonts w:hint="eastAsia" w:ascii="宋体" w:hAnsi="宋体"/>
          <w:sz w:val="24"/>
        </w:rPr>
        <w:t>4.5</w:t>
      </w:r>
      <w:r>
        <w:rPr>
          <w:rFonts w:hint="eastAsia" w:ascii="宋体" w:hAnsi="宋体"/>
          <w:kern w:val="0"/>
          <w:sz w:val="24"/>
        </w:rPr>
        <w:t>供应商基本情况表</w:t>
      </w:r>
      <w:r>
        <w:rPr>
          <w:rFonts w:ascii="宋体" w:hAnsi="宋体"/>
          <w:sz w:val="24"/>
        </w:rPr>
        <w:t>；</w:t>
      </w:r>
    </w:p>
    <w:p w14:paraId="50E49C59">
      <w:pPr>
        <w:tabs>
          <w:tab w:val="left" w:pos="1619"/>
        </w:tabs>
        <w:spacing w:line="360" w:lineRule="auto"/>
        <w:ind w:left="899" w:leftChars="428"/>
        <w:rPr>
          <w:rFonts w:hint="eastAsia" w:ascii="宋体" w:hAnsi="宋体"/>
          <w:bCs/>
          <w:sz w:val="24"/>
        </w:rPr>
      </w:pPr>
      <w:r>
        <w:rPr>
          <w:rFonts w:hint="eastAsia" w:ascii="宋体" w:hAnsi="宋体"/>
          <w:b/>
          <w:sz w:val="24"/>
        </w:rPr>
        <w:t>★</w:t>
      </w:r>
      <w:r>
        <w:rPr>
          <w:rFonts w:hint="eastAsia" w:ascii="宋体" w:hAnsi="宋体"/>
          <w:bCs/>
          <w:sz w:val="24"/>
        </w:rPr>
        <w:t>4</w:t>
      </w:r>
      <w:r>
        <w:rPr>
          <w:rFonts w:ascii="宋体" w:hAnsi="宋体"/>
          <w:bCs/>
          <w:sz w:val="24"/>
        </w:rPr>
        <w:t>.6</w:t>
      </w:r>
      <w:r>
        <w:rPr>
          <w:rFonts w:hint="eastAsia" w:ascii="宋体" w:hAnsi="宋体"/>
          <w:bCs/>
          <w:sz w:val="24"/>
        </w:rPr>
        <w:t>单位负责人不为同一人或者不存在直接控股、管理关系的供应商承诺（格式自拟）；</w:t>
      </w:r>
    </w:p>
    <w:p w14:paraId="6D4ED846">
      <w:pPr>
        <w:tabs>
          <w:tab w:val="left" w:pos="1619"/>
        </w:tabs>
        <w:spacing w:line="360" w:lineRule="auto"/>
        <w:ind w:left="899" w:leftChars="428"/>
        <w:rPr>
          <w:rFonts w:hint="eastAsia" w:ascii="宋体" w:hAnsi="宋体"/>
          <w:b/>
          <w:sz w:val="24"/>
        </w:rPr>
      </w:pPr>
      <w:r>
        <w:rPr>
          <w:rFonts w:hint="eastAsia" w:ascii="宋体" w:hAnsi="宋体"/>
          <w:b/>
          <w:sz w:val="24"/>
        </w:rPr>
        <w:t>★</w:t>
      </w:r>
      <w:r>
        <w:rPr>
          <w:rFonts w:hint="eastAsia" w:ascii="宋体" w:hAnsi="宋体"/>
          <w:bCs/>
          <w:sz w:val="24"/>
        </w:rPr>
        <w:t>4</w:t>
      </w:r>
      <w:r>
        <w:rPr>
          <w:rFonts w:ascii="宋体" w:hAnsi="宋体"/>
          <w:bCs/>
          <w:sz w:val="24"/>
        </w:rPr>
        <w:t>.7</w:t>
      </w:r>
      <w:r>
        <w:rPr>
          <w:rFonts w:hint="eastAsia" w:ascii="宋体" w:hAnsi="宋体"/>
          <w:bCs/>
          <w:sz w:val="24"/>
        </w:rPr>
        <w:t>不为本项目提供整体设计、规范编制或者项目管理、监理、检测等服务的供应商的承诺；（格式自拟）</w:t>
      </w:r>
    </w:p>
    <w:p w14:paraId="04CBDC63">
      <w:pPr>
        <w:spacing w:line="360" w:lineRule="auto"/>
        <w:ind w:left="899" w:leftChars="428"/>
        <w:rPr>
          <w:rFonts w:hint="eastAsia" w:ascii="宋体" w:hAnsi="宋体"/>
          <w:sz w:val="24"/>
        </w:rPr>
      </w:pPr>
      <w:r>
        <w:rPr>
          <w:rFonts w:hint="eastAsia" w:ascii="宋体" w:hAnsi="宋体"/>
          <w:b/>
          <w:sz w:val="24"/>
        </w:rPr>
        <w:t>★</w:t>
      </w:r>
      <w:r>
        <w:rPr>
          <w:rFonts w:hint="eastAsia" w:ascii="宋体" w:hAnsi="宋体"/>
          <w:sz w:val="24"/>
        </w:rPr>
        <w:t>4.8中小企业声明函；</w:t>
      </w:r>
    </w:p>
    <w:p w14:paraId="1BD26542">
      <w:pPr>
        <w:spacing w:line="360" w:lineRule="auto"/>
        <w:ind w:left="899" w:leftChars="428"/>
        <w:rPr>
          <w:rFonts w:hint="eastAsia" w:ascii="宋体" w:hAnsi="宋体"/>
          <w:sz w:val="24"/>
        </w:rPr>
      </w:pPr>
      <w:r>
        <w:rPr>
          <w:rFonts w:hint="eastAsia" w:ascii="宋体" w:hAnsi="宋体"/>
          <w:sz w:val="24"/>
        </w:rPr>
        <w:t>4.9</w:t>
      </w:r>
      <w:r>
        <w:rPr>
          <w:rFonts w:hint="eastAsia" w:ascii="宋体" w:hAnsi="宋体" w:cs="宋体"/>
          <w:kern w:val="0"/>
          <w:sz w:val="24"/>
        </w:rPr>
        <w:t>残疾人福利性单位声明函；</w:t>
      </w:r>
    </w:p>
    <w:p w14:paraId="71835DA8">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sz w:val="24"/>
        </w:rPr>
        <w:t>4</w:t>
      </w:r>
      <w:r>
        <w:rPr>
          <w:rFonts w:ascii="宋体" w:hAnsi="宋体"/>
          <w:sz w:val="24"/>
        </w:rPr>
        <w:t>.</w:t>
      </w:r>
      <w:r>
        <w:rPr>
          <w:rFonts w:hint="eastAsia" w:ascii="宋体" w:hAnsi="宋体"/>
          <w:sz w:val="24"/>
        </w:rPr>
        <w:t>10</w:t>
      </w:r>
      <w:r>
        <w:rPr>
          <w:rFonts w:ascii="宋体" w:hAnsi="宋体"/>
          <w:sz w:val="24"/>
        </w:rPr>
        <w:t>业绩</w:t>
      </w:r>
      <w:r>
        <w:rPr>
          <w:rFonts w:hint="eastAsia" w:ascii="宋体" w:hAnsi="宋体"/>
          <w:sz w:val="24"/>
        </w:rPr>
        <w:t>情况</w:t>
      </w:r>
      <w:r>
        <w:rPr>
          <w:rFonts w:ascii="宋体" w:hAnsi="宋体"/>
          <w:sz w:val="24"/>
        </w:rPr>
        <w:t>表；</w:t>
      </w:r>
    </w:p>
    <w:p w14:paraId="57ACD736">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sz w:val="24"/>
        </w:rPr>
        <w:t>4.11拟投入本项目的主要人员；</w:t>
      </w:r>
    </w:p>
    <w:p w14:paraId="1CC92316">
      <w:pPr>
        <w:tabs>
          <w:tab w:val="left" w:pos="720"/>
        </w:tabs>
        <w:autoSpaceDE w:val="0"/>
        <w:autoSpaceDN w:val="0"/>
        <w:adjustRightInd w:val="0"/>
        <w:spacing w:line="360" w:lineRule="auto"/>
        <w:ind w:left="899" w:leftChars="428" w:right="17"/>
        <w:jc w:val="left"/>
        <w:rPr>
          <w:rFonts w:hint="eastAsia" w:ascii="宋体" w:hAnsi="宋体"/>
          <w:sz w:val="24"/>
        </w:rPr>
      </w:pPr>
      <w:r>
        <w:rPr>
          <w:rFonts w:hint="eastAsia" w:ascii="宋体" w:hAnsi="宋体"/>
          <w:sz w:val="24"/>
        </w:rPr>
        <w:t>4.12可投入及拟投入施工机械设备。</w:t>
      </w:r>
    </w:p>
    <w:p w14:paraId="6B53CF1E">
      <w:pPr>
        <w:spacing w:line="360" w:lineRule="auto"/>
        <w:ind w:firstLine="600" w:firstLineChars="250"/>
        <w:rPr>
          <w:rFonts w:hint="eastAsia" w:ascii="宋体" w:hAnsi="宋体"/>
          <w:sz w:val="24"/>
        </w:rPr>
      </w:pPr>
      <w:r>
        <w:rPr>
          <w:rFonts w:hint="eastAsia" w:ascii="宋体" w:hAnsi="宋体"/>
          <w:sz w:val="24"/>
        </w:rPr>
        <w:t>5、施工组织设计（格式自拟）</w:t>
      </w:r>
    </w:p>
    <w:p w14:paraId="093DA0B9">
      <w:pPr>
        <w:tabs>
          <w:tab w:val="left" w:pos="720"/>
        </w:tabs>
        <w:autoSpaceDE w:val="0"/>
        <w:autoSpaceDN w:val="0"/>
        <w:adjustRightInd w:val="0"/>
        <w:spacing w:line="360" w:lineRule="auto"/>
        <w:ind w:right="17" w:firstLine="600" w:firstLineChars="250"/>
        <w:jc w:val="left"/>
        <w:rPr>
          <w:rFonts w:hint="eastAsia" w:ascii="宋体" w:hAnsi="宋体"/>
          <w:sz w:val="24"/>
        </w:rPr>
      </w:pPr>
      <w:r>
        <w:rPr>
          <w:rFonts w:hint="eastAsia" w:ascii="宋体" w:hAnsi="宋体"/>
          <w:sz w:val="24"/>
        </w:rPr>
        <w:t>6、采购文件要求的其它文件及供应商认为有必要提供的其它文件。</w:t>
      </w:r>
    </w:p>
    <w:p w14:paraId="1C4B7F33">
      <w:pPr>
        <w:tabs>
          <w:tab w:val="left" w:pos="720"/>
        </w:tabs>
        <w:autoSpaceDE w:val="0"/>
        <w:autoSpaceDN w:val="0"/>
        <w:adjustRightInd w:val="0"/>
        <w:spacing w:line="360" w:lineRule="auto"/>
        <w:ind w:left="899" w:leftChars="428" w:right="17"/>
        <w:jc w:val="left"/>
        <w:rPr>
          <w:rFonts w:hint="eastAsia" w:ascii="宋体" w:hAnsi="宋体"/>
          <w:sz w:val="24"/>
          <w:szCs w:val="20"/>
        </w:rPr>
      </w:pPr>
    </w:p>
    <w:p w14:paraId="175B7E87">
      <w:pPr>
        <w:spacing w:line="360" w:lineRule="auto"/>
        <w:jc w:val="center"/>
        <w:rPr>
          <w:rFonts w:hint="eastAsia" w:ascii="宋体" w:hAnsi="宋体"/>
          <w:b/>
          <w:sz w:val="32"/>
          <w:szCs w:val="32"/>
        </w:rPr>
      </w:pPr>
    </w:p>
    <w:p w14:paraId="2C11C0F5">
      <w:pPr>
        <w:spacing w:line="360" w:lineRule="auto"/>
        <w:jc w:val="center"/>
        <w:rPr>
          <w:rFonts w:hint="eastAsia" w:ascii="宋体" w:hAnsi="宋体"/>
          <w:b/>
          <w:sz w:val="32"/>
          <w:szCs w:val="32"/>
        </w:rPr>
      </w:pPr>
    </w:p>
    <w:p w14:paraId="30A8ABDC">
      <w:pPr>
        <w:pStyle w:val="4"/>
        <w:jc w:val="both"/>
        <w:rPr>
          <w:rFonts w:hint="eastAsia" w:ascii="宋体" w:hAnsi="宋体" w:eastAsia="宋体"/>
          <w:sz w:val="24"/>
          <w:szCs w:val="24"/>
        </w:rPr>
      </w:pPr>
      <w:bookmarkStart w:id="2716" w:name="_Toc518992180"/>
      <w:bookmarkStart w:id="2717" w:name="_Toc142385796"/>
      <w:bookmarkStart w:id="2718" w:name="_Toc130920614"/>
      <w:r>
        <w:rPr>
          <w:rFonts w:hint="eastAsia" w:ascii="宋体" w:hAnsi="宋体" w:eastAsia="宋体"/>
          <w:sz w:val="24"/>
          <w:szCs w:val="24"/>
        </w:rPr>
        <w:t>★</w:t>
      </w:r>
      <w:r>
        <w:rPr>
          <w:rFonts w:ascii="宋体" w:hAnsi="宋体" w:eastAsia="宋体"/>
          <w:sz w:val="24"/>
          <w:szCs w:val="24"/>
        </w:rPr>
        <w:t>1、</w:t>
      </w:r>
      <w:r>
        <w:rPr>
          <w:rFonts w:hint="eastAsia" w:ascii="宋体" w:hAnsi="宋体" w:eastAsia="宋体"/>
          <w:sz w:val="24"/>
          <w:szCs w:val="24"/>
        </w:rPr>
        <w:t>报价函</w:t>
      </w:r>
      <w:bookmarkEnd w:id="2716"/>
      <w:bookmarkEnd w:id="2717"/>
      <w:bookmarkEnd w:id="2718"/>
    </w:p>
    <w:p w14:paraId="7F5BFEBB">
      <w:pPr>
        <w:spacing w:line="360" w:lineRule="auto"/>
        <w:jc w:val="center"/>
        <w:rPr>
          <w:rFonts w:hint="eastAsia" w:ascii="宋体" w:hAnsi="宋体"/>
          <w:b/>
          <w:bCs/>
          <w:sz w:val="24"/>
        </w:rPr>
      </w:pPr>
      <w:r>
        <w:rPr>
          <w:rFonts w:hint="eastAsia" w:ascii="宋体" w:hAnsi="宋体"/>
          <w:b/>
          <w:bCs/>
          <w:sz w:val="24"/>
        </w:rPr>
        <w:t>报价函</w:t>
      </w:r>
    </w:p>
    <w:p w14:paraId="07483AD5">
      <w:pPr>
        <w:rPr>
          <w:rFonts w:hint="eastAsia" w:ascii="宋体" w:hAnsi="宋体"/>
          <w:sz w:val="24"/>
          <w:u w:val="single"/>
        </w:rPr>
      </w:pPr>
      <w:r>
        <w:rPr>
          <w:rFonts w:hint="eastAsia" w:ascii="宋体" w:hAnsi="宋体"/>
          <w:sz w:val="24"/>
        </w:rPr>
        <w:t>致：</w:t>
      </w:r>
      <w:r>
        <w:rPr>
          <w:rFonts w:hint="eastAsia" w:ascii="宋体" w:hAnsi="宋体"/>
          <w:sz w:val="24"/>
          <w:u w:val="single"/>
        </w:rPr>
        <w:t>北京明德致信咨询有限公司</w:t>
      </w:r>
    </w:p>
    <w:p w14:paraId="7905AA42">
      <w:pPr>
        <w:snapToGrid w:val="0"/>
        <w:spacing w:before="84" w:beforeLines="35" w:line="360" w:lineRule="exact"/>
        <w:ind w:firstLine="480" w:firstLineChars="200"/>
        <w:rPr>
          <w:rFonts w:hint="eastAsia" w:ascii="宋体" w:hAnsi="宋体"/>
          <w:sz w:val="24"/>
        </w:rPr>
      </w:pPr>
      <w:r>
        <w:rPr>
          <w:rFonts w:hint="eastAsia" w:ascii="宋体" w:hAnsi="宋体"/>
          <w:sz w:val="24"/>
        </w:rPr>
        <w:t>1、根据你方采购项目编号为</w:t>
      </w:r>
      <w:r>
        <w:rPr>
          <w:rFonts w:hint="eastAsia" w:ascii="宋体" w:hAnsi="宋体"/>
          <w:sz w:val="24"/>
          <w:u w:val="single"/>
        </w:rPr>
        <w:t xml:space="preserve">           </w:t>
      </w:r>
      <w:r>
        <w:rPr>
          <w:rFonts w:hint="eastAsia" w:ascii="宋体" w:hAnsi="宋体"/>
          <w:sz w:val="24"/>
        </w:rPr>
        <w:t>的</w:t>
      </w:r>
      <w:r>
        <w:rPr>
          <w:rFonts w:hint="eastAsia" w:ascii="宋体" w:hAnsi="宋体"/>
          <w:sz w:val="24"/>
          <w:u w:val="single"/>
        </w:rPr>
        <w:t xml:space="preserve">     （项目名称）       </w:t>
      </w:r>
      <w:r>
        <w:rPr>
          <w:rFonts w:hint="eastAsia" w:ascii="宋体" w:hAnsi="宋体"/>
          <w:sz w:val="24"/>
        </w:rPr>
        <w:t>竞争性磋商文件，遵照《中华人民共和国政府采购法》等有关规定，经研究上述竞争性磋商文件的供应商须知、合同条款、图纸、工程规范和技术说明及其他有关文件后，我方愿以人民币（大写）</w:t>
      </w:r>
      <w:r>
        <w:rPr>
          <w:rFonts w:hint="eastAsia" w:ascii="宋体" w:hAnsi="宋体"/>
          <w:sz w:val="24"/>
          <w:u w:val="single"/>
        </w:rPr>
        <w:t xml:space="preserve">        </w:t>
      </w:r>
      <w:r>
        <w:rPr>
          <w:rFonts w:hint="eastAsia" w:ascii="宋体" w:hAnsi="宋体"/>
          <w:sz w:val="24"/>
        </w:rPr>
        <w:t>元（RMB</w:t>
      </w:r>
      <w:r>
        <w:rPr>
          <w:rFonts w:hint="eastAsia" w:ascii="宋体" w:hAnsi="宋体"/>
          <w:sz w:val="24"/>
          <w:u w:val="single"/>
        </w:rPr>
        <w:t xml:space="preserve">￥       </w:t>
      </w:r>
      <w:r>
        <w:rPr>
          <w:rFonts w:hint="eastAsia" w:ascii="宋体" w:hAnsi="宋体"/>
          <w:sz w:val="24"/>
        </w:rPr>
        <w:t>元）的造价作为磋商报价并按上述合同条款、工程规范和技术说明的条件要求承包上述工程的施工、竣工，并承担任何质量缺陷保修责任。</w:t>
      </w:r>
    </w:p>
    <w:p w14:paraId="69619E9C">
      <w:pPr>
        <w:snapToGrid w:val="0"/>
        <w:spacing w:before="84" w:beforeLines="35" w:line="360" w:lineRule="exact"/>
        <w:ind w:firstLine="490"/>
        <w:rPr>
          <w:rFonts w:hint="eastAsia" w:ascii="宋体" w:hAnsi="宋体"/>
          <w:sz w:val="24"/>
        </w:rPr>
      </w:pPr>
      <w:r>
        <w:rPr>
          <w:rFonts w:hint="eastAsia" w:ascii="宋体" w:hAnsi="宋体"/>
          <w:sz w:val="24"/>
        </w:rPr>
        <w:t>2、我方已详细审核全部竞争性磋商文件，包括修改文件（如有时）及有关附件。</w:t>
      </w:r>
    </w:p>
    <w:p w14:paraId="610EB198">
      <w:pPr>
        <w:snapToGrid w:val="0"/>
        <w:spacing w:before="84" w:beforeLines="35" w:line="360" w:lineRule="exact"/>
        <w:ind w:firstLine="490"/>
        <w:rPr>
          <w:rFonts w:hint="eastAsia" w:ascii="宋体" w:hAnsi="宋体"/>
          <w:sz w:val="24"/>
          <w:u w:val="single"/>
        </w:rPr>
      </w:pPr>
      <w:r>
        <w:rPr>
          <w:rFonts w:hint="eastAsia" w:ascii="宋体" w:hAnsi="宋体"/>
          <w:sz w:val="24"/>
        </w:rPr>
        <w:t>3、质量标准：</w:t>
      </w:r>
      <w:r>
        <w:rPr>
          <w:rFonts w:hint="eastAsia" w:ascii="宋体" w:hAnsi="宋体"/>
          <w:sz w:val="24"/>
          <w:u w:val="single"/>
        </w:rPr>
        <w:t>（           ）</w:t>
      </w:r>
      <w:r>
        <w:rPr>
          <w:rFonts w:hint="eastAsia" w:ascii="宋体" w:hAnsi="宋体"/>
          <w:sz w:val="24"/>
        </w:rPr>
        <w:t>；磋商有效期：</w:t>
      </w:r>
      <w:r>
        <w:rPr>
          <w:rFonts w:hint="eastAsia" w:ascii="宋体" w:hAnsi="宋体"/>
          <w:sz w:val="24"/>
          <w:u w:val="single"/>
        </w:rPr>
        <w:t xml:space="preserve">         </w:t>
      </w:r>
      <w:r>
        <w:rPr>
          <w:rFonts w:hint="eastAsia" w:ascii="宋体" w:hAnsi="宋体"/>
          <w:sz w:val="24"/>
        </w:rPr>
        <w:t xml:space="preserve">日。 </w:t>
      </w:r>
    </w:p>
    <w:p w14:paraId="0BBFF5C7">
      <w:pPr>
        <w:snapToGrid w:val="0"/>
        <w:spacing w:before="84" w:beforeLines="35" w:line="360" w:lineRule="exact"/>
        <w:ind w:firstLine="490"/>
        <w:rPr>
          <w:rFonts w:hint="eastAsia" w:ascii="宋体" w:hAnsi="宋体"/>
          <w:sz w:val="24"/>
        </w:rPr>
      </w:pPr>
      <w:r>
        <w:rPr>
          <w:rFonts w:hint="eastAsia" w:ascii="宋体" w:hAnsi="宋体"/>
          <w:sz w:val="24"/>
        </w:rPr>
        <w:t>4、如果我方成交，我方保证在施工总工期</w:t>
      </w:r>
      <w:r>
        <w:rPr>
          <w:rFonts w:hint="eastAsia" w:ascii="宋体" w:hAnsi="宋体"/>
          <w:sz w:val="24"/>
          <w:u w:val="single"/>
        </w:rPr>
        <w:t xml:space="preserve">       </w:t>
      </w:r>
      <w:r>
        <w:rPr>
          <w:rFonts w:hint="eastAsia" w:ascii="宋体" w:hAnsi="宋体"/>
          <w:sz w:val="24"/>
        </w:rPr>
        <w:t>日历天内完成并移交全部工程。</w:t>
      </w:r>
    </w:p>
    <w:p w14:paraId="5E4499CD">
      <w:pPr>
        <w:snapToGrid w:val="0"/>
        <w:spacing w:before="84" w:beforeLines="35" w:line="360" w:lineRule="exact"/>
        <w:ind w:firstLine="490"/>
        <w:rPr>
          <w:rFonts w:hint="eastAsia" w:ascii="宋体" w:hAnsi="宋体"/>
          <w:sz w:val="24"/>
        </w:rPr>
      </w:pPr>
      <w:r>
        <w:rPr>
          <w:rFonts w:hint="eastAsia" w:ascii="宋体" w:hAnsi="宋体"/>
          <w:sz w:val="24"/>
        </w:rPr>
        <w:t>5、我方同意所提交的响应文件在竞争性磋商文件的投标须知中规定的投标有效期内有效，在此期间内如果成交，我方将受此约束。</w:t>
      </w:r>
    </w:p>
    <w:p w14:paraId="08CD2465">
      <w:pPr>
        <w:snapToGrid w:val="0"/>
        <w:spacing w:before="84" w:beforeLines="35" w:line="360" w:lineRule="exact"/>
        <w:ind w:firstLine="490"/>
        <w:rPr>
          <w:rFonts w:hint="eastAsia" w:ascii="宋体" w:hAnsi="宋体"/>
          <w:sz w:val="24"/>
        </w:rPr>
      </w:pPr>
      <w:r>
        <w:rPr>
          <w:rFonts w:hint="eastAsia" w:ascii="宋体" w:hAnsi="宋体"/>
          <w:sz w:val="24"/>
        </w:rPr>
        <w:t>6、除非另外达成协议并生效，你方的成交通知书和本响应文件将成为约束双方的合同文件的组成部分。</w:t>
      </w:r>
    </w:p>
    <w:p w14:paraId="40F9DEC7">
      <w:pPr>
        <w:spacing w:before="35" w:line="360" w:lineRule="exact"/>
        <w:ind w:firstLine="482"/>
        <w:rPr>
          <w:rFonts w:hint="eastAsia" w:ascii="宋体" w:hAnsi="宋体"/>
          <w:sz w:val="24"/>
        </w:rPr>
      </w:pPr>
      <w:r>
        <w:rPr>
          <w:rFonts w:hint="eastAsia" w:ascii="宋体" w:hAnsi="宋体"/>
          <w:sz w:val="24"/>
        </w:rPr>
        <w:t>7、我方承诺遵守“项目经理锁定制”，未经采购人同意我方拟派到本招标项目的项目经理在工程施工过程中不更换，且不在其它的工程项目中担任项目经理或其它职务，保证及时到位，采购人有权对此进行检查。若我方的项目经理等主要人员在成交后或施工期间不能到位，或未经采购人批准我方更换项目经理，我方愿承担相应的违约责任，并同意采购人可据此情况取消成交资格或解除施工合同。</w:t>
      </w:r>
    </w:p>
    <w:p w14:paraId="4CE458F3">
      <w:pPr>
        <w:spacing w:before="35" w:line="360" w:lineRule="exact"/>
        <w:ind w:firstLine="482"/>
      </w:pPr>
      <w:r>
        <w:rPr>
          <w:rFonts w:hint="eastAsia" w:ascii="宋体" w:hAnsi="宋体"/>
          <w:sz w:val="24"/>
        </w:rPr>
        <w:t>8、我方承诺，我方不是为</w:t>
      </w:r>
      <w:r>
        <w:rPr>
          <w:rFonts w:hint="eastAsia" w:ascii="宋体" w:hAnsi="宋体" w:cs="Arial"/>
          <w:sz w:val="24"/>
        </w:rPr>
        <w:t>本项目提供整体设计、规范编制或者项目管理、监理、检测等服务的供应商，我方</w:t>
      </w:r>
      <w:r>
        <w:rPr>
          <w:rFonts w:ascii="宋体" w:hAnsi="宋体"/>
          <w:sz w:val="24"/>
        </w:rPr>
        <w:t>没有处于被责令停业，投标资格被取消，财产被接管、冻结，破产状态</w:t>
      </w:r>
      <w:r>
        <w:rPr>
          <w:rFonts w:hint="eastAsia" w:ascii="宋体" w:hAnsi="宋体"/>
          <w:sz w:val="24"/>
        </w:rPr>
        <w:t>，</w:t>
      </w:r>
      <w:r>
        <w:rPr>
          <w:rFonts w:ascii="宋体" w:hAnsi="宋体"/>
          <w:sz w:val="24"/>
        </w:rPr>
        <w:t>在最近3年内没有</w:t>
      </w:r>
      <w:r>
        <w:rPr>
          <w:rFonts w:hint="eastAsia" w:ascii="宋体" w:hAnsi="宋体"/>
          <w:sz w:val="24"/>
        </w:rPr>
        <w:t>出现</w:t>
      </w:r>
      <w:r>
        <w:rPr>
          <w:rFonts w:ascii="宋体" w:hAnsi="宋体"/>
          <w:sz w:val="24"/>
        </w:rPr>
        <w:t>骗取成交</w:t>
      </w:r>
      <w:r>
        <w:rPr>
          <w:rFonts w:hint="eastAsia" w:ascii="宋体" w:hAnsi="宋体"/>
          <w:sz w:val="24"/>
        </w:rPr>
        <w:t>、</w:t>
      </w:r>
      <w:r>
        <w:rPr>
          <w:rFonts w:ascii="宋体" w:hAnsi="宋体"/>
          <w:sz w:val="24"/>
        </w:rPr>
        <w:t>严重违约及重大工程质量、安全</w:t>
      </w:r>
      <w:r>
        <w:rPr>
          <w:rFonts w:hint="eastAsia" w:ascii="宋体" w:hAnsi="宋体"/>
          <w:sz w:val="24"/>
        </w:rPr>
        <w:t>等</w:t>
      </w:r>
      <w:r>
        <w:rPr>
          <w:rFonts w:ascii="宋体" w:hAnsi="宋体"/>
          <w:sz w:val="24"/>
        </w:rPr>
        <w:t>问题</w:t>
      </w:r>
      <w:r>
        <w:rPr>
          <w:rFonts w:hint="eastAsia" w:ascii="宋体" w:hAnsi="宋体"/>
          <w:sz w:val="24"/>
        </w:rPr>
        <w:t>。</w:t>
      </w:r>
    </w:p>
    <w:p w14:paraId="6F354841">
      <w:pPr>
        <w:spacing w:line="360" w:lineRule="auto"/>
        <w:ind w:left="1000"/>
        <w:rPr>
          <w:rFonts w:hint="eastAsia" w:ascii="宋体" w:hAnsi="宋体"/>
          <w:sz w:val="24"/>
          <w:u w:val="single"/>
        </w:rPr>
      </w:pPr>
      <w:r>
        <w:rPr>
          <w:rFonts w:hint="eastAsia" w:ascii="宋体" w:hAnsi="宋体"/>
          <w:sz w:val="24"/>
        </w:rPr>
        <w:t xml:space="preserve">         供应商：</w:t>
      </w:r>
      <w:r>
        <w:rPr>
          <w:rFonts w:hint="eastAsia" w:ascii="宋体" w:hAnsi="宋体"/>
          <w:sz w:val="24"/>
          <w:u w:val="single"/>
        </w:rPr>
        <w:t xml:space="preserve">                                （盖章）</w:t>
      </w:r>
    </w:p>
    <w:p w14:paraId="6A21C79E">
      <w:pPr>
        <w:spacing w:line="360" w:lineRule="auto"/>
        <w:ind w:left="1000"/>
        <w:rPr>
          <w:rFonts w:hint="eastAsia" w:ascii="宋体" w:hAnsi="宋体"/>
          <w:sz w:val="24"/>
          <w:u w:val="single"/>
        </w:rPr>
      </w:pPr>
      <w:r>
        <w:rPr>
          <w:rFonts w:hint="eastAsia" w:ascii="宋体" w:hAnsi="宋体"/>
          <w:sz w:val="24"/>
        </w:rPr>
        <w:t xml:space="preserve">         单位地址：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p>
    <w:p w14:paraId="2CF3E8B8">
      <w:pPr>
        <w:spacing w:line="360" w:lineRule="auto"/>
        <w:ind w:left="1000"/>
        <w:rPr>
          <w:rFonts w:hint="eastAsia" w:ascii="宋体" w:hAnsi="宋体"/>
          <w:sz w:val="24"/>
          <w:u w:val="single"/>
        </w:rPr>
      </w:pPr>
      <w:r>
        <w:rPr>
          <w:rFonts w:hint="eastAsia" w:ascii="宋体" w:hAnsi="宋体"/>
          <w:sz w:val="24"/>
        </w:rPr>
        <w:t xml:space="preserve">         法定代表人或其委托代理人：</w:t>
      </w:r>
      <w:r>
        <w:rPr>
          <w:rFonts w:hint="eastAsia" w:ascii="宋体" w:hAnsi="宋体"/>
          <w:sz w:val="24"/>
          <w:u w:val="single"/>
        </w:rPr>
        <w:t xml:space="preserve">             （签字或盖章）</w:t>
      </w:r>
    </w:p>
    <w:p w14:paraId="24339909">
      <w:pPr>
        <w:spacing w:line="360" w:lineRule="auto"/>
        <w:ind w:left="1000"/>
        <w:rPr>
          <w:rFonts w:hint="eastAsia" w:ascii="宋体" w:hAnsi="宋体"/>
          <w:sz w:val="24"/>
        </w:rPr>
      </w:pPr>
      <w:r>
        <w:rPr>
          <w:rFonts w:hint="eastAsia" w:ascii="宋体" w:hAnsi="宋体"/>
          <w:sz w:val="24"/>
        </w:rPr>
        <w:t xml:space="preserve">         电话：</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 xml:space="preserve"> </w:t>
      </w:r>
    </w:p>
    <w:p w14:paraId="6A82BEF7">
      <w:pPr>
        <w:spacing w:line="360" w:lineRule="auto"/>
        <w:ind w:firstLine="2040" w:firstLineChars="850"/>
        <w:rPr>
          <w:rFonts w:hint="eastAsia" w:ascii="宋体" w:hAnsi="宋体"/>
          <w:sz w:val="24"/>
        </w:rPr>
      </w:pPr>
      <w:r>
        <w:rPr>
          <w:rFonts w:hint="eastAsia" w:ascii="宋体" w:hAnsi="宋体"/>
          <w:sz w:val="24"/>
        </w:rPr>
        <w:t>传真：</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34E4FB9F">
      <w:pPr>
        <w:spacing w:line="360" w:lineRule="auto"/>
        <w:ind w:left="5289" w:leftChars="2511" w:hanging="16" w:hangingChars="7"/>
        <w:rPr>
          <w:rFonts w:hint="eastAsia" w:ascii="宋体" w:hAnsi="宋体"/>
          <w:sz w:val="24"/>
        </w:rPr>
      </w:pPr>
      <w:r>
        <w:rPr>
          <w:rFonts w:hint="eastAsia" w:ascii="宋体" w:hAnsi="宋体"/>
          <w:sz w:val="24"/>
        </w:rPr>
        <w:t>日期：_____年____月____日</w:t>
      </w:r>
    </w:p>
    <w:p w14:paraId="766BA077">
      <w:pPr>
        <w:widowControl/>
        <w:jc w:val="left"/>
        <w:rPr>
          <w:rFonts w:hint="eastAsia" w:ascii="宋体" w:hAnsi="宋体"/>
          <w:b/>
          <w:sz w:val="24"/>
        </w:rPr>
      </w:pPr>
      <w:r>
        <w:rPr>
          <w:rFonts w:ascii="宋体" w:hAnsi="宋体"/>
          <w:b/>
          <w:sz w:val="24"/>
        </w:rPr>
        <w:br w:type="page"/>
      </w:r>
    </w:p>
    <w:p w14:paraId="09E16D8A">
      <w:pPr>
        <w:jc w:val="center"/>
        <w:rPr>
          <w:rFonts w:hint="eastAsia" w:ascii="宋体" w:hAnsi="宋体"/>
          <w:b/>
          <w:sz w:val="24"/>
        </w:rPr>
      </w:pPr>
      <w:r>
        <w:rPr>
          <w:rFonts w:hint="eastAsia" w:ascii="宋体" w:hAnsi="宋体"/>
          <w:b/>
          <w:sz w:val="24"/>
        </w:rPr>
        <w:t>报 价 函 附 录</w:t>
      </w:r>
    </w:p>
    <w:p w14:paraId="2833F8E3">
      <w:pPr>
        <w:spacing w:line="360" w:lineRule="auto"/>
        <w:rPr>
          <w:b/>
          <w:bCs/>
        </w:rPr>
      </w:pPr>
    </w:p>
    <w:tbl>
      <w:tblPr>
        <w:tblStyle w:val="81"/>
        <w:tblW w:w="88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84"/>
        <w:gridCol w:w="3764"/>
        <w:gridCol w:w="2412"/>
      </w:tblGrid>
      <w:tr w14:paraId="4DB3CC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4" w:hRule="atLeast"/>
          <w:jc w:val="center"/>
        </w:trPr>
        <w:tc>
          <w:tcPr>
            <w:tcW w:w="2684" w:type="dxa"/>
            <w:tcBorders>
              <w:top w:val="single" w:color="auto" w:sz="4" w:space="0"/>
              <w:left w:val="single" w:color="auto" w:sz="4" w:space="0"/>
              <w:bottom w:val="single" w:color="auto" w:sz="4" w:space="0"/>
              <w:right w:val="single" w:color="auto" w:sz="4" w:space="0"/>
            </w:tcBorders>
            <w:vAlign w:val="center"/>
          </w:tcPr>
          <w:p w14:paraId="6CDFE751">
            <w:pPr>
              <w:spacing w:before="20" w:after="20" w:line="360" w:lineRule="auto"/>
              <w:ind w:left="105" w:leftChars="50" w:right="105" w:rightChars="50"/>
              <w:jc w:val="center"/>
              <w:rPr>
                <w:sz w:val="24"/>
              </w:rPr>
            </w:pPr>
            <w:r>
              <w:rPr>
                <w:rFonts w:hint="eastAsia"/>
                <w:sz w:val="24"/>
              </w:rPr>
              <w:t>工程名称</w:t>
            </w:r>
          </w:p>
        </w:tc>
        <w:tc>
          <w:tcPr>
            <w:tcW w:w="6176" w:type="dxa"/>
            <w:gridSpan w:val="2"/>
            <w:tcBorders>
              <w:top w:val="single" w:color="auto" w:sz="4" w:space="0"/>
              <w:left w:val="single" w:color="auto" w:sz="4" w:space="0"/>
              <w:bottom w:val="single" w:color="auto" w:sz="4" w:space="0"/>
              <w:right w:val="single" w:color="auto" w:sz="4" w:space="0"/>
            </w:tcBorders>
            <w:vAlign w:val="center"/>
          </w:tcPr>
          <w:p w14:paraId="64B9F9DF">
            <w:pPr>
              <w:spacing w:before="20" w:after="20" w:line="360" w:lineRule="auto"/>
              <w:jc w:val="center"/>
              <w:rPr>
                <w:sz w:val="24"/>
              </w:rPr>
            </w:pPr>
          </w:p>
        </w:tc>
      </w:tr>
      <w:tr w14:paraId="5F6A74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2684" w:type="dxa"/>
            <w:tcBorders>
              <w:top w:val="single" w:color="auto" w:sz="4" w:space="0"/>
              <w:left w:val="single" w:color="auto" w:sz="4" w:space="0"/>
              <w:bottom w:val="single" w:color="auto" w:sz="4" w:space="0"/>
              <w:right w:val="single" w:color="auto" w:sz="4" w:space="0"/>
            </w:tcBorders>
            <w:vAlign w:val="center"/>
          </w:tcPr>
          <w:p w14:paraId="496305B6">
            <w:pPr>
              <w:spacing w:before="20" w:after="20" w:line="360" w:lineRule="auto"/>
              <w:ind w:left="105" w:leftChars="50" w:right="105" w:rightChars="50"/>
              <w:jc w:val="center"/>
              <w:rPr>
                <w:sz w:val="24"/>
              </w:rPr>
            </w:pPr>
            <w:r>
              <w:rPr>
                <w:rFonts w:hint="eastAsia"/>
                <w:sz w:val="24"/>
              </w:rPr>
              <w:t>总工期</w:t>
            </w:r>
          </w:p>
        </w:tc>
        <w:tc>
          <w:tcPr>
            <w:tcW w:w="6176" w:type="dxa"/>
            <w:gridSpan w:val="2"/>
            <w:tcBorders>
              <w:top w:val="single" w:color="auto" w:sz="4" w:space="0"/>
              <w:left w:val="single" w:color="auto" w:sz="4" w:space="0"/>
              <w:bottom w:val="single" w:color="auto" w:sz="4" w:space="0"/>
              <w:right w:val="single" w:color="auto" w:sz="4" w:space="0"/>
            </w:tcBorders>
            <w:vAlign w:val="center"/>
          </w:tcPr>
          <w:p w14:paraId="76DEE0FE">
            <w:pPr>
              <w:spacing w:before="20" w:after="20" w:line="360" w:lineRule="auto"/>
              <w:jc w:val="center"/>
              <w:rPr>
                <w:sz w:val="24"/>
              </w:rPr>
            </w:pPr>
            <w:r>
              <w:rPr>
                <w:rFonts w:hint="eastAsia"/>
                <w:sz w:val="24"/>
              </w:rPr>
              <w:t>日历天</w:t>
            </w:r>
          </w:p>
        </w:tc>
      </w:tr>
      <w:tr w14:paraId="5ADCD2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2684" w:type="dxa"/>
            <w:tcBorders>
              <w:top w:val="single" w:color="auto" w:sz="4" w:space="0"/>
              <w:left w:val="single" w:color="auto" w:sz="4" w:space="0"/>
              <w:bottom w:val="single" w:color="auto" w:sz="4" w:space="0"/>
              <w:right w:val="single" w:color="auto" w:sz="4" w:space="0"/>
            </w:tcBorders>
            <w:vAlign w:val="center"/>
          </w:tcPr>
          <w:p w14:paraId="11F9839B">
            <w:pPr>
              <w:spacing w:before="20" w:after="20" w:line="360" w:lineRule="auto"/>
              <w:ind w:left="105" w:leftChars="50" w:right="105" w:rightChars="50"/>
              <w:jc w:val="center"/>
              <w:rPr>
                <w:sz w:val="24"/>
              </w:rPr>
            </w:pPr>
            <w:r>
              <w:rPr>
                <w:rFonts w:hint="eastAsia"/>
                <w:sz w:val="24"/>
              </w:rPr>
              <w:t>磋商有效期</w:t>
            </w:r>
          </w:p>
        </w:tc>
        <w:tc>
          <w:tcPr>
            <w:tcW w:w="6176" w:type="dxa"/>
            <w:gridSpan w:val="2"/>
            <w:tcBorders>
              <w:top w:val="single" w:color="auto" w:sz="4" w:space="0"/>
              <w:left w:val="single" w:color="auto" w:sz="4" w:space="0"/>
              <w:bottom w:val="single" w:color="auto" w:sz="4" w:space="0"/>
              <w:right w:val="single" w:color="auto" w:sz="4" w:space="0"/>
            </w:tcBorders>
            <w:vAlign w:val="center"/>
          </w:tcPr>
          <w:p w14:paraId="2C3A7D11">
            <w:pPr>
              <w:spacing w:before="20" w:after="20" w:line="360" w:lineRule="auto"/>
              <w:jc w:val="center"/>
              <w:rPr>
                <w:sz w:val="24"/>
              </w:rPr>
            </w:pPr>
            <w:r>
              <w:rPr>
                <w:rFonts w:hint="eastAsia"/>
                <w:sz w:val="24"/>
              </w:rPr>
              <w:t>日历天</w:t>
            </w:r>
          </w:p>
        </w:tc>
      </w:tr>
      <w:tr w14:paraId="7270EE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4" w:hRule="atLeast"/>
          <w:jc w:val="center"/>
        </w:trPr>
        <w:tc>
          <w:tcPr>
            <w:tcW w:w="2684" w:type="dxa"/>
            <w:tcBorders>
              <w:top w:val="single" w:color="auto" w:sz="4" w:space="0"/>
              <w:left w:val="single" w:color="auto" w:sz="4" w:space="0"/>
              <w:bottom w:val="single" w:color="auto" w:sz="4" w:space="0"/>
              <w:right w:val="single" w:color="auto" w:sz="4" w:space="0"/>
            </w:tcBorders>
            <w:vAlign w:val="center"/>
          </w:tcPr>
          <w:p w14:paraId="647198F3">
            <w:pPr>
              <w:spacing w:before="20" w:after="20" w:line="360" w:lineRule="auto"/>
              <w:ind w:left="105" w:leftChars="50" w:right="105" w:rightChars="50"/>
              <w:jc w:val="center"/>
              <w:rPr>
                <w:sz w:val="24"/>
              </w:rPr>
            </w:pPr>
            <w:r>
              <w:rPr>
                <w:rFonts w:hint="eastAsia"/>
                <w:sz w:val="24"/>
              </w:rPr>
              <w:t>质量标准</w:t>
            </w:r>
          </w:p>
        </w:tc>
        <w:tc>
          <w:tcPr>
            <w:tcW w:w="6176" w:type="dxa"/>
            <w:gridSpan w:val="2"/>
            <w:tcBorders>
              <w:top w:val="single" w:color="auto" w:sz="4" w:space="0"/>
              <w:left w:val="single" w:color="auto" w:sz="4" w:space="0"/>
              <w:bottom w:val="single" w:color="auto" w:sz="4" w:space="0"/>
              <w:right w:val="single" w:color="auto" w:sz="4" w:space="0"/>
            </w:tcBorders>
            <w:vAlign w:val="center"/>
          </w:tcPr>
          <w:p w14:paraId="750596A3">
            <w:pPr>
              <w:spacing w:before="20" w:after="20" w:line="360" w:lineRule="auto"/>
              <w:jc w:val="center"/>
              <w:rPr>
                <w:sz w:val="24"/>
              </w:rPr>
            </w:pPr>
          </w:p>
        </w:tc>
      </w:tr>
      <w:tr w14:paraId="6BEB65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4" w:hRule="atLeast"/>
          <w:jc w:val="center"/>
        </w:trPr>
        <w:tc>
          <w:tcPr>
            <w:tcW w:w="2684" w:type="dxa"/>
            <w:tcBorders>
              <w:top w:val="single" w:color="auto" w:sz="4" w:space="0"/>
              <w:left w:val="single" w:color="auto" w:sz="4" w:space="0"/>
              <w:bottom w:val="single" w:color="auto" w:sz="4" w:space="0"/>
              <w:right w:val="single" w:color="auto" w:sz="4" w:space="0"/>
            </w:tcBorders>
            <w:vAlign w:val="center"/>
          </w:tcPr>
          <w:p w14:paraId="718593B8">
            <w:pPr>
              <w:spacing w:before="20" w:after="20" w:line="360" w:lineRule="auto"/>
              <w:ind w:left="105" w:leftChars="50" w:right="105" w:rightChars="50"/>
              <w:jc w:val="center"/>
              <w:rPr>
                <w:sz w:val="24"/>
              </w:rPr>
            </w:pPr>
            <w:r>
              <w:rPr>
                <w:rFonts w:hint="eastAsia" w:ascii="宋体" w:hAnsi="宋体" w:cs="Arial"/>
                <w:sz w:val="24"/>
              </w:rPr>
              <w:t>施工现场安全生产标准化管理目标等级</w:t>
            </w:r>
          </w:p>
        </w:tc>
        <w:tc>
          <w:tcPr>
            <w:tcW w:w="6176" w:type="dxa"/>
            <w:gridSpan w:val="2"/>
            <w:tcBorders>
              <w:top w:val="single" w:color="auto" w:sz="4" w:space="0"/>
              <w:left w:val="single" w:color="auto" w:sz="4" w:space="0"/>
              <w:bottom w:val="single" w:color="auto" w:sz="4" w:space="0"/>
              <w:right w:val="single" w:color="auto" w:sz="4" w:space="0"/>
            </w:tcBorders>
            <w:vAlign w:val="center"/>
          </w:tcPr>
          <w:p w14:paraId="2C81000B">
            <w:pPr>
              <w:spacing w:before="20" w:after="20" w:line="360" w:lineRule="auto"/>
              <w:jc w:val="center"/>
              <w:rPr>
                <w:sz w:val="24"/>
              </w:rPr>
            </w:pPr>
          </w:p>
        </w:tc>
      </w:tr>
      <w:tr w14:paraId="4BAED5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4" w:hRule="atLeast"/>
          <w:jc w:val="center"/>
        </w:trPr>
        <w:tc>
          <w:tcPr>
            <w:tcW w:w="2684" w:type="dxa"/>
            <w:tcBorders>
              <w:top w:val="single" w:color="auto" w:sz="4" w:space="0"/>
              <w:left w:val="single" w:color="auto" w:sz="4" w:space="0"/>
              <w:bottom w:val="single" w:color="auto" w:sz="4" w:space="0"/>
              <w:right w:val="single" w:color="auto" w:sz="4" w:space="0"/>
            </w:tcBorders>
          </w:tcPr>
          <w:p w14:paraId="40ABB36B">
            <w:pPr>
              <w:spacing w:before="20" w:after="20" w:line="360" w:lineRule="auto"/>
              <w:ind w:left="105" w:leftChars="50" w:right="105" w:rightChars="50"/>
              <w:jc w:val="center"/>
              <w:rPr>
                <w:sz w:val="24"/>
              </w:rPr>
            </w:pPr>
            <w:r>
              <w:rPr>
                <w:rFonts w:hint="eastAsia"/>
                <w:sz w:val="24"/>
              </w:rPr>
              <w:t>报价金额</w:t>
            </w:r>
          </w:p>
        </w:tc>
        <w:tc>
          <w:tcPr>
            <w:tcW w:w="3764" w:type="dxa"/>
            <w:tcBorders>
              <w:top w:val="single" w:color="auto" w:sz="4" w:space="0"/>
              <w:left w:val="single" w:color="auto" w:sz="4" w:space="0"/>
              <w:bottom w:val="single" w:color="auto" w:sz="4" w:space="0"/>
              <w:right w:val="single" w:color="auto" w:sz="4" w:space="0"/>
            </w:tcBorders>
          </w:tcPr>
          <w:p w14:paraId="160EF819">
            <w:pPr>
              <w:spacing w:before="20" w:after="20" w:line="360" w:lineRule="auto"/>
              <w:rPr>
                <w:sz w:val="24"/>
              </w:rPr>
            </w:pPr>
            <w:r>
              <w:rPr>
                <w:rFonts w:hint="eastAsia"/>
                <w:sz w:val="24"/>
              </w:rPr>
              <w:t>（大写）：</w:t>
            </w:r>
          </w:p>
        </w:tc>
        <w:tc>
          <w:tcPr>
            <w:tcW w:w="2412" w:type="dxa"/>
            <w:tcBorders>
              <w:top w:val="single" w:color="auto" w:sz="4" w:space="0"/>
              <w:left w:val="single" w:color="auto" w:sz="4" w:space="0"/>
              <w:bottom w:val="single" w:color="auto" w:sz="4" w:space="0"/>
              <w:right w:val="single" w:color="auto" w:sz="4" w:space="0"/>
            </w:tcBorders>
          </w:tcPr>
          <w:p w14:paraId="5750A3F5">
            <w:pPr>
              <w:spacing w:before="20" w:after="20" w:line="360" w:lineRule="auto"/>
              <w:rPr>
                <w:sz w:val="24"/>
              </w:rPr>
            </w:pPr>
            <w:r>
              <w:rPr>
                <w:rFonts w:hint="eastAsia"/>
                <w:sz w:val="24"/>
              </w:rPr>
              <w:t>（小写）：</w:t>
            </w:r>
          </w:p>
        </w:tc>
      </w:tr>
      <w:tr w14:paraId="3449D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2684" w:type="dxa"/>
            <w:tcBorders>
              <w:top w:val="single" w:color="auto" w:sz="4" w:space="0"/>
              <w:left w:val="single" w:color="auto" w:sz="4" w:space="0"/>
              <w:bottom w:val="single" w:color="auto" w:sz="4" w:space="0"/>
              <w:right w:val="single" w:color="auto" w:sz="4" w:space="0"/>
            </w:tcBorders>
          </w:tcPr>
          <w:p w14:paraId="0D4C2317">
            <w:pPr>
              <w:spacing w:before="20" w:after="20" w:line="360" w:lineRule="auto"/>
              <w:jc w:val="center"/>
              <w:rPr>
                <w:sz w:val="24"/>
              </w:rPr>
            </w:pPr>
            <w:r>
              <w:rPr>
                <w:rFonts w:hint="eastAsia"/>
                <w:sz w:val="24"/>
              </w:rPr>
              <w:t>对竞争性磋商文件的</w:t>
            </w:r>
          </w:p>
          <w:p w14:paraId="3CEADD22">
            <w:pPr>
              <w:spacing w:before="20" w:after="20" w:line="360" w:lineRule="auto"/>
              <w:jc w:val="center"/>
              <w:rPr>
                <w:sz w:val="24"/>
              </w:rPr>
            </w:pPr>
            <w:r>
              <w:rPr>
                <w:rFonts w:hint="eastAsia"/>
                <w:sz w:val="24"/>
              </w:rPr>
              <w:t>确认和意见</w:t>
            </w:r>
          </w:p>
        </w:tc>
        <w:tc>
          <w:tcPr>
            <w:tcW w:w="6176" w:type="dxa"/>
            <w:gridSpan w:val="2"/>
            <w:tcBorders>
              <w:top w:val="single" w:color="auto" w:sz="4" w:space="0"/>
              <w:left w:val="single" w:color="auto" w:sz="4" w:space="0"/>
              <w:bottom w:val="single" w:color="auto" w:sz="4" w:space="0"/>
              <w:right w:val="single" w:color="auto" w:sz="4" w:space="0"/>
            </w:tcBorders>
          </w:tcPr>
          <w:p w14:paraId="19322889">
            <w:pPr>
              <w:spacing w:before="20" w:after="20" w:line="360" w:lineRule="auto"/>
              <w:rPr>
                <w:sz w:val="24"/>
              </w:rPr>
            </w:pPr>
          </w:p>
        </w:tc>
      </w:tr>
      <w:tr w14:paraId="071E7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55" w:hRule="atLeast"/>
          <w:jc w:val="center"/>
        </w:trPr>
        <w:tc>
          <w:tcPr>
            <w:tcW w:w="2684" w:type="dxa"/>
            <w:tcBorders>
              <w:top w:val="single" w:color="auto" w:sz="4" w:space="0"/>
              <w:left w:val="single" w:color="auto" w:sz="4" w:space="0"/>
              <w:bottom w:val="single" w:color="auto" w:sz="4" w:space="0"/>
              <w:right w:val="single" w:color="auto" w:sz="4" w:space="0"/>
            </w:tcBorders>
          </w:tcPr>
          <w:p w14:paraId="100A3493">
            <w:pPr>
              <w:spacing w:before="20" w:after="20" w:line="360" w:lineRule="auto"/>
              <w:jc w:val="center"/>
              <w:rPr>
                <w:sz w:val="24"/>
              </w:rPr>
            </w:pPr>
            <w:r>
              <w:rPr>
                <w:rFonts w:hint="eastAsia"/>
                <w:sz w:val="24"/>
              </w:rPr>
              <w:t>报价中未包含内容</w:t>
            </w:r>
          </w:p>
          <w:p w14:paraId="728FA911">
            <w:pPr>
              <w:spacing w:before="20" w:after="20" w:line="360" w:lineRule="auto"/>
              <w:jc w:val="center"/>
              <w:rPr>
                <w:sz w:val="24"/>
              </w:rPr>
            </w:pPr>
            <w:r>
              <w:rPr>
                <w:rFonts w:hint="eastAsia"/>
                <w:sz w:val="24"/>
              </w:rPr>
              <w:t>及要求采购单位的</w:t>
            </w:r>
          </w:p>
          <w:p w14:paraId="0C55DDD3">
            <w:pPr>
              <w:spacing w:before="20" w:after="20" w:line="360" w:lineRule="auto"/>
              <w:jc w:val="center"/>
              <w:rPr>
                <w:sz w:val="24"/>
              </w:rPr>
            </w:pPr>
            <w:r>
              <w:rPr>
                <w:rFonts w:hint="eastAsia"/>
                <w:sz w:val="24"/>
              </w:rPr>
              <w:t>配合条件</w:t>
            </w:r>
          </w:p>
        </w:tc>
        <w:tc>
          <w:tcPr>
            <w:tcW w:w="6176" w:type="dxa"/>
            <w:gridSpan w:val="2"/>
            <w:tcBorders>
              <w:top w:val="single" w:color="auto" w:sz="4" w:space="0"/>
              <w:left w:val="single" w:color="auto" w:sz="4" w:space="0"/>
              <w:bottom w:val="single" w:color="auto" w:sz="4" w:space="0"/>
              <w:right w:val="single" w:color="auto" w:sz="4" w:space="0"/>
            </w:tcBorders>
          </w:tcPr>
          <w:p w14:paraId="552BA9D0">
            <w:pPr>
              <w:spacing w:before="20" w:after="20" w:line="360" w:lineRule="auto"/>
              <w:rPr>
                <w:sz w:val="24"/>
              </w:rPr>
            </w:pPr>
          </w:p>
        </w:tc>
      </w:tr>
      <w:tr w14:paraId="0B29E5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58" w:hRule="atLeast"/>
          <w:jc w:val="center"/>
        </w:trPr>
        <w:tc>
          <w:tcPr>
            <w:tcW w:w="2684" w:type="dxa"/>
            <w:tcBorders>
              <w:top w:val="single" w:color="auto" w:sz="4" w:space="0"/>
              <w:left w:val="single" w:color="auto" w:sz="4" w:space="0"/>
              <w:bottom w:val="single" w:color="auto" w:sz="4" w:space="0"/>
              <w:right w:val="single" w:color="auto" w:sz="4" w:space="0"/>
            </w:tcBorders>
            <w:vAlign w:val="center"/>
          </w:tcPr>
          <w:p w14:paraId="3720C95B">
            <w:pPr>
              <w:spacing w:before="20" w:after="20" w:line="360" w:lineRule="auto"/>
              <w:jc w:val="center"/>
              <w:rPr>
                <w:sz w:val="24"/>
              </w:rPr>
            </w:pPr>
            <w:r>
              <w:rPr>
                <w:rFonts w:hint="eastAsia"/>
                <w:sz w:val="24"/>
              </w:rPr>
              <w:t>对报价需要</w:t>
            </w:r>
          </w:p>
          <w:p w14:paraId="7FD972FC">
            <w:pPr>
              <w:spacing w:before="20" w:after="20" w:line="360" w:lineRule="auto"/>
              <w:jc w:val="center"/>
              <w:rPr>
                <w:sz w:val="24"/>
              </w:rPr>
            </w:pPr>
            <w:r>
              <w:rPr>
                <w:rFonts w:hint="eastAsia"/>
                <w:sz w:val="24"/>
              </w:rPr>
              <w:t>说明的问题</w:t>
            </w:r>
          </w:p>
        </w:tc>
        <w:tc>
          <w:tcPr>
            <w:tcW w:w="6176" w:type="dxa"/>
            <w:gridSpan w:val="2"/>
            <w:tcBorders>
              <w:top w:val="single" w:color="auto" w:sz="4" w:space="0"/>
              <w:left w:val="single" w:color="auto" w:sz="4" w:space="0"/>
              <w:bottom w:val="single" w:color="auto" w:sz="4" w:space="0"/>
              <w:right w:val="single" w:color="auto" w:sz="4" w:space="0"/>
            </w:tcBorders>
            <w:vAlign w:val="center"/>
          </w:tcPr>
          <w:p w14:paraId="541D1FF6">
            <w:pPr>
              <w:spacing w:before="20" w:after="20" w:line="360" w:lineRule="auto"/>
              <w:rPr>
                <w:sz w:val="24"/>
              </w:rPr>
            </w:pPr>
            <w:r>
              <w:rPr>
                <w:rFonts w:hint="eastAsia"/>
                <w:sz w:val="24"/>
              </w:rPr>
              <w:t>报价中含安全防护、文明施工措施费</w:t>
            </w:r>
            <w:r>
              <w:rPr>
                <w:rFonts w:hint="eastAsia"/>
                <w:sz w:val="24"/>
                <w:u w:val="single"/>
              </w:rPr>
              <w:t xml:space="preserve">      </w:t>
            </w:r>
            <w:r>
              <w:rPr>
                <w:rFonts w:hint="eastAsia"/>
                <w:sz w:val="24"/>
              </w:rPr>
              <w:t>元</w:t>
            </w:r>
          </w:p>
          <w:p w14:paraId="0B2AFC9E">
            <w:pPr>
              <w:spacing w:before="20" w:after="20" w:line="360" w:lineRule="auto"/>
              <w:rPr>
                <w:sz w:val="24"/>
              </w:rPr>
            </w:pPr>
            <w:r>
              <w:rPr>
                <w:rFonts w:hint="eastAsia"/>
                <w:sz w:val="24"/>
              </w:rPr>
              <w:t>暂列金</w:t>
            </w:r>
            <w:r>
              <w:rPr>
                <w:rFonts w:hint="eastAsia"/>
                <w:sz w:val="24"/>
                <w:u w:val="single"/>
              </w:rPr>
              <w:t xml:space="preserve">       </w:t>
            </w:r>
            <w:r>
              <w:rPr>
                <w:rFonts w:hint="eastAsia"/>
                <w:sz w:val="24"/>
              </w:rPr>
              <w:t>元</w:t>
            </w:r>
            <w:r>
              <w:rPr>
                <w:rFonts w:hint="eastAsia" w:ascii="Arial" w:hAnsi="Arial" w:cs="Arial"/>
                <w:sz w:val="24"/>
              </w:rPr>
              <w:t>（不包括计日工部分）（除税）</w:t>
            </w:r>
          </w:p>
        </w:tc>
      </w:tr>
      <w:tr w14:paraId="34AD46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2684" w:type="dxa"/>
            <w:tcBorders>
              <w:top w:val="single" w:color="auto" w:sz="4" w:space="0"/>
              <w:left w:val="single" w:color="auto" w:sz="4" w:space="0"/>
              <w:bottom w:val="single" w:color="auto" w:sz="4" w:space="0"/>
              <w:right w:val="single" w:color="auto" w:sz="4" w:space="0"/>
            </w:tcBorders>
          </w:tcPr>
          <w:p w14:paraId="61462C7F">
            <w:pPr>
              <w:spacing w:before="20" w:after="20" w:line="360" w:lineRule="auto"/>
              <w:jc w:val="center"/>
              <w:rPr>
                <w:sz w:val="24"/>
              </w:rPr>
            </w:pPr>
            <w:r>
              <w:rPr>
                <w:rFonts w:hint="eastAsia"/>
                <w:sz w:val="24"/>
              </w:rPr>
              <w:t>备</w:t>
            </w:r>
            <w:r>
              <w:rPr>
                <w:sz w:val="24"/>
              </w:rPr>
              <w:t xml:space="preserve"> </w:t>
            </w:r>
            <w:r>
              <w:rPr>
                <w:rFonts w:hint="eastAsia"/>
                <w:sz w:val="24"/>
              </w:rPr>
              <w:t>注</w:t>
            </w:r>
          </w:p>
        </w:tc>
        <w:tc>
          <w:tcPr>
            <w:tcW w:w="6176" w:type="dxa"/>
            <w:gridSpan w:val="2"/>
            <w:tcBorders>
              <w:top w:val="single" w:color="auto" w:sz="4" w:space="0"/>
              <w:left w:val="single" w:color="auto" w:sz="4" w:space="0"/>
              <w:bottom w:val="single" w:color="auto" w:sz="4" w:space="0"/>
              <w:right w:val="single" w:color="auto" w:sz="4" w:space="0"/>
            </w:tcBorders>
          </w:tcPr>
          <w:p w14:paraId="5C25E41E">
            <w:pPr>
              <w:spacing w:before="20" w:after="20" w:line="360" w:lineRule="auto"/>
              <w:rPr>
                <w:sz w:val="24"/>
              </w:rPr>
            </w:pPr>
          </w:p>
        </w:tc>
      </w:tr>
    </w:tbl>
    <w:p w14:paraId="76855332">
      <w:pPr>
        <w:spacing w:line="360" w:lineRule="auto"/>
        <w:ind w:firstLine="420" w:firstLineChars="200"/>
      </w:pPr>
    </w:p>
    <w:p w14:paraId="73D5921B">
      <w:pPr>
        <w:spacing w:line="360" w:lineRule="auto"/>
        <w:rPr>
          <w:sz w:val="24"/>
        </w:rPr>
      </w:pPr>
      <w:r>
        <w:rPr>
          <w:rFonts w:hint="eastAsia"/>
          <w:sz w:val="24"/>
        </w:rPr>
        <w:t>供应商：</w:t>
      </w:r>
      <w:r>
        <w:rPr>
          <w:sz w:val="24"/>
          <w:u w:val="single"/>
        </w:rPr>
        <w:t xml:space="preserve">                                          </w:t>
      </w:r>
      <w:r>
        <w:rPr>
          <w:rFonts w:hint="eastAsia"/>
          <w:sz w:val="24"/>
          <w:u w:val="single"/>
        </w:rPr>
        <w:t>（盖章）</w:t>
      </w:r>
      <w:r>
        <w:rPr>
          <w:sz w:val="24"/>
          <w:u w:val="single"/>
        </w:rPr>
        <w:t xml:space="preserve">      </w:t>
      </w:r>
    </w:p>
    <w:p w14:paraId="63531A34">
      <w:pPr>
        <w:spacing w:before="120" w:beforeLines="50" w:line="360" w:lineRule="auto"/>
        <w:rPr>
          <w:sz w:val="24"/>
        </w:rPr>
      </w:pPr>
      <w:r>
        <w:rPr>
          <w:rFonts w:hint="eastAsia"/>
          <w:sz w:val="24"/>
        </w:rPr>
        <w:t>企业所有制类别：</w:t>
      </w:r>
      <w:r>
        <w:rPr>
          <w:sz w:val="24"/>
          <w:u w:val="single"/>
        </w:rPr>
        <w:t xml:space="preserve">                  </w:t>
      </w:r>
      <w:r>
        <w:rPr>
          <w:sz w:val="24"/>
        </w:rPr>
        <w:t xml:space="preserve">  </w:t>
      </w:r>
      <w:r>
        <w:rPr>
          <w:rFonts w:hint="eastAsia"/>
          <w:sz w:val="24"/>
        </w:rPr>
        <w:t>等级：</w:t>
      </w:r>
      <w:r>
        <w:rPr>
          <w:sz w:val="24"/>
          <w:u w:val="single"/>
        </w:rPr>
        <w:t xml:space="preserve">                        </w:t>
      </w:r>
    </w:p>
    <w:p w14:paraId="06213B99">
      <w:pPr>
        <w:spacing w:line="360" w:lineRule="auto"/>
        <w:rPr>
          <w:sz w:val="24"/>
        </w:rPr>
      </w:pPr>
      <w:r>
        <w:rPr>
          <w:rFonts w:hint="eastAsia"/>
          <w:sz w:val="24"/>
        </w:rPr>
        <w:t>企业法人代表：</w:t>
      </w:r>
      <w:r>
        <w:rPr>
          <w:sz w:val="24"/>
          <w:u w:val="single"/>
        </w:rPr>
        <w:t xml:space="preserve">                                      </w:t>
      </w:r>
      <w:r>
        <w:rPr>
          <w:rFonts w:hint="eastAsia"/>
          <w:sz w:val="24"/>
          <w:u w:val="single"/>
        </w:rPr>
        <w:t>（签字或盖章）</w:t>
      </w:r>
    </w:p>
    <w:p w14:paraId="43F815FA">
      <w:pPr>
        <w:spacing w:line="360" w:lineRule="auto"/>
        <w:rPr>
          <w:sz w:val="24"/>
        </w:rPr>
      </w:pPr>
    </w:p>
    <w:p w14:paraId="1F6FF6E8">
      <w:pPr>
        <w:spacing w:line="360" w:lineRule="auto"/>
        <w:rPr>
          <w:sz w:val="24"/>
        </w:rPr>
      </w:pPr>
      <w:r>
        <w:rPr>
          <w:rFonts w:hint="eastAsia"/>
          <w:sz w:val="24"/>
        </w:rPr>
        <w:t>编制日期：</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14:paraId="255FE904">
      <w:pPr>
        <w:spacing w:line="360" w:lineRule="auto"/>
        <w:ind w:firstLine="420" w:firstLineChars="200"/>
      </w:pPr>
    </w:p>
    <w:p w14:paraId="1F9E99BA">
      <w:pPr>
        <w:spacing w:line="360" w:lineRule="auto"/>
        <w:ind w:firstLine="420" w:firstLineChars="200"/>
        <w:sectPr>
          <w:headerReference r:id="rId20" w:type="default"/>
          <w:pgSz w:w="11906" w:h="16838"/>
          <w:pgMar w:top="1440" w:right="1797" w:bottom="1440" w:left="1797" w:header="851" w:footer="992" w:gutter="0"/>
          <w:cols w:space="720" w:num="1"/>
          <w:docGrid w:linePitch="312" w:charSpace="0"/>
        </w:sectPr>
      </w:pPr>
    </w:p>
    <w:p w14:paraId="6951EA18">
      <w:pPr>
        <w:pStyle w:val="4"/>
        <w:jc w:val="both"/>
        <w:rPr>
          <w:rFonts w:hint="eastAsia" w:ascii="宋体" w:hAnsi="宋体" w:eastAsia="宋体"/>
          <w:sz w:val="24"/>
          <w:szCs w:val="24"/>
        </w:rPr>
      </w:pPr>
      <w:bookmarkStart w:id="2719" w:name="_Toc142385797"/>
      <w:bookmarkStart w:id="2720" w:name="_Toc518992181"/>
      <w:bookmarkStart w:id="2721" w:name="_Toc130920615"/>
      <w:r>
        <w:rPr>
          <w:rFonts w:hint="eastAsia" w:ascii="宋体" w:hAnsi="宋体" w:eastAsia="宋体"/>
          <w:sz w:val="24"/>
          <w:szCs w:val="24"/>
        </w:rPr>
        <w:t>★2、</w:t>
      </w:r>
      <w:r>
        <w:rPr>
          <w:rFonts w:ascii="宋体" w:hAnsi="宋体" w:eastAsia="宋体"/>
          <w:sz w:val="24"/>
          <w:szCs w:val="24"/>
        </w:rPr>
        <w:t>法定代表人授权书</w:t>
      </w:r>
      <w:bookmarkEnd w:id="2719"/>
      <w:bookmarkEnd w:id="2720"/>
      <w:bookmarkEnd w:id="2721"/>
    </w:p>
    <w:p w14:paraId="068E7CA7">
      <w:pPr>
        <w:spacing w:line="360" w:lineRule="auto"/>
        <w:rPr>
          <w:rFonts w:hint="eastAsia" w:ascii="宋体" w:hAnsi="宋体"/>
          <w:sz w:val="24"/>
        </w:rPr>
      </w:pPr>
    </w:p>
    <w:p w14:paraId="2350D5A8">
      <w:pPr>
        <w:spacing w:line="360" w:lineRule="auto"/>
        <w:jc w:val="center"/>
        <w:rPr>
          <w:rFonts w:hint="eastAsia" w:ascii="宋体" w:hAnsi="宋体"/>
          <w:b/>
          <w:bCs/>
          <w:sz w:val="24"/>
        </w:rPr>
      </w:pPr>
      <w:r>
        <w:rPr>
          <w:rFonts w:ascii="宋体" w:hAnsi="宋体"/>
          <w:b/>
          <w:bCs/>
          <w:sz w:val="24"/>
        </w:rPr>
        <w:t>法定代表人授权书</w:t>
      </w:r>
    </w:p>
    <w:p w14:paraId="6F215057">
      <w:pPr>
        <w:spacing w:line="360" w:lineRule="auto"/>
        <w:rPr>
          <w:rFonts w:hint="eastAsia" w:ascii="宋体" w:hAnsi="宋体"/>
          <w:sz w:val="24"/>
        </w:rPr>
      </w:pPr>
    </w:p>
    <w:p w14:paraId="6C14104A">
      <w:pPr>
        <w:spacing w:line="360" w:lineRule="auto"/>
        <w:ind w:firstLine="435"/>
        <w:rPr>
          <w:rFonts w:hint="eastAsia" w:ascii="宋体" w:hAnsi="宋体"/>
          <w:sz w:val="24"/>
        </w:rPr>
      </w:pPr>
      <w:r>
        <w:rPr>
          <w:rFonts w:ascii="宋体" w:hAnsi="宋体"/>
          <w:sz w:val="24"/>
        </w:rPr>
        <w:t>本授权书声明：注册于</w:t>
      </w:r>
      <w:r>
        <w:rPr>
          <w:rFonts w:ascii="宋体" w:hAnsi="宋体"/>
          <w:sz w:val="24"/>
          <w:u w:val="single"/>
        </w:rPr>
        <w:t>（国家或地区的名称）</w:t>
      </w:r>
      <w:r>
        <w:rPr>
          <w:rFonts w:ascii="宋体" w:hAnsi="宋体"/>
          <w:sz w:val="24"/>
        </w:rPr>
        <w:t>的</w:t>
      </w:r>
      <w:r>
        <w:rPr>
          <w:rFonts w:ascii="宋体" w:hAnsi="宋体"/>
          <w:sz w:val="24"/>
          <w:u w:val="single"/>
        </w:rPr>
        <w:t>（供应商名称）</w:t>
      </w:r>
      <w:r>
        <w:rPr>
          <w:rFonts w:ascii="宋体" w:hAnsi="宋体"/>
          <w:sz w:val="24"/>
        </w:rPr>
        <w:t>的在下面签字的</w:t>
      </w:r>
      <w:r>
        <w:rPr>
          <w:rFonts w:ascii="宋体" w:hAnsi="宋体"/>
          <w:sz w:val="24"/>
          <w:u w:val="single"/>
        </w:rPr>
        <w:t>（法定代表人姓名、职务</w:t>
      </w:r>
      <w:r>
        <w:rPr>
          <w:rFonts w:hint="eastAsia" w:ascii="宋体" w:hAnsi="宋体"/>
          <w:sz w:val="24"/>
          <w:u w:val="single"/>
        </w:rPr>
        <w:t>、身份证号码</w:t>
      </w:r>
      <w:r>
        <w:rPr>
          <w:rFonts w:ascii="宋体" w:hAnsi="宋体"/>
          <w:sz w:val="24"/>
          <w:u w:val="single"/>
        </w:rPr>
        <w:t>）</w:t>
      </w:r>
      <w:r>
        <w:rPr>
          <w:rFonts w:ascii="宋体" w:hAnsi="宋体"/>
          <w:sz w:val="24"/>
        </w:rPr>
        <w:t>代表本公司授权的在下面签字的</w:t>
      </w:r>
      <w:r>
        <w:rPr>
          <w:rFonts w:ascii="宋体" w:hAnsi="宋体"/>
          <w:sz w:val="24"/>
          <w:u w:val="single"/>
        </w:rPr>
        <w:t>（被授权人的姓名、职务</w:t>
      </w:r>
      <w:r>
        <w:rPr>
          <w:rFonts w:hint="eastAsia" w:ascii="宋体" w:hAnsi="宋体"/>
          <w:sz w:val="24"/>
          <w:u w:val="single"/>
        </w:rPr>
        <w:t>、身份证号码</w:t>
      </w:r>
      <w:r>
        <w:rPr>
          <w:rFonts w:ascii="宋体" w:hAnsi="宋体"/>
          <w:sz w:val="24"/>
          <w:u w:val="single"/>
        </w:rPr>
        <w:t>）</w:t>
      </w:r>
      <w:r>
        <w:rPr>
          <w:rFonts w:ascii="宋体" w:hAnsi="宋体"/>
          <w:sz w:val="24"/>
        </w:rPr>
        <w:t>为本公司的合法代理人，就</w:t>
      </w:r>
      <w:r>
        <w:rPr>
          <w:rFonts w:ascii="宋体" w:hAnsi="宋体"/>
          <w:sz w:val="24"/>
          <w:u w:val="single"/>
        </w:rPr>
        <w:t xml:space="preserve">                </w:t>
      </w:r>
      <w:r>
        <w:rPr>
          <w:rFonts w:ascii="宋体" w:hAnsi="宋体"/>
          <w:sz w:val="24"/>
        </w:rPr>
        <w:t>项目（采购项目编号：</w:t>
      </w:r>
      <w:r>
        <w:rPr>
          <w:rFonts w:ascii="宋体" w:hAnsi="宋体"/>
          <w:sz w:val="24"/>
          <w:u w:val="single"/>
        </w:rPr>
        <w:t xml:space="preserve">                </w:t>
      </w:r>
      <w:r>
        <w:rPr>
          <w:rFonts w:ascii="宋体" w:hAnsi="宋体"/>
          <w:sz w:val="24"/>
        </w:rPr>
        <w:t>）的</w:t>
      </w:r>
      <w:r>
        <w:rPr>
          <w:rFonts w:hint="eastAsia" w:ascii="宋体" w:hAnsi="宋体"/>
          <w:sz w:val="24"/>
        </w:rPr>
        <w:t>竞争性磋商采购</w:t>
      </w:r>
      <w:r>
        <w:rPr>
          <w:rFonts w:ascii="宋体" w:hAnsi="宋体"/>
          <w:sz w:val="24"/>
        </w:rPr>
        <w:t>，以本公司名义处理一切与之有关的事务。我公司对被授权人的签名负全部法律责任。</w:t>
      </w:r>
    </w:p>
    <w:p w14:paraId="58C1DC4B">
      <w:pPr>
        <w:spacing w:line="360" w:lineRule="auto"/>
        <w:ind w:firstLine="435"/>
        <w:rPr>
          <w:rFonts w:hint="eastAsia" w:ascii="宋体" w:hAnsi="宋体"/>
          <w:sz w:val="24"/>
        </w:rPr>
      </w:pPr>
      <w:r>
        <w:rPr>
          <w:rFonts w:ascii="宋体" w:hAnsi="宋体"/>
          <w:sz w:val="24"/>
        </w:rPr>
        <w:t>本授权书于</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hint="eastAsia" w:ascii="宋体" w:hAnsi="宋体"/>
          <w:sz w:val="24"/>
        </w:rPr>
        <w:t>盖章</w:t>
      </w:r>
      <w:r>
        <w:rPr>
          <w:rFonts w:ascii="宋体" w:hAnsi="宋体"/>
          <w:sz w:val="24"/>
        </w:rPr>
        <w:t>生效，特此声明。</w:t>
      </w:r>
    </w:p>
    <w:p w14:paraId="202D1B5D">
      <w:pPr>
        <w:spacing w:line="360" w:lineRule="auto"/>
        <w:ind w:firstLine="435"/>
        <w:rPr>
          <w:rFonts w:hint="eastAsia" w:ascii="宋体" w:hAnsi="宋体"/>
          <w:sz w:val="24"/>
        </w:rPr>
      </w:pPr>
    </w:p>
    <w:p w14:paraId="7D7F8AC2">
      <w:pPr>
        <w:spacing w:line="360" w:lineRule="auto"/>
        <w:ind w:firstLine="435"/>
        <w:rPr>
          <w:rFonts w:hint="eastAsia" w:ascii="宋体" w:hAnsi="宋体"/>
          <w:sz w:val="24"/>
        </w:rPr>
      </w:pPr>
    </w:p>
    <w:p w14:paraId="20FB3BB9">
      <w:pPr>
        <w:spacing w:line="360" w:lineRule="auto"/>
        <w:ind w:firstLine="435"/>
        <w:rPr>
          <w:rFonts w:hint="eastAsia" w:ascii="宋体" w:hAnsi="宋体"/>
          <w:sz w:val="24"/>
        </w:rPr>
      </w:pPr>
    </w:p>
    <w:p w14:paraId="612EFCCD">
      <w:pPr>
        <w:spacing w:line="360" w:lineRule="auto"/>
        <w:ind w:firstLine="435"/>
        <w:rPr>
          <w:rFonts w:hint="eastAsia" w:ascii="宋体" w:hAnsi="宋体"/>
          <w:sz w:val="24"/>
          <w:u w:val="single"/>
        </w:rPr>
      </w:pPr>
      <w:r>
        <w:rPr>
          <w:rFonts w:ascii="宋体" w:hAnsi="宋体"/>
          <w:sz w:val="24"/>
        </w:rPr>
        <w:t>法定代表人签字或</w:t>
      </w:r>
      <w:r>
        <w:rPr>
          <w:rFonts w:hint="eastAsia" w:ascii="宋体" w:hAnsi="宋体"/>
          <w:sz w:val="24"/>
        </w:rPr>
        <w:t>盖</w:t>
      </w:r>
      <w:r>
        <w:rPr>
          <w:rFonts w:ascii="宋体" w:hAnsi="宋体"/>
          <w:sz w:val="24"/>
        </w:rPr>
        <w:t>章</w:t>
      </w:r>
      <w:r>
        <w:rPr>
          <w:rFonts w:ascii="宋体" w:hAnsi="宋体"/>
          <w:sz w:val="24"/>
          <w:u w:val="single"/>
        </w:rPr>
        <w:t xml:space="preserve">                    </w:t>
      </w:r>
    </w:p>
    <w:p w14:paraId="62A52115">
      <w:pPr>
        <w:spacing w:line="360" w:lineRule="auto"/>
        <w:ind w:firstLine="435"/>
        <w:rPr>
          <w:rFonts w:hint="eastAsia" w:ascii="宋体" w:hAnsi="宋体"/>
          <w:sz w:val="24"/>
          <w:u w:val="single"/>
        </w:rPr>
      </w:pPr>
      <w:r>
        <w:rPr>
          <w:rFonts w:ascii="宋体" w:hAnsi="宋体"/>
          <w:sz w:val="24"/>
        </w:rPr>
        <w:t>被授权人签字</w:t>
      </w:r>
      <w:r>
        <w:rPr>
          <w:rFonts w:ascii="宋体" w:hAnsi="宋体"/>
          <w:sz w:val="24"/>
          <w:u w:val="single"/>
        </w:rPr>
        <w:t xml:space="preserve">                            </w:t>
      </w:r>
    </w:p>
    <w:p w14:paraId="73F30FF2">
      <w:pPr>
        <w:spacing w:line="360" w:lineRule="auto"/>
        <w:ind w:firstLine="435"/>
        <w:rPr>
          <w:rFonts w:hint="eastAsia" w:ascii="宋体" w:hAnsi="宋体"/>
          <w:sz w:val="24"/>
        </w:rPr>
      </w:pPr>
      <w:r>
        <w:rPr>
          <w:rFonts w:hint="eastAsia" w:ascii="宋体" w:hAnsi="宋体"/>
          <w:sz w:val="24"/>
        </w:rPr>
        <w:t>被授权人联系方式</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4EB7B7A4">
      <w:pPr>
        <w:spacing w:line="360" w:lineRule="auto"/>
        <w:ind w:firstLine="435"/>
        <w:rPr>
          <w:rFonts w:hint="eastAsia" w:ascii="宋体" w:hAnsi="宋体"/>
          <w:sz w:val="24"/>
          <w:u w:val="single"/>
        </w:rPr>
      </w:pPr>
      <w:r>
        <w:rPr>
          <w:rFonts w:ascii="宋体" w:hAnsi="宋体"/>
          <w:sz w:val="24"/>
        </w:rPr>
        <w:t>供应商名称（公章）</w:t>
      </w:r>
      <w:r>
        <w:rPr>
          <w:rFonts w:ascii="宋体" w:hAnsi="宋体"/>
          <w:sz w:val="24"/>
          <w:u w:val="single"/>
        </w:rPr>
        <w:t xml:space="preserve">                      </w:t>
      </w:r>
    </w:p>
    <w:p w14:paraId="790CEAD0">
      <w:pPr>
        <w:spacing w:line="360" w:lineRule="auto"/>
        <w:ind w:firstLine="435"/>
        <w:rPr>
          <w:rFonts w:hint="eastAsia" w:ascii="宋体" w:hAnsi="宋体"/>
          <w:sz w:val="24"/>
        </w:rPr>
      </w:pPr>
      <w:r>
        <w:rPr>
          <w:rFonts w:ascii="宋体" w:hAnsi="宋体"/>
          <w:sz w:val="24"/>
        </w:rPr>
        <w:t xml:space="preserve">     </w:t>
      </w:r>
    </w:p>
    <w:p w14:paraId="7F991E67">
      <w:pPr>
        <w:spacing w:line="360" w:lineRule="auto"/>
        <w:ind w:firstLine="435"/>
        <w:rPr>
          <w:rFonts w:hint="eastAsia" w:ascii="宋体" w:hAnsi="宋体"/>
          <w:sz w:val="24"/>
        </w:rPr>
      </w:pPr>
    </w:p>
    <w:p w14:paraId="6608D84E">
      <w:pPr>
        <w:spacing w:line="288" w:lineRule="auto"/>
        <w:ind w:right="480"/>
        <w:rPr>
          <w:rFonts w:hint="eastAsia" w:ascii="宋体" w:hAnsi="宋体"/>
          <w:sz w:val="24"/>
        </w:rPr>
        <w:sectPr>
          <w:pgSz w:w="11906" w:h="16838"/>
          <w:pgMar w:top="1440" w:right="1797" w:bottom="1440" w:left="1797" w:header="851" w:footer="992" w:gutter="0"/>
          <w:cols w:space="720" w:num="1"/>
          <w:docGrid w:linePitch="312" w:charSpace="0"/>
        </w:sectPr>
      </w:pPr>
      <w:r>
        <w:rPr>
          <w:rFonts w:hint="eastAsia" w:ascii="宋体" w:hAnsi="宋体"/>
          <w:sz w:val="24"/>
        </w:rPr>
        <w:t>附：法定代表人及被授权人身份证（复印件加盖公章）</w:t>
      </w:r>
    </w:p>
    <w:p w14:paraId="46C223FF">
      <w:pPr>
        <w:pStyle w:val="4"/>
        <w:jc w:val="both"/>
        <w:rPr>
          <w:rFonts w:hint="eastAsia" w:ascii="宋体" w:hAnsi="宋体" w:eastAsia="宋体"/>
          <w:sz w:val="24"/>
          <w:szCs w:val="24"/>
        </w:rPr>
      </w:pPr>
      <w:bookmarkStart w:id="2722" w:name="_Toc142385798"/>
      <w:bookmarkStart w:id="2723" w:name="_Toc130920616"/>
      <w:bookmarkStart w:id="2724" w:name="_Toc518992182"/>
      <w:r>
        <w:rPr>
          <w:rFonts w:hint="eastAsia" w:ascii="宋体" w:hAnsi="宋体" w:eastAsia="宋体"/>
          <w:sz w:val="24"/>
          <w:szCs w:val="24"/>
        </w:rPr>
        <w:t>★3、已标价工程量清单</w:t>
      </w:r>
      <w:bookmarkEnd w:id="2722"/>
      <w:bookmarkEnd w:id="2723"/>
      <w:bookmarkEnd w:id="2724"/>
    </w:p>
    <w:p w14:paraId="20EBBA84">
      <w:pPr>
        <w:spacing w:line="288" w:lineRule="auto"/>
        <w:ind w:right="480"/>
        <w:rPr>
          <w:rFonts w:hint="eastAsia" w:ascii="宋体" w:hAnsi="宋体"/>
          <w:sz w:val="24"/>
        </w:rPr>
      </w:pPr>
    </w:p>
    <w:p w14:paraId="0E5F1B5E">
      <w:pPr>
        <w:spacing w:line="288" w:lineRule="auto"/>
        <w:ind w:right="480"/>
        <w:rPr>
          <w:rFonts w:hint="eastAsia" w:ascii="宋体" w:hAnsi="宋体"/>
          <w:sz w:val="24"/>
        </w:rPr>
      </w:pPr>
      <w:r>
        <w:rPr>
          <w:rFonts w:hint="eastAsia" w:ascii="宋体" w:hAnsi="宋体"/>
          <w:sz w:val="24"/>
        </w:rPr>
        <w:t>说明：构成合同文件的已标价工程量清单包括第六章“工程量清单”有关工程量清单、磋商报价以及其他说明的内容。</w:t>
      </w:r>
    </w:p>
    <w:p w14:paraId="01E72467">
      <w:pPr>
        <w:spacing w:line="288" w:lineRule="auto"/>
        <w:ind w:right="480"/>
        <w:rPr>
          <w:rFonts w:hint="eastAsia" w:ascii="宋体" w:hAnsi="宋体"/>
          <w:sz w:val="24"/>
        </w:rPr>
        <w:sectPr>
          <w:pgSz w:w="11906" w:h="16838"/>
          <w:pgMar w:top="1440" w:right="1797" w:bottom="1440" w:left="1797" w:header="851" w:footer="992" w:gutter="0"/>
          <w:cols w:space="720" w:num="1"/>
          <w:docGrid w:linePitch="312" w:charSpace="0"/>
        </w:sectPr>
      </w:pPr>
    </w:p>
    <w:p w14:paraId="159B3DE8">
      <w:pPr>
        <w:pStyle w:val="4"/>
        <w:jc w:val="both"/>
        <w:rPr>
          <w:rFonts w:hint="eastAsia" w:ascii="宋体" w:hAnsi="宋体" w:eastAsia="宋体"/>
          <w:sz w:val="24"/>
          <w:szCs w:val="24"/>
        </w:rPr>
      </w:pPr>
      <w:bookmarkStart w:id="2725" w:name="_Toc518992183"/>
      <w:bookmarkStart w:id="2726" w:name="_Toc130920617"/>
      <w:bookmarkStart w:id="2727" w:name="_Toc142385799"/>
      <w:r>
        <w:rPr>
          <w:rFonts w:hint="eastAsia" w:ascii="宋体" w:hAnsi="宋体" w:eastAsia="宋体"/>
          <w:sz w:val="24"/>
          <w:szCs w:val="24"/>
        </w:rPr>
        <w:t>4</w:t>
      </w:r>
      <w:r>
        <w:rPr>
          <w:rFonts w:ascii="宋体" w:hAnsi="宋体" w:eastAsia="宋体"/>
          <w:sz w:val="24"/>
          <w:szCs w:val="24"/>
        </w:rPr>
        <w:t>、资格证明文件格式</w:t>
      </w:r>
      <w:bookmarkEnd w:id="2725"/>
      <w:bookmarkEnd w:id="2726"/>
      <w:bookmarkEnd w:id="2727"/>
    </w:p>
    <w:p w14:paraId="7FA2B489">
      <w:pPr>
        <w:spacing w:line="360" w:lineRule="auto"/>
        <w:rPr>
          <w:rFonts w:hint="eastAsia" w:ascii="宋体" w:hAnsi="宋体"/>
          <w:sz w:val="24"/>
        </w:rPr>
      </w:pPr>
      <w:r>
        <w:rPr>
          <w:rFonts w:ascii="宋体" w:hAnsi="宋体"/>
          <w:sz w:val="24"/>
        </w:rPr>
        <w:t>一、目录</w:t>
      </w:r>
    </w:p>
    <w:p w14:paraId="1FF4E202">
      <w:pPr>
        <w:tabs>
          <w:tab w:val="left" w:pos="720"/>
        </w:tabs>
        <w:autoSpaceDE w:val="0"/>
        <w:autoSpaceDN w:val="0"/>
        <w:adjustRightInd w:val="0"/>
        <w:spacing w:line="360" w:lineRule="auto"/>
        <w:ind w:right="17"/>
        <w:jc w:val="left"/>
        <w:rPr>
          <w:rFonts w:hint="eastAsia" w:ascii="宋体" w:hAnsi="宋体"/>
          <w:sz w:val="24"/>
        </w:rPr>
      </w:pPr>
      <w:r>
        <w:rPr>
          <w:rFonts w:hint="eastAsia" w:ascii="宋体" w:hAnsi="宋体"/>
          <w:sz w:val="24"/>
        </w:rPr>
        <w:t>★4</w:t>
      </w:r>
      <w:r>
        <w:rPr>
          <w:rFonts w:ascii="宋体" w:hAnsi="宋体"/>
          <w:sz w:val="24"/>
        </w:rPr>
        <w:t>.1有效的</w:t>
      </w:r>
      <w:r>
        <w:rPr>
          <w:rFonts w:hint="eastAsia" w:ascii="宋体" w:hAnsi="宋体"/>
          <w:sz w:val="24"/>
        </w:rPr>
        <w:t>企业</w:t>
      </w:r>
      <w:r>
        <w:rPr>
          <w:rFonts w:hint="eastAsia" w:ascii="宋体" w:hAnsi="宋体" w:cs="宋体"/>
          <w:kern w:val="0"/>
          <w:sz w:val="24"/>
          <w:lang w:val="zh-CN"/>
        </w:rPr>
        <w:t>法人营业执照</w:t>
      </w:r>
      <w:r>
        <w:rPr>
          <w:rFonts w:hint="eastAsia" w:ascii="宋体" w:hAnsi="宋体"/>
          <w:sz w:val="24"/>
        </w:rPr>
        <w:t>及有效的资质证书（复印件加盖公章）</w:t>
      </w:r>
      <w:r>
        <w:rPr>
          <w:rFonts w:ascii="宋体" w:hAnsi="宋体"/>
          <w:sz w:val="24"/>
        </w:rPr>
        <w:t>；</w:t>
      </w:r>
    </w:p>
    <w:p w14:paraId="108F327B">
      <w:pPr>
        <w:tabs>
          <w:tab w:val="left" w:pos="720"/>
        </w:tabs>
        <w:autoSpaceDE w:val="0"/>
        <w:autoSpaceDN w:val="0"/>
        <w:adjustRightInd w:val="0"/>
        <w:spacing w:line="360" w:lineRule="auto"/>
        <w:ind w:right="17"/>
        <w:jc w:val="left"/>
        <w:rPr>
          <w:rFonts w:hint="eastAsia" w:ascii="宋体" w:hAnsi="宋体"/>
          <w:sz w:val="24"/>
        </w:rPr>
      </w:pPr>
      <w:r>
        <w:rPr>
          <w:rFonts w:hint="eastAsia" w:ascii="宋体" w:hAnsi="宋体"/>
          <w:b/>
          <w:sz w:val="24"/>
        </w:rPr>
        <w:t>★</w:t>
      </w:r>
      <w:r>
        <w:rPr>
          <w:rFonts w:hint="eastAsia" w:ascii="宋体" w:hAnsi="宋体"/>
          <w:sz w:val="24"/>
        </w:rPr>
        <w:t>4</w:t>
      </w:r>
      <w:r>
        <w:rPr>
          <w:rFonts w:ascii="宋体" w:hAnsi="宋体"/>
          <w:sz w:val="24"/>
        </w:rPr>
        <w:t>.2</w:t>
      </w:r>
      <w:r>
        <w:rPr>
          <w:rFonts w:hint="eastAsia" w:ascii="宋体" w:hAnsi="宋体"/>
          <w:sz w:val="24"/>
        </w:rPr>
        <w:t>依法缴纳税收和</w:t>
      </w:r>
      <w:r>
        <w:rPr>
          <w:rFonts w:ascii="宋体" w:hAnsi="宋体"/>
          <w:sz w:val="24"/>
        </w:rPr>
        <w:t>社会保障资金</w:t>
      </w:r>
      <w:r>
        <w:rPr>
          <w:rFonts w:hint="eastAsia" w:ascii="宋体" w:hAnsi="宋体"/>
          <w:sz w:val="24"/>
        </w:rPr>
        <w:t>的良好记录的声明承诺书</w:t>
      </w:r>
      <w:r>
        <w:rPr>
          <w:rFonts w:ascii="宋体" w:hAnsi="宋体"/>
          <w:sz w:val="24"/>
        </w:rPr>
        <w:t>；</w:t>
      </w:r>
    </w:p>
    <w:p w14:paraId="609064A9">
      <w:pPr>
        <w:spacing w:line="360" w:lineRule="auto"/>
        <w:rPr>
          <w:rFonts w:hint="eastAsia" w:ascii="宋体" w:hAnsi="宋体"/>
          <w:sz w:val="24"/>
        </w:rPr>
      </w:pPr>
      <w:r>
        <w:rPr>
          <w:rFonts w:hint="eastAsia" w:ascii="宋体" w:hAnsi="宋体"/>
          <w:b/>
          <w:sz w:val="24"/>
        </w:rPr>
        <w:t>★</w:t>
      </w:r>
      <w:r>
        <w:rPr>
          <w:rFonts w:hint="eastAsia" w:ascii="宋体" w:hAnsi="宋体"/>
          <w:sz w:val="24"/>
        </w:rPr>
        <w:t>4.3</w:t>
      </w:r>
      <w:r>
        <w:rPr>
          <w:rFonts w:hint="eastAsia" w:ascii="宋体" w:hAnsi="宋体" w:cs="宋体"/>
          <w:kern w:val="0"/>
          <w:sz w:val="24"/>
          <w:lang w:val="zh-CN"/>
        </w:rPr>
        <w:t>参加本次采购活动前三年</w:t>
      </w:r>
      <w:r>
        <w:rPr>
          <w:rFonts w:hint="eastAsia" w:ascii="宋体" w:hAnsi="宋体" w:cs="宋体"/>
          <w:kern w:val="0"/>
          <w:sz w:val="24"/>
        </w:rPr>
        <w:t>（2021年10月8日至响应文件递交截止之日）</w:t>
      </w:r>
      <w:r>
        <w:rPr>
          <w:rFonts w:hint="eastAsia" w:ascii="宋体" w:hAnsi="宋体" w:cs="宋体"/>
          <w:kern w:val="0"/>
          <w:sz w:val="24"/>
          <w:lang w:val="zh-CN"/>
        </w:rPr>
        <w:t>内</w:t>
      </w:r>
      <w:r>
        <w:rPr>
          <w:rFonts w:hint="eastAsia" w:ascii="宋体" w:hAnsi="宋体" w:cs="宋体"/>
          <w:kern w:val="0"/>
          <w:sz w:val="24"/>
        </w:rPr>
        <w:t>，</w:t>
      </w:r>
      <w:r>
        <w:rPr>
          <w:rFonts w:hint="eastAsia" w:ascii="宋体" w:hAnsi="宋体" w:cs="宋体"/>
          <w:kern w:val="0"/>
          <w:sz w:val="24"/>
          <w:lang w:val="zh-CN"/>
        </w:rPr>
        <w:t>未被</w:t>
      </w:r>
      <w:r>
        <w:rPr>
          <w:rFonts w:hint="eastAsia" w:ascii="宋体" w:hAnsi="宋体" w:cs="宋体"/>
          <w:kern w:val="0"/>
          <w:sz w:val="24"/>
        </w:rPr>
        <w:t>“</w:t>
      </w:r>
      <w:r>
        <w:rPr>
          <w:rFonts w:hint="eastAsia" w:ascii="宋体" w:hAnsi="宋体" w:cs="宋体"/>
          <w:kern w:val="0"/>
          <w:sz w:val="24"/>
          <w:lang w:val="zh-CN"/>
        </w:rPr>
        <w:t>信用中国</w:t>
      </w:r>
      <w:r>
        <w:rPr>
          <w:rFonts w:hint="eastAsia" w:ascii="宋体" w:hAnsi="宋体" w:cs="宋体"/>
          <w:kern w:val="0"/>
          <w:sz w:val="24"/>
        </w:rPr>
        <w:t>”（https://www.creditchina.gov.cn/）</w:t>
      </w:r>
      <w:r>
        <w:rPr>
          <w:rFonts w:hint="eastAsia" w:ascii="宋体" w:hAnsi="宋体" w:cs="宋体"/>
          <w:kern w:val="0"/>
          <w:sz w:val="24"/>
          <w:lang w:val="zh-CN"/>
        </w:rPr>
        <w:t>网站列入失信被执行人和重大税收违法失信主体、未被</w:t>
      </w:r>
      <w:r>
        <w:rPr>
          <w:rFonts w:hint="eastAsia" w:ascii="宋体" w:hAnsi="宋体" w:cs="宋体"/>
          <w:kern w:val="0"/>
          <w:sz w:val="24"/>
        </w:rPr>
        <w:t>“</w:t>
      </w:r>
      <w:r>
        <w:rPr>
          <w:rFonts w:hint="eastAsia" w:ascii="宋体" w:hAnsi="宋体" w:cs="宋体"/>
          <w:kern w:val="0"/>
          <w:sz w:val="24"/>
          <w:lang w:val="zh-CN"/>
        </w:rPr>
        <w:t>中国政府采购网</w:t>
      </w:r>
      <w:r>
        <w:rPr>
          <w:rFonts w:hint="eastAsia" w:ascii="宋体" w:hAnsi="宋体" w:cs="宋体"/>
          <w:kern w:val="0"/>
          <w:sz w:val="24"/>
        </w:rPr>
        <w:t>”（http://www.ccgp.gov.cn）</w:t>
      </w:r>
      <w:r>
        <w:rPr>
          <w:rFonts w:hint="eastAsia" w:ascii="宋体" w:hAnsi="宋体" w:cs="宋体"/>
          <w:kern w:val="0"/>
          <w:sz w:val="24"/>
          <w:lang w:val="zh-CN"/>
        </w:rPr>
        <w:t>网站列入政府采购严重违法失信行为记录名单</w:t>
      </w:r>
      <w:r>
        <w:rPr>
          <w:rFonts w:hint="eastAsia" w:ascii="宋体" w:hAnsi="宋体" w:cs="宋体"/>
          <w:kern w:val="0"/>
          <w:sz w:val="24"/>
        </w:rPr>
        <w:t>（</w:t>
      </w:r>
      <w:r>
        <w:rPr>
          <w:rFonts w:hint="eastAsia" w:ascii="宋体" w:hAnsi="宋体" w:cs="宋体"/>
          <w:kern w:val="0"/>
          <w:sz w:val="24"/>
          <w:lang w:val="zh-CN"/>
        </w:rPr>
        <w:t>或处罚期限届满的</w:t>
      </w:r>
      <w:r>
        <w:rPr>
          <w:rFonts w:hint="eastAsia" w:ascii="宋体" w:hAnsi="宋体" w:cs="宋体"/>
          <w:kern w:val="0"/>
          <w:sz w:val="24"/>
        </w:rPr>
        <w:t>）的声明</w:t>
      </w:r>
      <w:r>
        <w:rPr>
          <w:rFonts w:ascii="宋体" w:hAnsi="宋体"/>
          <w:sz w:val="24"/>
        </w:rPr>
        <w:t>；</w:t>
      </w:r>
    </w:p>
    <w:p w14:paraId="1E728847">
      <w:pPr>
        <w:spacing w:line="360" w:lineRule="auto"/>
        <w:rPr>
          <w:rFonts w:hint="eastAsia" w:ascii="宋体" w:hAnsi="宋体"/>
          <w:sz w:val="24"/>
        </w:rPr>
      </w:pPr>
      <w:r>
        <w:rPr>
          <w:rFonts w:hint="eastAsia" w:ascii="宋体" w:hAnsi="宋体"/>
          <w:b/>
          <w:sz w:val="24"/>
        </w:rPr>
        <w:t>★</w:t>
      </w:r>
      <w:r>
        <w:rPr>
          <w:rFonts w:hint="eastAsia" w:ascii="宋体" w:hAnsi="宋体"/>
          <w:sz w:val="24"/>
        </w:rPr>
        <w:t>4.4供应商无不良行为记录，企业信誉良好等资信承诺书（格式自拟）；</w:t>
      </w:r>
    </w:p>
    <w:p w14:paraId="2AE2E050">
      <w:pPr>
        <w:tabs>
          <w:tab w:val="left" w:pos="720"/>
        </w:tabs>
        <w:autoSpaceDE w:val="0"/>
        <w:autoSpaceDN w:val="0"/>
        <w:adjustRightInd w:val="0"/>
        <w:spacing w:line="360" w:lineRule="auto"/>
        <w:ind w:right="17"/>
        <w:jc w:val="left"/>
        <w:rPr>
          <w:rFonts w:hint="eastAsia" w:ascii="宋体" w:hAnsi="宋体"/>
          <w:sz w:val="24"/>
        </w:rPr>
      </w:pPr>
      <w:r>
        <w:rPr>
          <w:rFonts w:hint="eastAsia" w:ascii="宋体" w:hAnsi="宋体"/>
          <w:sz w:val="24"/>
        </w:rPr>
        <w:t>★4.5</w:t>
      </w:r>
      <w:r>
        <w:rPr>
          <w:rFonts w:hint="eastAsia" w:ascii="宋体" w:hAnsi="宋体"/>
          <w:kern w:val="0"/>
          <w:sz w:val="24"/>
        </w:rPr>
        <w:t>供应商基本情况表</w:t>
      </w:r>
      <w:r>
        <w:rPr>
          <w:rFonts w:ascii="宋体" w:hAnsi="宋体"/>
          <w:sz w:val="24"/>
        </w:rPr>
        <w:t>；</w:t>
      </w:r>
    </w:p>
    <w:p w14:paraId="5CC432B4">
      <w:pPr>
        <w:tabs>
          <w:tab w:val="left" w:pos="720"/>
        </w:tabs>
        <w:autoSpaceDE w:val="0"/>
        <w:autoSpaceDN w:val="0"/>
        <w:adjustRightInd w:val="0"/>
        <w:spacing w:line="360" w:lineRule="auto"/>
        <w:ind w:right="17"/>
        <w:jc w:val="left"/>
        <w:rPr>
          <w:rFonts w:hint="eastAsia" w:ascii="宋体" w:hAnsi="宋体"/>
          <w:sz w:val="24"/>
        </w:rPr>
      </w:pPr>
      <w:r>
        <w:rPr>
          <w:rFonts w:hint="eastAsia" w:ascii="宋体" w:hAnsi="宋体"/>
          <w:sz w:val="24"/>
        </w:rPr>
        <w:t>★4.6 单位负责人不为同一人或者不存在直接控股、管理关系的供应商承诺（格式自拟）；</w:t>
      </w:r>
    </w:p>
    <w:p w14:paraId="6DDA14D4">
      <w:pPr>
        <w:tabs>
          <w:tab w:val="left" w:pos="720"/>
        </w:tabs>
        <w:autoSpaceDE w:val="0"/>
        <w:autoSpaceDN w:val="0"/>
        <w:adjustRightInd w:val="0"/>
        <w:spacing w:line="360" w:lineRule="auto"/>
        <w:ind w:right="17"/>
        <w:jc w:val="left"/>
        <w:rPr>
          <w:rFonts w:hint="eastAsia" w:ascii="宋体" w:hAnsi="宋体"/>
          <w:sz w:val="24"/>
        </w:rPr>
      </w:pPr>
      <w:r>
        <w:rPr>
          <w:rFonts w:hint="eastAsia" w:ascii="宋体" w:hAnsi="宋体"/>
          <w:sz w:val="24"/>
        </w:rPr>
        <w:t>★4.7不为本项目提供整体设计、规范编制或者项目管理、监理、检测等服务的供应商的承诺；（格式自拟）</w:t>
      </w:r>
    </w:p>
    <w:p w14:paraId="625E095E">
      <w:pPr>
        <w:spacing w:line="360" w:lineRule="auto"/>
        <w:rPr>
          <w:rFonts w:hint="eastAsia" w:ascii="宋体" w:hAnsi="宋体"/>
          <w:sz w:val="24"/>
        </w:rPr>
      </w:pPr>
      <w:r>
        <w:rPr>
          <w:rFonts w:hint="eastAsia" w:ascii="宋体" w:hAnsi="宋体"/>
          <w:sz w:val="24"/>
        </w:rPr>
        <w:t>★4.8中小企业声明函；</w:t>
      </w:r>
    </w:p>
    <w:p w14:paraId="4C9A3AD5">
      <w:pPr>
        <w:spacing w:line="360" w:lineRule="auto"/>
        <w:rPr>
          <w:rFonts w:hint="eastAsia" w:ascii="宋体" w:hAnsi="宋体"/>
          <w:sz w:val="24"/>
        </w:rPr>
      </w:pPr>
      <w:r>
        <w:rPr>
          <w:rFonts w:hint="eastAsia" w:ascii="宋体" w:hAnsi="宋体"/>
          <w:sz w:val="24"/>
        </w:rPr>
        <w:t>4.9残疾人福利性单位声明函；</w:t>
      </w:r>
    </w:p>
    <w:p w14:paraId="53CFD57E">
      <w:pPr>
        <w:tabs>
          <w:tab w:val="left" w:pos="720"/>
        </w:tabs>
        <w:autoSpaceDE w:val="0"/>
        <w:autoSpaceDN w:val="0"/>
        <w:adjustRightInd w:val="0"/>
        <w:spacing w:line="360" w:lineRule="auto"/>
        <w:ind w:right="17"/>
        <w:jc w:val="left"/>
        <w:rPr>
          <w:rFonts w:hint="eastAsia" w:ascii="宋体" w:hAnsi="宋体"/>
          <w:sz w:val="24"/>
        </w:rPr>
      </w:pPr>
      <w:r>
        <w:rPr>
          <w:rFonts w:hint="eastAsia" w:ascii="宋体" w:hAnsi="宋体"/>
          <w:sz w:val="24"/>
        </w:rPr>
        <w:t xml:space="preserve">4.10 </w:t>
      </w:r>
      <w:r>
        <w:rPr>
          <w:rFonts w:ascii="宋体" w:hAnsi="宋体"/>
          <w:sz w:val="24"/>
        </w:rPr>
        <w:t>业绩</w:t>
      </w:r>
      <w:r>
        <w:rPr>
          <w:rFonts w:hint="eastAsia" w:ascii="宋体" w:hAnsi="宋体"/>
          <w:sz w:val="24"/>
        </w:rPr>
        <w:t>情况</w:t>
      </w:r>
      <w:r>
        <w:rPr>
          <w:rFonts w:ascii="宋体" w:hAnsi="宋体"/>
          <w:sz w:val="24"/>
        </w:rPr>
        <w:t>表；</w:t>
      </w:r>
    </w:p>
    <w:p w14:paraId="673E33FD">
      <w:pPr>
        <w:spacing w:line="360" w:lineRule="auto"/>
        <w:rPr>
          <w:rFonts w:hint="eastAsia" w:ascii="宋体" w:hAnsi="宋体"/>
          <w:sz w:val="24"/>
        </w:rPr>
      </w:pPr>
      <w:r>
        <w:rPr>
          <w:rFonts w:hint="eastAsia" w:ascii="宋体" w:hAnsi="宋体"/>
          <w:sz w:val="24"/>
        </w:rPr>
        <w:t>4.11 拟投入本项目的主要人员；</w:t>
      </w:r>
    </w:p>
    <w:p w14:paraId="585D5C5B">
      <w:pPr>
        <w:tabs>
          <w:tab w:val="left" w:pos="720"/>
        </w:tabs>
        <w:autoSpaceDE w:val="0"/>
        <w:autoSpaceDN w:val="0"/>
        <w:adjustRightInd w:val="0"/>
        <w:spacing w:line="360" w:lineRule="auto"/>
        <w:ind w:right="17"/>
        <w:jc w:val="left"/>
        <w:rPr>
          <w:rFonts w:hint="eastAsia" w:ascii="宋体" w:hAnsi="宋体"/>
          <w:sz w:val="24"/>
        </w:rPr>
      </w:pPr>
      <w:r>
        <w:rPr>
          <w:rFonts w:hint="eastAsia" w:ascii="宋体" w:hAnsi="宋体"/>
          <w:sz w:val="24"/>
        </w:rPr>
        <w:t>4.12 可投入及拟投入施工机械设备。</w:t>
      </w:r>
    </w:p>
    <w:p w14:paraId="10ACFB09">
      <w:pPr>
        <w:spacing w:line="360" w:lineRule="auto"/>
        <w:rPr>
          <w:rFonts w:hint="eastAsia" w:ascii="宋体" w:hAnsi="宋体"/>
          <w:sz w:val="24"/>
        </w:rPr>
      </w:pPr>
      <w:r>
        <w:rPr>
          <w:rFonts w:ascii="宋体" w:hAnsi="宋体"/>
          <w:sz w:val="24"/>
        </w:rPr>
        <w:t>二、填写须知</w:t>
      </w:r>
    </w:p>
    <w:p w14:paraId="572731EE">
      <w:pPr>
        <w:numPr>
          <w:ilvl w:val="0"/>
          <w:numId w:val="10"/>
        </w:numPr>
        <w:spacing w:line="360" w:lineRule="auto"/>
        <w:rPr>
          <w:rFonts w:hint="eastAsia" w:ascii="宋体" w:hAnsi="宋体"/>
          <w:sz w:val="24"/>
        </w:rPr>
      </w:pPr>
      <w:r>
        <w:rPr>
          <w:rFonts w:ascii="宋体" w:hAnsi="宋体"/>
          <w:sz w:val="24"/>
        </w:rPr>
        <w:t>以上所列资格证明文件未提供格式的，由供应商提供。</w:t>
      </w:r>
    </w:p>
    <w:p w14:paraId="15B35101">
      <w:pPr>
        <w:numPr>
          <w:ilvl w:val="0"/>
          <w:numId w:val="10"/>
        </w:numPr>
        <w:spacing w:line="360" w:lineRule="auto"/>
        <w:rPr>
          <w:rFonts w:hint="eastAsia" w:ascii="宋体" w:hAnsi="宋体"/>
          <w:sz w:val="24"/>
        </w:rPr>
      </w:pPr>
      <w:r>
        <w:rPr>
          <w:rFonts w:ascii="宋体" w:hAnsi="宋体"/>
          <w:sz w:val="24"/>
        </w:rPr>
        <w:t>所附格式中要求填写的全部问题和信息都必须填写。</w:t>
      </w:r>
    </w:p>
    <w:p w14:paraId="1B37492A">
      <w:pPr>
        <w:numPr>
          <w:ilvl w:val="0"/>
          <w:numId w:val="10"/>
        </w:numPr>
        <w:spacing w:line="360" w:lineRule="auto"/>
        <w:rPr>
          <w:rFonts w:hint="eastAsia" w:ascii="宋体" w:hAnsi="宋体"/>
          <w:sz w:val="24"/>
        </w:rPr>
      </w:pPr>
      <w:r>
        <w:rPr>
          <w:rFonts w:ascii="宋体" w:hAnsi="宋体"/>
          <w:sz w:val="24"/>
        </w:rPr>
        <w:t>本资格声明的签字人应保证全部声明和填写的内容是真实的和正确的。</w:t>
      </w:r>
    </w:p>
    <w:p w14:paraId="32FE93C5">
      <w:pPr>
        <w:numPr>
          <w:ilvl w:val="0"/>
          <w:numId w:val="10"/>
        </w:numPr>
        <w:spacing w:line="360" w:lineRule="auto"/>
        <w:rPr>
          <w:rFonts w:hint="eastAsia" w:ascii="宋体" w:hAnsi="宋体"/>
          <w:sz w:val="24"/>
        </w:rPr>
      </w:pPr>
      <w:r>
        <w:rPr>
          <w:rFonts w:ascii="宋体" w:hAnsi="宋体"/>
          <w:sz w:val="24"/>
        </w:rPr>
        <w:t>采购方将应用供应商提交的资料根据自己的判断和考虑决定供应商履行合同的合格性及能力。</w:t>
      </w:r>
    </w:p>
    <w:p w14:paraId="6B77B94A">
      <w:pPr>
        <w:numPr>
          <w:ilvl w:val="0"/>
          <w:numId w:val="10"/>
        </w:numPr>
        <w:spacing w:line="360" w:lineRule="auto"/>
        <w:rPr>
          <w:rFonts w:hint="eastAsia" w:ascii="宋体" w:hAnsi="宋体"/>
          <w:sz w:val="24"/>
        </w:rPr>
      </w:pPr>
      <w:r>
        <w:rPr>
          <w:rFonts w:ascii="宋体" w:hAnsi="宋体"/>
          <w:sz w:val="24"/>
        </w:rPr>
        <w:t>供应商提交的材料将被保密，但不退还。</w:t>
      </w:r>
    </w:p>
    <w:p w14:paraId="6B0C4C15">
      <w:pPr>
        <w:numPr>
          <w:ilvl w:val="0"/>
          <w:numId w:val="10"/>
        </w:numPr>
        <w:spacing w:line="360" w:lineRule="auto"/>
        <w:rPr>
          <w:rFonts w:hint="eastAsia" w:ascii="宋体" w:hAnsi="宋体"/>
          <w:sz w:val="24"/>
        </w:rPr>
      </w:pPr>
      <w:r>
        <w:rPr>
          <w:rFonts w:ascii="宋体" w:hAnsi="宋体"/>
          <w:sz w:val="24"/>
        </w:rPr>
        <w:t>全部文件应按“供应商须知前附表”规定的份数提交。</w:t>
      </w:r>
    </w:p>
    <w:p w14:paraId="244FC5EB">
      <w:pPr>
        <w:ind w:right="480"/>
        <w:rPr>
          <w:rFonts w:hint="eastAsia" w:ascii="宋体" w:hAnsi="宋体"/>
          <w:b/>
          <w:sz w:val="24"/>
        </w:rPr>
        <w:sectPr>
          <w:pgSz w:w="11906" w:h="16838"/>
          <w:pgMar w:top="1440" w:right="1797" w:bottom="1440" w:left="1797" w:header="851" w:footer="992" w:gutter="0"/>
          <w:cols w:space="720" w:num="1"/>
          <w:docGrid w:linePitch="312" w:charSpace="0"/>
        </w:sectPr>
      </w:pPr>
      <w:r>
        <w:rPr>
          <w:rFonts w:hint="eastAsia" w:ascii="宋体" w:hAnsi="宋体"/>
          <w:b/>
          <w:sz w:val="24"/>
        </w:rPr>
        <w:t>★号条款</w:t>
      </w:r>
      <w:r>
        <w:rPr>
          <w:rFonts w:ascii="宋体" w:hAnsi="宋体"/>
          <w:b/>
          <w:sz w:val="24"/>
        </w:rPr>
        <w:t>为必要条件，若未能提供所列的证明文件或提供的资料为虚假或伪造的将导致</w:t>
      </w:r>
      <w:r>
        <w:rPr>
          <w:rFonts w:hint="eastAsia" w:ascii="宋体" w:hAnsi="宋体"/>
          <w:b/>
          <w:sz w:val="24"/>
        </w:rPr>
        <w:t>按无效标处理</w:t>
      </w:r>
      <w:r>
        <w:rPr>
          <w:rFonts w:ascii="宋体" w:hAnsi="宋体"/>
          <w:b/>
          <w:sz w:val="24"/>
        </w:rPr>
        <w:t>。</w:t>
      </w:r>
    </w:p>
    <w:p w14:paraId="29156818">
      <w:pPr>
        <w:pStyle w:val="6"/>
        <w:rPr>
          <w:szCs w:val="24"/>
          <w:u w:val="none"/>
        </w:rPr>
      </w:pPr>
      <w:bookmarkStart w:id="2728" w:name="_Toc518992184"/>
      <w:bookmarkStart w:id="2729" w:name="_Toc130920618"/>
      <w:bookmarkStart w:id="2730" w:name="_Toc142385800"/>
      <w:r>
        <w:rPr>
          <w:rFonts w:hint="eastAsia"/>
          <w:szCs w:val="24"/>
          <w:u w:val="none"/>
        </w:rPr>
        <w:t>★4.1</w:t>
      </w:r>
      <w:r>
        <w:rPr>
          <w:rFonts w:hint="eastAsia" w:cs="宋体"/>
          <w:szCs w:val="24"/>
          <w:u w:val="none"/>
          <w:lang w:val="zh-CN"/>
        </w:rPr>
        <w:t>有效的企业法人营业执照</w:t>
      </w:r>
      <w:r>
        <w:rPr>
          <w:rFonts w:hint="eastAsia" w:hAnsi="宋体"/>
          <w:u w:val="none"/>
        </w:rPr>
        <w:t>及</w:t>
      </w:r>
      <w:r>
        <w:rPr>
          <w:rFonts w:hAnsi="宋体"/>
          <w:u w:val="none"/>
        </w:rPr>
        <w:t>有效的</w:t>
      </w:r>
      <w:r>
        <w:rPr>
          <w:rFonts w:hint="eastAsia" w:hAnsi="宋体"/>
          <w:u w:val="none"/>
        </w:rPr>
        <w:t>资质</w:t>
      </w:r>
      <w:r>
        <w:rPr>
          <w:rFonts w:hAnsi="宋体"/>
          <w:u w:val="none"/>
        </w:rPr>
        <w:t>证书</w:t>
      </w:r>
      <w:r>
        <w:rPr>
          <w:szCs w:val="24"/>
          <w:u w:val="none"/>
        </w:rPr>
        <w:t>（复印件加盖公章）</w:t>
      </w:r>
      <w:bookmarkEnd w:id="2728"/>
      <w:bookmarkEnd w:id="2729"/>
      <w:bookmarkEnd w:id="2730"/>
    </w:p>
    <w:p w14:paraId="354731CB">
      <w:pPr>
        <w:spacing w:line="360" w:lineRule="auto"/>
        <w:rPr>
          <w:rFonts w:hint="eastAsia" w:ascii="宋体" w:hAnsi="宋体"/>
          <w:b/>
          <w:sz w:val="24"/>
        </w:rPr>
      </w:pPr>
    </w:p>
    <w:p w14:paraId="4AFE1BDA">
      <w:pPr>
        <w:spacing w:line="360" w:lineRule="auto"/>
        <w:rPr>
          <w:rFonts w:hint="eastAsia" w:ascii="宋体" w:hAnsi="宋体"/>
          <w:b/>
          <w:sz w:val="24"/>
        </w:rPr>
        <w:sectPr>
          <w:pgSz w:w="11906" w:h="16838"/>
          <w:pgMar w:top="1440" w:right="1797" w:bottom="1440" w:left="1797" w:header="851" w:footer="992" w:gutter="0"/>
          <w:cols w:space="720" w:num="1"/>
          <w:docGrid w:linePitch="312" w:charSpace="0"/>
        </w:sectPr>
      </w:pPr>
      <w:r>
        <w:rPr>
          <w:rFonts w:hint="eastAsia" w:ascii="宋体" w:hAnsi="宋体"/>
          <w:sz w:val="24"/>
        </w:rPr>
        <w:t>说明：</w:t>
      </w:r>
      <w:r>
        <w:rPr>
          <w:rFonts w:ascii="宋体" w:hAnsi="宋体"/>
          <w:sz w:val="24"/>
        </w:rPr>
        <w:t>有效的</w:t>
      </w:r>
      <w:r>
        <w:rPr>
          <w:rFonts w:hint="eastAsia" w:ascii="宋体" w:hAnsi="宋体"/>
          <w:sz w:val="24"/>
        </w:rPr>
        <w:t>资质</w:t>
      </w:r>
      <w:r>
        <w:rPr>
          <w:rFonts w:ascii="宋体" w:hAnsi="宋体"/>
          <w:sz w:val="24"/>
        </w:rPr>
        <w:t>证书</w:t>
      </w:r>
      <w:r>
        <w:rPr>
          <w:rFonts w:hint="eastAsia" w:ascii="宋体" w:hAnsi="宋体"/>
          <w:sz w:val="24"/>
        </w:rPr>
        <w:t>包括：具有建设行政主管部门核发的建筑工程施工总承包三级（含）以上资质和有效的安全生产许可证。拟派项目经理须具备建筑工程专业二级（含）以上注册建造师执业资格，具备有效的安全生产考核合格证书（B本），外地来京建筑企业在办理进京备案时，应当一并办理注册建造师备案手续，已办理备案的外地来京建筑企业注册建造师方可在本市行政区域内开展执业活动。</w:t>
      </w:r>
    </w:p>
    <w:p w14:paraId="567FB4F1">
      <w:pPr>
        <w:pStyle w:val="6"/>
        <w:rPr>
          <w:szCs w:val="24"/>
          <w:u w:val="none"/>
        </w:rPr>
      </w:pPr>
      <w:bookmarkStart w:id="2731" w:name="_Toc518992185"/>
      <w:bookmarkStart w:id="2732" w:name="_Toc130920619"/>
      <w:bookmarkStart w:id="2733" w:name="_Toc142385801"/>
      <w:bookmarkStart w:id="2734" w:name="_Toc518992186"/>
      <w:r>
        <w:rPr>
          <w:rFonts w:hint="eastAsia"/>
          <w:szCs w:val="24"/>
          <w:u w:val="none"/>
        </w:rPr>
        <w:t>★4</w:t>
      </w:r>
      <w:r>
        <w:rPr>
          <w:szCs w:val="24"/>
          <w:u w:val="none"/>
        </w:rPr>
        <w:t>.2</w:t>
      </w:r>
      <w:r>
        <w:rPr>
          <w:rFonts w:hint="eastAsia"/>
          <w:szCs w:val="24"/>
          <w:u w:val="none"/>
        </w:rPr>
        <w:t>依法缴纳税收和</w:t>
      </w:r>
      <w:r>
        <w:rPr>
          <w:szCs w:val="24"/>
          <w:u w:val="none"/>
        </w:rPr>
        <w:t>社会保障资金</w:t>
      </w:r>
      <w:r>
        <w:rPr>
          <w:rFonts w:hint="eastAsia"/>
          <w:szCs w:val="24"/>
          <w:u w:val="none"/>
        </w:rPr>
        <w:t>的良好记录的声明</w:t>
      </w:r>
      <w:bookmarkEnd w:id="2731"/>
      <w:r>
        <w:rPr>
          <w:rFonts w:hint="eastAsia"/>
          <w:szCs w:val="24"/>
          <w:u w:val="none"/>
        </w:rPr>
        <w:t>承诺书</w:t>
      </w:r>
      <w:bookmarkEnd w:id="2732"/>
      <w:bookmarkEnd w:id="2733"/>
    </w:p>
    <w:p w14:paraId="7C4D70AB">
      <w:pPr>
        <w:spacing w:line="360" w:lineRule="auto"/>
        <w:ind w:firstLine="482" w:firstLineChars="200"/>
        <w:jc w:val="center"/>
        <w:rPr>
          <w:rFonts w:hint="eastAsia" w:ascii="宋体" w:hAnsi="宋体"/>
          <w:b/>
          <w:sz w:val="24"/>
        </w:rPr>
      </w:pPr>
    </w:p>
    <w:p w14:paraId="41E83846">
      <w:pPr>
        <w:spacing w:line="360" w:lineRule="auto"/>
        <w:ind w:firstLine="482" w:firstLineChars="200"/>
        <w:jc w:val="center"/>
        <w:rPr>
          <w:rFonts w:hint="eastAsia" w:ascii="宋体" w:hAnsi="宋体"/>
          <w:b/>
          <w:sz w:val="24"/>
        </w:rPr>
      </w:pPr>
    </w:p>
    <w:p w14:paraId="04C39B7E">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本单位成立以来，一直按照国家和地方有关规定，依法缴纳税收及社会保障资金，具有良好记录。</w:t>
      </w:r>
    </w:p>
    <w:p w14:paraId="5F30DDE1">
      <w:pPr>
        <w:autoSpaceDE w:val="0"/>
        <w:autoSpaceDN w:val="0"/>
        <w:adjustRightInd w:val="0"/>
        <w:spacing w:line="360" w:lineRule="auto"/>
        <w:ind w:firstLine="480" w:firstLineChars="200"/>
        <w:rPr>
          <w:rFonts w:hint="eastAsia" w:ascii="宋体" w:hAnsi="宋体"/>
          <w:sz w:val="24"/>
        </w:rPr>
      </w:pPr>
    </w:p>
    <w:p w14:paraId="70BCE7E9">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特此声明。</w:t>
      </w:r>
    </w:p>
    <w:p w14:paraId="1A19DA6C">
      <w:pPr>
        <w:autoSpaceDE w:val="0"/>
        <w:autoSpaceDN w:val="0"/>
        <w:adjustRightInd w:val="0"/>
        <w:spacing w:line="360" w:lineRule="auto"/>
        <w:rPr>
          <w:rFonts w:hint="eastAsia" w:ascii="宋体" w:hAnsi="宋体"/>
          <w:sz w:val="24"/>
        </w:rPr>
      </w:pPr>
    </w:p>
    <w:p w14:paraId="6CDD0F9D">
      <w:pPr>
        <w:autoSpaceDE w:val="0"/>
        <w:autoSpaceDN w:val="0"/>
        <w:adjustRightInd w:val="0"/>
        <w:spacing w:line="360" w:lineRule="auto"/>
        <w:rPr>
          <w:rFonts w:hint="eastAsia" w:ascii="宋体" w:hAnsi="宋体"/>
          <w:sz w:val="24"/>
        </w:rPr>
      </w:pPr>
    </w:p>
    <w:p w14:paraId="77ACE495">
      <w:pPr>
        <w:autoSpaceDE w:val="0"/>
        <w:autoSpaceDN w:val="0"/>
        <w:adjustRightInd w:val="0"/>
        <w:spacing w:line="360" w:lineRule="auto"/>
        <w:rPr>
          <w:rFonts w:hint="eastAsia" w:ascii="宋体" w:hAnsi="宋体"/>
          <w:sz w:val="24"/>
        </w:rPr>
      </w:pPr>
    </w:p>
    <w:p w14:paraId="3ECA0D5C">
      <w:pPr>
        <w:autoSpaceDE w:val="0"/>
        <w:autoSpaceDN w:val="0"/>
        <w:adjustRightInd w:val="0"/>
        <w:spacing w:line="360" w:lineRule="auto"/>
        <w:rPr>
          <w:rFonts w:hint="eastAsia" w:ascii="宋体" w:hAnsi="宋体"/>
          <w:sz w:val="24"/>
        </w:rPr>
      </w:pPr>
    </w:p>
    <w:p w14:paraId="686F452E">
      <w:pPr>
        <w:spacing w:line="360" w:lineRule="auto"/>
        <w:ind w:firstLine="240" w:firstLineChars="100"/>
        <w:rPr>
          <w:rFonts w:hint="eastAsia" w:ascii="宋体" w:hAnsi="宋体"/>
          <w:sz w:val="24"/>
          <w:u w:val="single"/>
        </w:rPr>
      </w:pPr>
      <w:r>
        <w:rPr>
          <w:rFonts w:hint="eastAsia" w:ascii="宋体" w:hAnsi="宋体"/>
          <w:sz w:val="24"/>
        </w:rPr>
        <w:t>供应商名称（公章）：</w:t>
      </w:r>
      <w:r>
        <w:rPr>
          <w:rFonts w:hint="eastAsia" w:ascii="宋体" w:hAnsi="宋体"/>
          <w:sz w:val="24"/>
          <w:u w:val="single"/>
        </w:rPr>
        <w:t xml:space="preserve">                     </w:t>
      </w:r>
    </w:p>
    <w:p w14:paraId="42DD0442">
      <w:pPr>
        <w:spacing w:line="360" w:lineRule="auto"/>
        <w:ind w:firstLine="240" w:firstLineChars="100"/>
        <w:rPr>
          <w:rFonts w:hint="eastAsia" w:ascii="宋体" w:hAnsi="宋体"/>
          <w:sz w:val="24"/>
          <w:u w:val="single"/>
        </w:rPr>
        <w:sectPr>
          <w:pgSz w:w="11906" w:h="16838"/>
          <w:pgMar w:top="1440" w:right="1797" w:bottom="1440" w:left="1797" w:header="851" w:footer="992" w:gutter="0"/>
          <w:cols w:space="720" w:num="1"/>
          <w:docGrid w:linePitch="312" w:charSpace="0"/>
        </w:sectPr>
      </w:pPr>
      <w:r>
        <w:rPr>
          <w:rFonts w:hint="eastAsia" w:ascii="宋体" w:hAnsi="宋体"/>
          <w:sz w:val="24"/>
        </w:rPr>
        <w:t>被授权人签字：</w:t>
      </w:r>
      <w:r>
        <w:rPr>
          <w:rFonts w:hint="eastAsia" w:ascii="宋体" w:hAnsi="宋体"/>
          <w:sz w:val="24"/>
          <w:u w:val="single"/>
        </w:rPr>
        <w:t xml:space="preserve">                          </w:t>
      </w:r>
    </w:p>
    <w:p w14:paraId="04A70E29">
      <w:pPr>
        <w:pStyle w:val="6"/>
        <w:spacing w:line="360" w:lineRule="auto"/>
        <w:rPr>
          <w:rFonts w:hint="eastAsia" w:hAnsi="宋体"/>
          <w:b w:val="0"/>
        </w:rPr>
      </w:pPr>
      <w:bookmarkStart w:id="2735" w:name="_Toc142385802"/>
      <w:bookmarkStart w:id="2736" w:name="_Toc130920620"/>
      <w:r>
        <w:rPr>
          <w:rFonts w:hint="eastAsia"/>
          <w:szCs w:val="24"/>
          <w:u w:val="none"/>
        </w:rPr>
        <w:t>★4.3参加本次采购活动前三年（2021年10月8日至响应文件递交截止之日）内，未被“信用中国”（https://www.creditchina.gov.cn/）网站列入失信被执行人和重大税收违法失信主体、未被“中国政府采购网”（http://www.ccgp.gov.cn）网站列入政府采购严重违法失信行为记录名单（或处罚期限届满的）</w:t>
      </w:r>
      <w:bookmarkEnd w:id="2734"/>
      <w:r>
        <w:rPr>
          <w:rFonts w:hint="eastAsia"/>
          <w:szCs w:val="24"/>
          <w:u w:val="none"/>
        </w:rPr>
        <w:t>的声明；</w:t>
      </w:r>
      <w:bookmarkEnd w:id="2735"/>
      <w:bookmarkEnd w:id="2736"/>
    </w:p>
    <w:p w14:paraId="17D6E276">
      <w:pPr>
        <w:spacing w:line="360" w:lineRule="auto"/>
        <w:rPr>
          <w:rFonts w:hint="eastAsia" w:ascii="宋体" w:hAnsi="宋体"/>
          <w:sz w:val="24"/>
        </w:rPr>
      </w:pPr>
    </w:p>
    <w:p w14:paraId="29BA78C0">
      <w:pPr>
        <w:spacing w:line="360" w:lineRule="auto"/>
        <w:ind w:firstLine="480" w:firstLineChars="200"/>
        <w:rPr>
          <w:rFonts w:hint="eastAsia" w:ascii="宋体" w:hAnsi="宋体"/>
          <w:sz w:val="24"/>
        </w:rPr>
      </w:pPr>
      <w:r>
        <w:rPr>
          <w:rFonts w:hint="eastAsia" w:ascii="宋体" w:hAnsi="宋体"/>
          <w:sz w:val="24"/>
        </w:rPr>
        <w:t>我公司在参加本项目政府采购活动前三年（2021年10月8日至递交响应文件截止日）内，在经营活动中没有重大违法记录（因违法经营受到刑事处罚或者责令停产停业、吊销许可证或者执照、较大数额罚款等行政处罚），未被“信用中国”（https://www.creditchina.gov.cn/）网站列入失信被执行人和重大税收违法失信主体、未被“中国政府采购网（http://www.ccgp.gov.cn）网站列入政府采购严重违法失信行为记录名单（或处罚期限届满的）。</w:t>
      </w:r>
    </w:p>
    <w:p w14:paraId="71B713D8">
      <w:pPr>
        <w:rPr>
          <w:rFonts w:hint="eastAsia" w:ascii="宋体" w:hAnsi="宋体"/>
          <w:sz w:val="24"/>
        </w:rPr>
      </w:pPr>
    </w:p>
    <w:p w14:paraId="17814B38">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特此声明。</w:t>
      </w:r>
    </w:p>
    <w:p w14:paraId="562F5FA9">
      <w:pPr>
        <w:autoSpaceDE w:val="0"/>
        <w:autoSpaceDN w:val="0"/>
        <w:adjustRightInd w:val="0"/>
        <w:spacing w:line="360" w:lineRule="auto"/>
        <w:rPr>
          <w:rFonts w:hint="eastAsia" w:ascii="宋体" w:hAnsi="宋体"/>
          <w:sz w:val="24"/>
        </w:rPr>
      </w:pPr>
    </w:p>
    <w:p w14:paraId="7275B8B3">
      <w:pPr>
        <w:spacing w:line="360" w:lineRule="auto"/>
        <w:rPr>
          <w:rFonts w:hint="eastAsia" w:ascii="宋体" w:hAnsi="宋体"/>
          <w:sz w:val="24"/>
          <w:u w:val="single"/>
        </w:rPr>
      </w:pPr>
      <w:r>
        <w:rPr>
          <w:rFonts w:hint="eastAsia" w:ascii="宋体" w:hAnsi="宋体"/>
          <w:sz w:val="24"/>
        </w:rPr>
        <w:t>供应商名称（公章）：</w:t>
      </w:r>
      <w:r>
        <w:rPr>
          <w:rFonts w:hint="eastAsia" w:ascii="宋体" w:hAnsi="宋体"/>
          <w:sz w:val="24"/>
          <w:u w:val="single"/>
        </w:rPr>
        <w:t xml:space="preserve">                     </w:t>
      </w:r>
    </w:p>
    <w:p w14:paraId="293B90DB">
      <w:pPr>
        <w:spacing w:line="360" w:lineRule="auto"/>
        <w:rPr>
          <w:rFonts w:hint="eastAsia" w:ascii="宋体" w:hAnsi="宋体"/>
          <w:sz w:val="24"/>
          <w:u w:val="single"/>
        </w:rPr>
      </w:pPr>
      <w:r>
        <w:rPr>
          <w:rFonts w:hint="eastAsia" w:ascii="宋体" w:hAnsi="宋体"/>
          <w:sz w:val="24"/>
        </w:rPr>
        <w:t>被授权人签字：</w:t>
      </w:r>
      <w:r>
        <w:rPr>
          <w:rFonts w:hint="eastAsia" w:ascii="宋体" w:hAnsi="宋体"/>
          <w:sz w:val="24"/>
          <w:u w:val="single"/>
        </w:rPr>
        <w:t xml:space="preserve">                        </w:t>
      </w:r>
    </w:p>
    <w:p w14:paraId="6D30F5B3">
      <w:pPr>
        <w:spacing w:line="360" w:lineRule="auto"/>
        <w:rPr>
          <w:rFonts w:hint="eastAsia" w:ascii="宋体" w:hAnsi="宋体"/>
          <w:sz w:val="24"/>
          <w:u w:val="single"/>
        </w:rPr>
      </w:pPr>
    </w:p>
    <w:p w14:paraId="0A4ED38F">
      <w:pPr>
        <w:spacing w:line="360" w:lineRule="auto"/>
        <w:rPr>
          <w:rFonts w:hint="eastAsia" w:ascii="宋体" w:hAnsi="宋体"/>
          <w:sz w:val="24"/>
          <w:u w:val="single"/>
        </w:rPr>
      </w:pPr>
    </w:p>
    <w:p w14:paraId="0D16CE6C">
      <w:pPr>
        <w:spacing w:line="360" w:lineRule="auto"/>
        <w:rPr>
          <w:rFonts w:hint="eastAsia" w:ascii="宋体" w:hAnsi="宋体"/>
          <w:sz w:val="24"/>
        </w:rPr>
      </w:pPr>
      <w:r>
        <w:rPr>
          <w:rFonts w:hint="eastAsia" w:ascii="宋体" w:hAnsi="宋体"/>
          <w:b/>
          <w:sz w:val="24"/>
        </w:rPr>
        <w:t>注：</w:t>
      </w:r>
    </w:p>
    <w:p w14:paraId="3EF9C4EC">
      <w:pPr>
        <w:spacing w:line="360" w:lineRule="auto"/>
        <w:rPr>
          <w:rFonts w:hint="eastAsia" w:ascii="宋体" w:hAnsi="宋体" w:cs="宋体"/>
          <w:kern w:val="0"/>
          <w:sz w:val="24"/>
        </w:rPr>
      </w:pPr>
      <w:r>
        <w:rPr>
          <w:rFonts w:hint="eastAsia" w:ascii="宋体" w:hAnsi="宋体"/>
          <w:sz w:val="24"/>
        </w:rPr>
        <w:t xml:space="preserve">    1、</w:t>
      </w:r>
      <w:r>
        <w:rPr>
          <w:rFonts w:hint="eastAsia" w:ascii="宋体" w:hAnsi="宋体" w:cs="宋体"/>
          <w:kern w:val="0"/>
          <w:sz w:val="24"/>
        </w:rPr>
        <w:t xml:space="preserve">信用信息查询渠道：“信用中国”网站（www.creditchina.gov.cn）和中国政府采购网（www.ccgp.gov.cn）； </w:t>
      </w:r>
    </w:p>
    <w:p w14:paraId="0F047AB6">
      <w:pPr>
        <w:spacing w:line="360" w:lineRule="auto"/>
        <w:ind w:firstLine="480" w:firstLineChars="200"/>
        <w:rPr>
          <w:rFonts w:hint="eastAsia" w:ascii="宋体" w:hAnsi="宋体" w:cs="宋体"/>
          <w:kern w:val="0"/>
          <w:sz w:val="24"/>
        </w:rPr>
      </w:pPr>
      <w:r>
        <w:rPr>
          <w:rFonts w:hint="eastAsia" w:ascii="宋体" w:hAnsi="宋体" w:cs="宋体"/>
          <w:kern w:val="0"/>
          <w:sz w:val="24"/>
        </w:rPr>
        <w:t>2、信用信息查询截止时点：同磋商截止时间（文件提交截止时间），由采购代理机构查询；</w:t>
      </w:r>
    </w:p>
    <w:p w14:paraId="39E45DF3">
      <w:pPr>
        <w:spacing w:line="360" w:lineRule="auto"/>
        <w:ind w:firstLine="480" w:firstLineChars="200"/>
        <w:rPr>
          <w:rFonts w:hint="eastAsia" w:ascii="宋体" w:hAnsi="宋体" w:cs="宋体"/>
          <w:kern w:val="0"/>
          <w:sz w:val="24"/>
        </w:rPr>
      </w:pPr>
      <w:r>
        <w:rPr>
          <w:rFonts w:hint="eastAsia" w:ascii="宋体" w:hAnsi="宋体" w:cs="宋体"/>
          <w:kern w:val="0"/>
          <w:sz w:val="24"/>
        </w:rPr>
        <w:t>3、信用信息查询记录和证据留存的具体方式：网站查询截图打印稿形式与其他采购文件一并保存；</w:t>
      </w:r>
    </w:p>
    <w:p w14:paraId="08F51836">
      <w:pPr>
        <w:spacing w:line="360" w:lineRule="auto"/>
        <w:ind w:firstLine="480" w:firstLineChars="200"/>
        <w:rPr>
          <w:rFonts w:hint="eastAsia" w:ascii="宋体" w:hAnsi="宋体"/>
          <w:sz w:val="24"/>
          <w:u w:val="single"/>
        </w:rPr>
      </w:pPr>
      <w:r>
        <w:rPr>
          <w:rFonts w:hint="eastAsia" w:ascii="宋体" w:hAnsi="宋体" w:cs="宋体"/>
          <w:kern w:val="0"/>
          <w:sz w:val="24"/>
        </w:rPr>
        <w:t>4、信用信息的使用规则：对列入失信被执行人、重大税收违法失信主体、政府采购严重违法失信行为记录名单及其他不符合《中华人民共和国政府采购法》第二十二条规定条件的供应商，将拒绝其投标；其中，列入政府采购严重违法失信行为记录名单的供应商，禁止参加政府采购活动的时间按处罚结果执行，但不受区域限制（根据财库〔2015〕150号《关于规范政府采购行政处罚有关问题的通知》，相关行政处罚决定在全国范围内生效）。</w:t>
      </w:r>
    </w:p>
    <w:p w14:paraId="513BDB91">
      <w:pPr>
        <w:spacing w:line="360" w:lineRule="auto"/>
        <w:rPr>
          <w:rFonts w:hint="eastAsia" w:ascii="宋体" w:hAnsi="宋体"/>
          <w:sz w:val="24"/>
          <w:u w:val="single"/>
        </w:rPr>
        <w:sectPr>
          <w:pgSz w:w="11906" w:h="16838"/>
          <w:pgMar w:top="1440" w:right="1797" w:bottom="1440" w:left="1797" w:header="851" w:footer="992" w:gutter="0"/>
          <w:cols w:space="720" w:num="1"/>
          <w:docGrid w:linePitch="312" w:charSpace="0"/>
        </w:sectPr>
      </w:pPr>
      <w:r>
        <w:rPr>
          <w:rFonts w:hint="eastAsia" w:ascii="宋体" w:hAnsi="宋体"/>
          <w:sz w:val="24"/>
          <w:u w:val="single"/>
        </w:rPr>
        <w:t xml:space="preserve"> </w:t>
      </w:r>
    </w:p>
    <w:p w14:paraId="6902373F">
      <w:pPr>
        <w:pStyle w:val="6"/>
        <w:rPr>
          <w:rFonts w:hint="eastAsia" w:hAnsi="宋体"/>
          <w:b w:val="0"/>
          <w:u w:val="none"/>
        </w:rPr>
      </w:pPr>
      <w:bookmarkStart w:id="2737" w:name="_Toc518992187"/>
      <w:bookmarkStart w:id="2738" w:name="_Toc130920621"/>
      <w:bookmarkStart w:id="2739" w:name="_Toc142385803"/>
      <w:r>
        <w:rPr>
          <w:rFonts w:hint="eastAsia"/>
          <w:szCs w:val="24"/>
          <w:u w:val="none"/>
        </w:rPr>
        <w:t>★4.4</w:t>
      </w:r>
      <w:bookmarkEnd w:id="2737"/>
      <w:r>
        <w:rPr>
          <w:rFonts w:hint="eastAsia"/>
          <w:szCs w:val="24"/>
          <w:u w:val="none"/>
        </w:rPr>
        <w:t xml:space="preserve"> </w:t>
      </w:r>
      <w:r>
        <w:rPr>
          <w:rFonts w:hint="eastAsia" w:hAnsi="宋体"/>
          <w:szCs w:val="24"/>
          <w:u w:val="none"/>
        </w:rPr>
        <w:t>供应商无不良行为记录，企业信誉良好等资信承诺书（格式自拟）</w:t>
      </w:r>
      <w:bookmarkEnd w:id="2738"/>
      <w:bookmarkEnd w:id="2739"/>
    </w:p>
    <w:p w14:paraId="150E4B33">
      <w:pPr>
        <w:spacing w:line="360" w:lineRule="auto"/>
        <w:ind w:right="480"/>
        <w:rPr>
          <w:rFonts w:hint="eastAsia" w:ascii="宋体" w:hAnsi="宋体"/>
          <w:sz w:val="24"/>
        </w:rPr>
      </w:pPr>
    </w:p>
    <w:p w14:paraId="606798CD">
      <w:pPr>
        <w:spacing w:line="360" w:lineRule="auto"/>
        <w:ind w:right="480"/>
        <w:rPr>
          <w:rFonts w:hint="eastAsia" w:ascii="宋体" w:hAnsi="宋体"/>
          <w:sz w:val="24"/>
        </w:rPr>
      </w:pPr>
    </w:p>
    <w:p w14:paraId="015DCFEF">
      <w:pPr>
        <w:spacing w:line="360" w:lineRule="auto"/>
        <w:ind w:right="480"/>
        <w:rPr>
          <w:rFonts w:hint="eastAsia" w:ascii="宋体" w:hAnsi="宋体"/>
          <w:sz w:val="24"/>
        </w:rPr>
      </w:pPr>
    </w:p>
    <w:p w14:paraId="06FEC70A">
      <w:pPr>
        <w:spacing w:line="360" w:lineRule="auto"/>
        <w:ind w:right="480"/>
        <w:rPr>
          <w:rFonts w:hint="eastAsia" w:ascii="宋体" w:hAnsi="宋体"/>
          <w:sz w:val="24"/>
        </w:rPr>
      </w:pPr>
    </w:p>
    <w:p w14:paraId="5DD74D96">
      <w:pPr>
        <w:pStyle w:val="6"/>
        <w:rPr>
          <w:szCs w:val="24"/>
          <w:u w:val="none"/>
        </w:rPr>
        <w:sectPr>
          <w:pgSz w:w="11906" w:h="16838"/>
          <w:pgMar w:top="1440" w:right="1797" w:bottom="1440" w:left="1797" w:header="851" w:footer="992" w:gutter="0"/>
          <w:cols w:space="720" w:num="1"/>
          <w:docGrid w:linePitch="312" w:charSpace="0"/>
        </w:sectPr>
      </w:pPr>
    </w:p>
    <w:p w14:paraId="1A5C39E0">
      <w:pPr>
        <w:pStyle w:val="6"/>
      </w:pPr>
      <w:bookmarkStart w:id="2740" w:name="_Toc142385804"/>
      <w:bookmarkStart w:id="2741" w:name="_Toc518992188"/>
      <w:bookmarkStart w:id="2742" w:name="_Toc130920622"/>
      <w:r>
        <w:rPr>
          <w:rFonts w:hint="eastAsia"/>
          <w:szCs w:val="24"/>
          <w:u w:val="none"/>
        </w:rPr>
        <w:t>★4.</w:t>
      </w:r>
      <w:r>
        <w:rPr>
          <w:szCs w:val="24"/>
          <w:u w:val="none"/>
        </w:rPr>
        <w:t>5</w:t>
      </w:r>
      <w:r>
        <w:rPr>
          <w:rFonts w:hint="eastAsia"/>
          <w:szCs w:val="24"/>
          <w:u w:val="none"/>
        </w:rPr>
        <w:t>供应商基本情况表</w:t>
      </w:r>
      <w:bookmarkEnd w:id="2740"/>
      <w:bookmarkEnd w:id="2741"/>
      <w:bookmarkEnd w:id="2742"/>
    </w:p>
    <w:p w14:paraId="5F24FEF2">
      <w:pPr>
        <w:topLinePunct/>
        <w:spacing w:line="440" w:lineRule="exact"/>
        <w:jc w:val="center"/>
        <w:rPr>
          <w:rFonts w:eastAsia="黑体"/>
          <w:sz w:val="23"/>
          <w:szCs w:val="23"/>
        </w:rPr>
      </w:pPr>
      <w:r>
        <w:rPr>
          <w:rFonts w:hint="eastAsia" w:ascii="宋体" w:hAnsi="宋体"/>
          <w:b/>
          <w:sz w:val="24"/>
        </w:rPr>
        <w:t>供应商基本情况表</w:t>
      </w:r>
    </w:p>
    <w:tbl>
      <w:tblPr>
        <w:tblStyle w:val="8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898"/>
        <w:gridCol w:w="951"/>
        <w:gridCol w:w="840"/>
        <w:gridCol w:w="420"/>
        <w:gridCol w:w="311"/>
        <w:gridCol w:w="1078"/>
        <w:gridCol w:w="287"/>
        <w:gridCol w:w="203"/>
        <w:gridCol w:w="860"/>
        <w:gridCol w:w="992"/>
      </w:tblGrid>
      <w:tr w14:paraId="1C0BB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8" w:type="dxa"/>
            <w:tcBorders>
              <w:top w:val="single" w:color="auto" w:sz="4" w:space="0"/>
              <w:left w:val="single" w:color="auto" w:sz="4" w:space="0"/>
              <w:bottom w:val="single" w:color="auto" w:sz="4" w:space="0"/>
              <w:right w:val="single" w:color="auto" w:sz="4" w:space="0"/>
            </w:tcBorders>
            <w:vAlign w:val="center"/>
          </w:tcPr>
          <w:p w14:paraId="29556913">
            <w:pPr>
              <w:topLinePunct/>
              <w:spacing w:line="440" w:lineRule="exact"/>
              <w:jc w:val="center"/>
              <w:rPr>
                <w:szCs w:val="21"/>
              </w:rPr>
            </w:pPr>
            <w:r>
              <w:rPr>
                <w:szCs w:val="21"/>
              </w:rPr>
              <w:t>供应商名称</w:t>
            </w:r>
          </w:p>
        </w:tc>
        <w:tc>
          <w:tcPr>
            <w:tcW w:w="6840" w:type="dxa"/>
            <w:gridSpan w:val="10"/>
            <w:tcBorders>
              <w:top w:val="single" w:color="auto" w:sz="4" w:space="0"/>
              <w:left w:val="single" w:color="auto" w:sz="4" w:space="0"/>
              <w:bottom w:val="single" w:color="auto" w:sz="4" w:space="0"/>
              <w:right w:val="single" w:color="auto" w:sz="4" w:space="0"/>
            </w:tcBorders>
            <w:vAlign w:val="center"/>
          </w:tcPr>
          <w:p w14:paraId="4CACCB9A">
            <w:pPr>
              <w:topLinePunct/>
              <w:spacing w:line="440" w:lineRule="exact"/>
              <w:jc w:val="center"/>
              <w:rPr>
                <w:szCs w:val="21"/>
              </w:rPr>
            </w:pPr>
          </w:p>
        </w:tc>
      </w:tr>
      <w:tr w14:paraId="3292EC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8" w:type="dxa"/>
            <w:tcBorders>
              <w:top w:val="single" w:color="auto" w:sz="4" w:space="0"/>
              <w:left w:val="single" w:color="auto" w:sz="4" w:space="0"/>
              <w:bottom w:val="single" w:color="auto" w:sz="4" w:space="0"/>
              <w:right w:val="single" w:color="auto" w:sz="4" w:space="0"/>
            </w:tcBorders>
            <w:vAlign w:val="center"/>
          </w:tcPr>
          <w:p w14:paraId="090434C5">
            <w:pPr>
              <w:topLinePunct/>
              <w:spacing w:line="440" w:lineRule="exact"/>
              <w:jc w:val="center"/>
              <w:rPr>
                <w:szCs w:val="21"/>
              </w:rPr>
            </w:pPr>
            <w:r>
              <w:rPr>
                <w:szCs w:val="21"/>
              </w:rPr>
              <w:t>注册地址</w:t>
            </w:r>
          </w:p>
        </w:tc>
        <w:tc>
          <w:tcPr>
            <w:tcW w:w="3420" w:type="dxa"/>
            <w:gridSpan w:val="5"/>
            <w:tcBorders>
              <w:top w:val="single" w:color="auto" w:sz="4" w:space="0"/>
              <w:left w:val="single" w:color="auto" w:sz="4" w:space="0"/>
              <w:bottom w:val="single" w:color="auto" w:sz="4" w:space="0"/>
              <w:right w:val="single" w:color="auto" w:sz="4" w:space="0"/>
            </w:tcBorders>
            <w:vAlign w:val="center"/>
          </w:tcPr>
          <w:p w14:paraId="01692178">
            <w:pPr>
              <w:topLinePunct/>
              <w:spacing w:line="440" w:lineRule="exact"/>
              <w:jc w:val="center"/>
              <w:rPr>
                <w:szCs w:val="21"/>
              </w:rPr>
            </w:pPr>
          </w:p>
        </w:tc>
        <w:tc>
          <w:tcPr>
            <w:tcW w:w="1078" w:type="dxa"/>
            <w:tcBorders>
              <w:top w:val="single" w:color="auto" w:sz="4" w:space="0"/>
              <w:left w:val="single" w:color="auto" w:sz="4" w:space="0"/>
              <w:bottom w:val="single" w:color="auto" w:sz="4" w:space="0"/>
              <w:right w:val="single" w:color="auto" w:sz="4" w:space="0"/>
            </w:tcBorders>
            <w:vAlign w:val="center"/>
          </w:tcPr>
          <w:p w14:paraId="3935990A">
            <w:pPr>
              <w:topLinePunct/>
              <w:spacing w:line="440" w:lineRule="exact"/>
              <w:jc w:val="center"/>
              <w:rPr>
                <w:szCs w:val="21"/>
              </w:rPr>
            </w:pPr>
            <w:r>
              <w:rPr>
                <w:szCs w:val="21"/>
              </w:rPr>
              <w:t>邮政编码</w:t>
            </w:r>
          </w:p>
        </w:tc>
        <w:tc>
          <w:tcPr>
            <w:tcW w:w="2342" w:type="dxa"/>
            <w:gridSpan w:val="4"/>
            <w:tcBorders>
              <w:top w:val="single" w:color="auto" w:sz="4" w:space="0"/>
              <w:left w:val="single" w:color="auto" w:sz="4" w:space="0"/>
              <w:bottom w:val="single" w:color="auto" w:sz="4" w:space="0"/>
              <w:right w:val="single" w:color="auto" w:sz="4" w:space="0"/>
            </w:tcBorders>
            <w:vAlign w:val="center"/>
          </w:tcPr>
          <w:p w14:paraId="583CE10F">
            <w:pPr>
              <w:topLinePunct/>
              <w:spacing w:line="440" w:lineRule="exact"/>
              <w:jc w:val="center"/>
              <w:rPr>
                <w:szCs w:val="21"/>
              </w:rPr>
            </w:pPr>
          </w:p>
        </w:tc>
      </w:tr>
      <w:tr w14:paraId="03BE6C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8" w:type="dxa"/>
            <w:vMerge w:val="restart"/>
            <w:tcBorders>
              <w:top w:val="single" w:color="auto" w:sz="4" w:space="0"/>
              <w:left w:val="single" w:color="auto" w:sz="4" w:space="0"/>
              <w:bottom w:val="single" w:color="auto" w:sz="4" w:space="0"/>
              <w:right w:val="single" w:color="auto" w:sz="4" w:space="0"/>
            </w:tcBorders>
            <w:vAlign w:val="center"/>
          </w:tcPr>
          <w:p w14:paraId="497DE0A9">
            <w:pPr>
              <w:topLinePunct/>
              <w:spacing w:line="440" w:lineRule="exact"/>
              <w:jc w:val="center"/>
              <w:rPr>
                <w:szCs w:val="21"/>
              </w:rPr>
            </w:pPr>
            <w:r>
              <w:rPr>
                <w:szCs w:val="21"/>
              </w:rPr>
              <w:t>联系方式</w:t>
            </w:r>
          </w:p>
        </w:tc>
        <w:tc>
          <w:tcPr>
            <w:tcW w:w="898" w:type="dxa"/>
            <w:tcBorders>
              <w:top w:val="single" w:color="auto" w:sz="4" w:space="0"/>
              <w:left w:val="single" w:color="auto" w:sz="4" w:space="0"/>
              <w:bottom w:val="single" w:color="auto" w:sz="4" w:space="0"/>
              <w:right w:val="single" w:color="auto" w:sz="4" w:space="0"/>
            </w:tcBorders>
            <w:vAlign w:val="center"/>
          </w:tcPr>
          <w:p w14:paraId="7D20A0F0">
            <w:pPr>
              <w:topLinePunct/>
              <w:spacing w:line="440" w:lineRule="exact"/>
              <w:jc w:val="center"/>
              <w:rPr>
                <w:szCs w:val="21"/>
              </w:rPr>
            </w:pPr>
            <w:r>
              <w:rPr>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7CB0674">
            <w:pPr>
              <w:topLinePunct/>
              <w:spacing w:line="440" w:lineRule="exact"/>
              <w:jc w:val="center"/>
              <w:rPr>
                <w:szCs w:val="21"/>
              </w:rPr>
            </w:pPr>
          </w:p>
        </w:tc>
        <w:tc>
          <w:tcPr>
            <w:tcW w:w="1078" w:type="dxa"/>
            <w:tcBorders>
              <w:top w:val="single" w:color="auto" w:sz="4" w:space="0"/>
              <w:left w:val="single" w:color="auto" w:sz="4" w:space="0"/>
              <w:bottom w:val="single" w:color="auto" w:sz="4" w:space="0"/>
              <w:right w:val="single" w:color="auto" w:sz="4" w:space="0"/>
            </w:tcBorders>
            <w:vAlign w:val="center"/>
          </w:tcPr>
          <w:p w14:paraId="72C3864D">
            <w:pPr>
              <w:topLinePunct/>
              <w:spacing w:line="440" w:lineRule="exact"/>
              <w:jc w:val="center"/>
              <w:rPr>
                <w:szCs w:val="21"/>
              </w:rPr>
            </w:pPr>
            <w:r>
              <w:rPr>
                <w:szCs w:val="21"/>
              </w:rPr>
              <w:t>电 话</w:t>
            </w:r>
          </w:p>
        </w:tc>
        <w:tc>
          <w:tcPr>
            <w:tcW w:w="2342" w:type="dxa"/>
            <w:gridSpan w:val="4"/>
            <w:tcBorders>
              <w:top w:val="single" w:color="auto" w:sz="4" w:space="0"/>
              <w:left w:val="single" w:color="auto" w:sz="4" w:space="0"/>
              <w:bottom w:val="single" w:color="auto" w:sz="4" w:space="0"/>
              <w:right w:val="single" w:color="auto" w:sz="4" w:space="0"/>
            </w:tcBorders>
            <w:vAlign w:val="center"/>
          </w:tcPr>
          <w:p w14:paraId="520422F8">
            <w:pPr>
              <w:topLinePunct/>
              <w:spacing w:line="440" w:lineRule="exact"/>
              <w:jc w:val="center"/>
              <w:rPr>
                <w:szCs w:val="21"/>
              </w:rPr>
            </w:pPr>
          </w:p>
        </w:tc>
      </w:tr>
      <w:tr w14:paraId="32CA83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8" w:type="dxa"/>
            <w:vMerge w:val="continue"/>
            <w:tcBorders>
              <w:top w:val="single" w:color="auto" w:sz="4" w:space="0"/>
              <w:left w:val="single" w:color="auto" w:sz="4" w:space="0"/>
              <w:bottom w:val="single" w:color="auto" w:sz="4" w:space="0"/>
              <w:right w:val="single" w:color="auto" w:sz="4" w:space="0"/>
            </w:tcBorders>
            <w:vAlign w:val="center"/>
          </w:tcPr>
          <w:p w14:paraId="3B59D226">
            <w:pPr>
              <w:topLinePunct/>
              <w:spacing w:line="440" w:lineRule="exact"/>
              <w:jc w:val="center"/>
              <w:rPr>
                <w:szCs w:val="21"/>
              </w:rPr>
            </w:pPr>
          </w:p>
        </w:tc>
        <w:tc>
          <w:tcPr>
            <w:tcW w:w="898" w:type="dxa"/>
            <w:tcBorders>
              <w:top w:val="single" w:color="auto" w:sz="4" w:space="0"/>
              <w:left w:val="single" w:color="auto" w:sz="4" w:space="0"/>
              <w:bottom w:val="single" w:color="auto" w:sz="4" w:space="0"/>
              <w:right w:val="single" w:color="auto" w:sz="4" w:space="0"/>
            </w:tcBorders>
            <w:vAlign w:val="center"/>
          </w:tcPr>
          <w:p w14:paraId="7FDFD318">
            <w:pPr>
              <w:topLinePunct/>
              <w:spacing w:line="440" w:lineRule="exact"/>
              <w:jc w:val="center"/>
              <w:rPr>
                <w:szCs w:val="21"/>
              </w:rPr>
            </w:pPr>
            <w:r>
              <w:rPr>
                <w:szCs w:val="21"/>
              </w:rPr>
              <w:t>传  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48B23103">
            <w:pPr>
              <w:topLinePunct/>
              <w:spacing w:line="440" w:lineRule="exact"/>
              <w:jc w:val="center"/>
              <w:rPr>
                <w:szCs w:val="21"/>
              </w:rPr>
            </w:pPr>
          </w:p>
        </w:tc>
        <w:tc>
          <w:tcPr>
            <w:tcW w:w="1078" w:type="dxa"/>
            <w:tcBorders>
              <w:top w:val="single" w:color="auto" w:sz="4" w:space="0"/>
              <w:left w:val="single" w:color="auto" w:sz="4" w:space="0"/>
              <w:bottom w:val="single" w:color="auto" w:sz="4" w:space="0"/>
              <w:right w:val="single" w:color="auto" w:sz="4" w:space="0"/>
            </w:tcBorders>
            <w:vAlign w:val="center"/>
          </w:tcPr>
          <w:p w14:paraId="770F0C24">
            <w:pPr>
              <w:topLinePunct/>
              <w:spacing w:line="440" w:lineRule="exact"/>
              <w:jc w:val="center"/>
              <w:rPr>
                <w:szCs w:val="21"/>
              </w:rPr>
            </w:pPr>
            <w:r>
              <w:rPr>
                <w:szCs w:val="21"/>
              </w:rPr>
              <w:t>网 址</w:t>
            </w:r>
          </w:p>
        </w:tc>
        <w:tc>
          <w:tcPr>
            <w:tcW w:w="2342" w:type="dxa"/>
            <w:gridSpan w:val="4"/>
            <w:tcBorders>
              <w:top w:val="single" w:color="auto" w:sz="4" w:space="0"/>
              <w:left w:val="single" w:color="auto" w:sz="4" w:space="0"/>
              <w:bottom w:val="single" w:color="auto" w:sz="4" w:space="0"/>
              <w:right w:val="single" w:color="auto" w:sz="4" w:space="0"/>
            </w:tcBorders>
            <w:vAlign w:val="center"/>
          </w:tcPr>
          <w:p w14:paraId="1751A8EE">
            <w:pPr>
              <w:topLinePunct/>
              <w:spacing w:line="440" w:lineRule="exact"/>
              <w:jc w:val="center"/>
              <w:rPr>
                <w:szCs w:val="21"/>
              </w:rPr>
            </w:pPr>
          </w:p>
        </w:tc>
      </w:tr>
      <w:tr w14:paraId="383E47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8" w:type="dxa"/>
            <w:tcBorders>
              <w:top w:val="single" w:color="auto" w:sz="4" w:space="0"/>
              <w:left w:val="single" w:color="auto" w:sz="4" w:space="0"/>
              <w:bottom w:val="single" w:color="auto" w:sz="4" w:space="0"/>
              <w:right w:val="single" w:color="auto" w:sz="4" w:space="0"/>
            </w:tcBorders>
            <w:vAlign w:val="center"/>
          </w:tcPr>
          <w:p w14:paraId="1E10C7AF">
            <w:pPr>
              <w:topLinePunct/>
              <w:spacing w:line="440" w:lineRule="exact"/>
              <w:jc w:val="center"/>
              <w:rPr>
                <w:szCs w:val="21"/>
              </w:rPr>
            </w:pPr>
            <w:r>
              <w:rPr>
                <w:szCs w:val="21"/>
              </w:rPr>
              <w:t>组织结构</w:t>
            </w:r>
          </w:p>
        </w:tc>
        <w:tc>
          <w:tcPr>
            <w:tcW w:w="6840" w:type="dxa"/>
            <w:gridSpan w:val="10"/>
            <w:tcBorders>
              <w:top w:val="single" w:color="auto" w:sz="4" w:space="0"/>
              <w:left w:val="single" w:color="auto" w:sz="4" w:space="0"/>
              <w:bottom w:val="single" w:color="auto" w:sz="4" w:space="0"/>
              <w:right w:val="single" w:color="auto" w:sz="4" w:space="0"/>
            </w:tcBorders>
            <w:vAlign w:val="center"/>
          </w:tcPr>
          <w:p w14:paraId="04C943E4">
            <w:pPr>
              <w:topLinePunct/>
              <w:spacing w:line="440" w:lineRule="exact"/>
              <w:jc w:val="center"/>
              <w:rPr>
                <w:szCs w:val="21"/>
              </w:rPr>
            </w:pPr>
          </w:p>
        </w:tc>
      </w:tr>
      <w:tr w14:paraId="7D3E75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8" w:type="dxa"/>
            <w:tcBorders>
              <w:top w:val="single" w:color="auto" w:sz="4" w:space="0"/>
              <w:left w:val="single" w:color="auto" w:sz="4" w:space="0"/>
              <w:bottom w:val="single" w:color="auto" w:sz="4" w:space="0"/>
              <w:right w:val="single" w:color="auto" w:sz="4" w:space="0"/>
            </w:tcBorders>
            <w:vAlign w:val="center"/>
          </w:tcPr>
          <w:p w14:paraId="485B82CE">
            <w:pPr>
              <w:topLinePunct/>
              <w:spacing w:line="440" w:lineRule="exact"/>
              <w:jc w:val="center"/>
              <w:rPr>
                <w:szCs w:val="21"/>
              </w:rPr>
            </w:pPr>
            <w:r>
              <w:rPr>
                <w:szCs w:val="21"/>
              </w:rPr>
              <w:t>法定代表人</w:t>
            </w:r>
          </w:p>
        </w:tc>
        <w:tc>
          <w:tcPr>
            <w:tcW w:w="898" w:type="dxa"/>
            <w:tcBorders>
              <w:top w:val="single" w:color="auto" w:sz="4" w:space="0"/>
              <w:left w:val="single" w:color="auto" w:sz="4" w:space="0"/>
              <w:bottom w:val="single" w:color="auto" w:sz="4" w:space="0"/>
              <w:right w:val="single" w:color="auto" w:sz="4" w:space="0"/>
            </w:tcBorders>
            <w:vAlign w:val="center"/>
          </w:tcPr>
          <w:p w14:paraId="79B5FBE3">
            <w:pPr>
              <w:topLinePunct/>
              <w:spacing w:line="440" w:lineRule="exact"/>
              <w:jc w:val="center"/>
              <w:rPr>
                <w:szCs w:val="21"/>
              </w:rPr>
            </w:pPr>
            <w:r>
              <w:rPr>
                <w:szCs w:val="21"/>
              </w:rPr>
              <w:t>姓名</w:t>
            </w:r>
          </w:p>
        </w:tc>
        <w:tc>
          <w:tcPr>
            <w:tcW w:w="951" w:type="dxa"/>
            <w:tcBorders>
              <w:top w:val="single" w:color="auto" w:sz="4" w:space="0"/>
              <w:left w:val="single" w:color="auto" w:sz="4" w:space="0"/>
              <w:bottom w:val="single" w:color="auto" w:sz="4" w:space="0"/>
              <w:right w:val="single" w:color="auto" w:sz="4" w:space="0"/>
            </w:tcBorders>
            <w:vAlign w:val="center"/>
          </w:tcPr>
          <w:p w14:paraId="558D389D">
            <w:pPr>
              <w:topLinePunct/>
              <w:spacing w:line="440" w:lineRule="exact"/>
              <w:jc w:val="center"/>
              <w:rPr>
                <w:szCs w:val="21"/>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14:paraId="25C1B056">
            <w:pPr>
              <w:topLinePunct/>
              <w:spacing w:line="440" w:lineRule="exact"/>
              <w:jc w:val="center"/>
              <w:rPr>
                <w:szCs w:val="21"/>
              </w:rPr>
            </w:pPr>
            <w:r>
              <w:rPr>
                <w:szCs w:val="21"/>
              </w:rPr>
              <w:t>技术职称</w:t>
            </w:r>
          </w:p>
        </w:tc>
        <w:tc>
          <w:tcPr>
            <w:tcW w:w="1676" w:type="dxa"/>
            <w:gridSpan w:val="3"/>
            <w:tcBorders>
              <w:top w:val="single" w:color="auto" w:sz="4" w:space="0"/>
              <w:left w:val="single" w:color="auto" w:sz="4" w:space="0"/>
              <w:bottom w:val="single" w:color="auto" w:sz="4" w:space="0"/>
              <w:right w:val="single" w:color="auto" w:sz="4" w:space="0"/>
            </w:tcBorders>
            <w:vAlign w:val="center"/>
          </w:tcPr>
          <w:p w14:paraId="129689CB">
            <w:pPr>
              <w:topLinePunct/>
              <w:spacing w:line="440" w:lineRule="exact"/>
              <w:jc w:val="center"/>
              <w:rPr>
                <w:szCs w:val="21"/>
              </w:rPr>
            </w:pPr>
          </w:p>
        </w:tc>
        <w:tc>
          <w:tcPr>
            <w:tcW w:w="1063" w:type="dxa"/>
            <w:gridSpan w:val="2"/>
            <w:tcBorders>
              <w:top w:val="single" w:color="auto" w:sz="4" w:space="0"/>
              <w:left w:val="single" w:color="auto" w:sz="4" w:space="0"/>
              <w:bottom w:val="single" w:color="auto" w:sz="4" w:space="0"/>
              <w:right w:val="single" w:color="auto" w:sz="4" w:space="0"/>
            </w:tcBorders>
            <w:vAlign w:val="center"/>
          </w:tcPr>
          <w:p w14:paraId="3430ED37">
            <w:pPr>
              <w:topLinePunct/>
              <w:spacing w:line="440" w:lineRule="exact"/>
              <w:jc w:val="center"/>
              <w:rPr>
                <w:szCs w:val="21"/>
              </w:rPr>
            </w:pPr>
            <w:r>
              <w:rPr>
                <w:szCs w:val="21"/>
              </w:rPr>
              <w:t>电话</w:t>
            </w:r>
          </w:p>
        </w:tc>
        <w:tc>
          <w:tcPr>
            <w:tcW w:w="992" w:type="dxa"/>
            <w:tcBorders>
              <w:top w:val="single" w:color="auto" w:sz="4" w:space="0"/>
              <w:left w:val="single" w:color="auto" w:sz="4" w:space="0"/>
              <w:bottom w:val="single" w:color="auto" w:sz="4" w:space="0"/>
              <w:right w:val="single" w:color="auto" w:sz="4" w:space="0"/>
            </w:tcBorders>
            <w:vAlign w:val="center"/>
          </w:tcPr>
          <w:p w14:paraId="540920DC">
            <w:pPr>
              <w:topLinePunct/>
              <w:spacing w:line="440" w:lineRule="exact"/>
              <w:jc w:val="center"/>
              <w:rPr>
                <w:szCs w:val="21"/>
              </w:rPr>
            </w:pPr>
          </w:p>
        </w:tc>
      </w:tr>
      <w:tr w14:paraId="5B7E68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8" w:type="dxa"/>
            <w:tcBorders>
              <w:top w:val="single" w:color="auto" w:sz="4" w:space="0"/>
              <w:left w:val="single" w:color="auto" w:sz="4" w:space="0"/>
              <w:bottom w:val="single" w:color="auto" w:sz="4" w:space="0"/>
              <w:right w:val="single" w:color="auto" w:sz="4" w:space="0"/>
            </w:tcBorders>
            <w:vAlign w:val="center"/>
          </w:tcPr>
          <w:p w14:paraId="602ED10B">
            <w:pPr>
              <w:topLinePunct/>
              <w:spacing w:line="440" w:lineRule="exact"/>
              <w:jc w:val="center"/>
              <w:rPr>
                <w:szCs w:val="21"/>
              </w:rPr>
            </w:pPr>
            <w:r>
              <w:rPr>
                <w:szCs w:val="21"/>
              </w:rPr>
              <w:t>技术负责人</w:t>
            </w:r>
          </w:p>
        </w:tc>
        <w:tc>
          <w:tcPr>
            <w:tcW w:w="898" w:type="dxa"/>
            <w:tcBorders>
              <w:top w:val="single" w:color="auto" w:sz="4" w:space="0"/>
              <w:left w:val="single" w:color="auto" w:sz="4" w:space="0"/>
              <w:bottom w:val="single" w:color="auto" w:sz="4" w:space="0"/>
              <w:right w:val="single" w:color="auto" w:sz="4" w:space="0"/>
            </w:tcBorders>
            <w:vAlign w:val="center"/>
          </w:tcPr>
          <w:p w14:paraId="7F168482">
            <w:pPr>
              <w:topLinePunct/>
              <w:spacing w:line="440" w:lineRule="exact"/>
              <w:jc w:val="center"/>
              <w:rPr>
                <w:szCs w:val="21"/>
              </w:rPr>
            </w:pPr>
            <w:r>
              <w:rPr>
                <w:szCs w:val="21"/>
              </w:rPr>
              <w:t>姓名</w:t>
            </w:r>
          </w:p>
        </w:tc>
        <w:tc>
          <w:tcPr>
            <w:tcW w:w="951" w:type="dxa"/>
            <w:tcBorders>
              <w:top w:val="single" w:color="auto" w:sz="4" w:space="0"/>
              <w:left w:val="single" w:color="auto" w:sz="4" w:space="0"/>
              <w:bottom w:val="single" w:color="auto" w:sz="4" w:space="0"/>
              <w:right w:val="single" w:color="auto" w:sz="4" w:space="0"/>
            </w:tcBorders>
            <w:vAlign w:val="center"/>
          </w:tcPr>
          <w:p w14:paraId="1DE6768D">
            <w:pPr>
              <w:topLinePunct/>
              <w:spacing w:line="440" w:lineRule="exact"/>
              <w:jc w:val="center"/>
              <w:rPr>
                <w:szCs w:val="21"/>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14:paraId="2D5EB480">
            <w:pPr>
              <w:topLinePunct/>
              <w:spacing w:line="440" w:lineRule="exact"/>
              <w:jc w:val="center"/>
              <w:rPr>
                <w:szCs w:val="21"/>
              </w:rPr>
            </w:pPr>
            <w:r>
              <w:rPr>
                <w:szCs w:val="21"/>
              </w:rPr>
              <w:t>技术职称</w:t>
            </w:r>
          </w:p>
        </w:tc>
        <w:tc>
          <w:tcPr>
            <w:tcW w:w="1676" w:type="dxa"/>
            <w:gridSpan w:val="3"/>
            <w:tcBorders>
              <w:top w:val="single" w:color="auto" w:sz="4" w:space="0"/>
              <w:left w:val="single" w:color="auto" w:sz="4" w:space="0"/>
              <w:bottom w:val="single" w:color="auto" w:sz="4" w:space="0"/>
              <w:right w:val="single" w:color="auto" w:sz="4" w:space="0"/>
            </w:tcBorders>
            <w:vAlign w:val="center"/>
          </w:tcPr>
          <w:p w14:paraId="253F4B99">
            <w:pPr>
              <w:topLinePunct/>
              <w:spacing w:line="440" w:lineRule="exact"/>
              <w:jc w:val="center"/>
              <w:rPr>
                <w:szCs w:val="21"/>
              </w:rPr>
            </w:pPr>
          </w:p>
        </w:tc>
        <w:tc>
          <w:tcPr>
            <w:tcW w:w="1063" w:type="dxa"/>
            <w:gridSpan w:val="2"/>
            <w:tcBorders>
              <w:top w:val="single" w:color="auto" w:sz="4" w:space="0"/>
              <w:left w:val="single" w:color="auto" w:sz="4" w:space="0"/>
              <w:bottom w:val="single" w:color="auto" w:sz="4" w:space="0"/>
              <w:right w:val="single" w:color="auto" w:sz="4" w:space="0"/>
            </w:tcBorders>
            <w:vAlign w:val="center"/>
          </w:tcPr>
          <w:p w14:paraId="0843EFCC">
            <w:pPr>
              <w:topLinePunct/>
              <w:spacing w:line="440" w:lineRule="exact"/>
              <w:jc w:val="center"/>
              <w:rPr>
                <w:szCs w:val="21"/>
              </w:rPr>
            </w:pPr>
            <w:r>
              <w:rPr>
                <w:szCs w:val="21"/>
              </w:rPr>
              <w:t>电话</w:t>
            </w:r>
          </w:p>
        </w:tc>
        <w:tc>
          <w:tcPr>
            <w:tcW w:w="992" w:type="dxa"/>
            <w:tcBorders>
              <w:top w:val="single" w:color="auto" w:sz="4" w:space="0"/>
              <w:left w:val="single" w:color="auto" w:sz="4" w:space="0"/>
              <w:bottom w:val="single" w:color="auto" w:sz="4" w:space="0"/>
              <w:right w:val="single" w:color="auto" w:sz="4" w:space="0"/>
            </w:tcBorders>
            <w:vAlign w:val="center"/>
          </w:tcPr>
          <w:p w14:paraId="315315F7">
            <w:pPr>
              <w:topLinePunct/>
              <w:spacing w:line="440" w:lineRule="exact"/>
              <w:jc w:val="center"/>
              <w:rPr>
                <w:szCs w:val="21"/>
              </w:rPr>
            </w:pPr>
          </w:p>
        </w:tc>
      </w:tr>
      <w:tr w14:paraId="7350BA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8" w:type="dxa"/>
            <w:tcBorders>
              <w:top w:val="single" w:color="auto" w:sz="4" w:space="0"/>
              <w:left w:val="single" w:color="auto" w:sz="4" w:space="0"/>
              <w:bottom w:val="single" w:color="auto" w:sz="4" w:space="0"/>
              <w:right w:val="single" w:color="auto" w:sz="4" w:space="0"/>
            </w:tcBorders>
            <w:vAlign w:val="center"/>
          </w:tcPr>
          <w:p w14:paraId="1B831E7A">
            <w:pPr>
              <w:topLinePunct/>
              <w:spacing w:line="440" w:lineRule="exact"/>
              <w:jc w:val="center"/>
              <w:rPr>
                <w:szCs w:val="21"/>
              </w:rPr>
            </w:pPr>
            <w:r>
              <w:rPr>
                <w:szCs w:val="21"/>
              </w:rPr>
              <w:t>成立时间</w:t>
            </w:r>
          </w:p>
        </w:tc>
        <w:tc>
          <w:tcPr>
            <w:tcW w:w="1849" w:type="dxa"/>
            <w:gridSpan w:val="2"/>
            <w:tcBorders>
              <w:top w:val="single" w:color="auto" w:sz="4" w:space="0"/>
              <w:left w:val="single" w:color="auto" w:sz="4" w:space="0"/>
              <w:bottom w:val="single" w:color="auto" w:sz="4" w:space="0"/>
              <w:right w:val="single" w:color="auto" w:sz="4" w:space="0"/>
            </w:tcBorders>
            <w:vAlign w:val="center"/>
          </w:tcPr>
          <w:p w14:paraId="1034EF70">
            <w:pPr>
              <w:topLinePunct/>
              <w:spacing w:line="440" w:lineRule="exact"/>
              <w:jc w:val="center"/>
              <w:rPr>
                <w:szCs w:val="21"/>
              </w:rPr>
            </w:pPr>
          </w:p>
        </w:tc>
        <w:tc>
          <w:tcPr>
            <w:tcW w:w="4991" w:type="dxa"/>
            <w:gridSpan w:val="8"/>
            <w:tcBorders>
              <w:top w:val="single" w:color="auto" w:sz="4" w:space="0"/>
              <w:left w:val="single" w:color="auto" w:sz="4" w:space="0"/>
              <w:bottom w:val="single" w:color="auto" w:sz="4" w:space="0"/>
              <w:right w:val="single" w:color="auto" w:sz="4" w:space="0"/>
            </w:tcBorders>
            <w:vAlign w:val="center"/>
          </w:tcPr>
          <w:p w14:paraId="59D2493E">
            <w:pPr>
              <w:topLinePunct/>
              <w:spacing w:line="440" w:lineRule="exact"/>
              <w:ind w:firstLine="105" w:firstLineChars="50"/>
              <w:jc w:val="center"/>
              <w:rPr>
                <w:szCs w:val="21"/>
              </w:rPr>
            </w:pPr>
            <w:r>
              <w:rPr>
                <w:szCs w:val="21"/>
              </w:rPr>
              <w:t>员工总人数：</w:t>
            </w:r>
          </w:p>
        </w:tc>
      </w:tr>
      <w:tr w14:paraId="545C03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8" w:type="dxa"/>
            <w:tcBorders>
              <w:top w:val="single" w:color="auto" w:sz="4" w:space="0"/>
              <w:left w:val="single" w:color="auto" w:sz="4" w:space="0"/>
              <w:bottom w:val="single" w:color="auto" w:sz="4" w:space="0"/>
              <w:right w:val="single" w:color="auto" w:sz="4" w:space="0"/>
            </w:tcBorders>
            <w:vAlign w:val="center"/>
          </w:tcPr>
          <w:p w14:paraId="7B02097C">
            <w:pPr>
              <w:topLinePunct/>
              <w:spacing w:line="440" w:lineRule="exact"/>
              <w:jc w:val="center"/>
              <w:rPr>
                <w:szCs w:val="21"/>
              </w:rPr>
            </w:pPr>
            <w:r>
              <w:rPr>
                <w:szCs w:val="21"/>
              </w:rPr>
              <w:t>企业资质等级</w:t>
            </w:r>
          </w:p>
        </w:tc>
        <w:tc>
          <w:tcPr>
            <w:tcW w:w="1849" w:type="dxa"/>
            <w:gridSpan w:val="2"/>
            <w:tcBorders>
              <w:top w:val="single" w:color="auto" w:sz="4" w:space="0"/>
              <w:left w:val="single" w:color="auto" w:sz="4" w:space="0"/>
              <w:bottom w:val="single" w:color="auto" w:sz="4" w:space="0"/>
              <w:right w:val="single" w:color="auto" w:sz="4" w:space="0"/>
            </w:tcBorders>
            <w:vAlign w:val="center"/>
          </w:tcPr>
          <w:p w14:paraId="1832D78E">
            <w:pPr>
              <w:topLinePunct/>
              <w:spacing w:line="440" w:lineRule="exact"/>
              <w:jc w:val="center"/>
              <w:rPr>
                <w:szCs w:val="21"/>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14:paraId="71841FA6">
            <w:pPr>
              <w:topLinePunct/>
              <w:spacing w:line="440" w:lineRule="exact"/>
              <w:jc w:val="center"/>
              <w:rPr>
                <w:szCs w:val="21"/>
              </w:rPr>
            </w:pPr>
            <w:r>
              <w:rPr>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4BF24EE">
            <w:pPr>
              <w:topLinePunct/>
              <w:spacing w:line="440" w:lineRule="exact"/>
              <w:jc w:val="center"/>
              <w:rPr>
                <w:szCs w:val="21"/>
              </w:rPr>
            </w:pPr>
            <w:r>
              <w:rPr>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3F8A197">
            <w:pPr>
              <w:topLinePunct/>
              <w:spacing w:line="440" w:lineRule="exact"/>
              <w:jc w:val="center"/>
              <w:rPr>
                <w:szCs w:val="21"/>
              </w:rPr>
            </w:pPr>
          </w:p>
        </w:tc>
      </w:tr>
      <w:tr w14:paraId="1680F1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8" w:type="dxa"/>
            <w:tcBorders>
              <w:top w:val="single" w:color="auto" w:sz="4" w:space="0"/>
              <w:left w:val="single" w:color="auto" w:sz="4" w:space="0"/>
              <w:bottom w:val="single" w:color="auto" w:sz="4" w:space="0"/>
              <w:right w:val="single" w:color="auto" w:sz="4" w:space="0"/>
            </w:tcBorders>
            <w:vAlign w:val="center"/>
          </w:tcPr>
          <w:p w14:paraId="690624A4">
            <w:pPr>
              <w:topLinePunct/>
              <w:spacing w:line="440" w:lineRule="exact"/>
              <w:jc w:val="center"/>
              <w:rPr>
                <w:szCs w:val="21"/>
              </w:rPr>
            </w:pPr>
            <w:r>
              <w:rPr>
                <w:szCs w:val="21"/>
              </w:rPr>
              <w:t>营业执照号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14:paraId="2BB8A024">
            <w:pPr>
              <w:topLinePunct/>
              <w:spacing w:line="440" w:lineRule="exact"/>
              <w:jc w:val="center"/>
              <w:rPr>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14:paraId="64E44284">
            <w:pPr>
              <w:topLinePunct/>
              <w:spacing w:line="440" w:lineRule="exact"/>
              <w:jc w:val="center"/>
              <w:rPr>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3D8C00F">
            <w:pPr>
              <w:topLinePunct/>
              <w:spacing w:line="440" w:lineRule="exact"/>
              <w:jc w:val="center"/>
              <w:rPr>
                <w:szCs w:val="21"/>
              </w:rPr>
            </w:pPr>
            <w:r>
              <w:rPr>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D4CCDD3">
            <w:pPr>
              <w:topLinePunct/>
              <w:spacing w:line="440" w:lineRule="exact"/>
              <w:jc w:val="center"/>
              <w:rPr>
                <w:szCs w:val="21"/>
              </w:rPr>
            </w:pPr>
          </w:p>
        </w:tc>
      </w:tr>
      <w:tr w14:paraId="7C8317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8" w:type="dxa"/>
            <w:tcBorders>
              <w:top w:val="single" w:color="auto" w:sz="4" w:space="0"/>
              <w:left w:val="single" w:color="auto" w:sz="4" w:space="0"/>
              <w:bottom w:val="single" w:color="auto" w:sz="4" w:space="0"/>
              <w:right w:val="single" w:color="auto" w:sz="4" w:space="0"/>
            </w:tcBorders>
            <w:vAlign w:val="center"/>
          </w:tcPr>
          <w:p w14:paraId="6BB780B4">
            <w:pPr>
              <w:topLinePunct/>
              <w:spacing w:line="440" w:lineRule="exact"/>
              <w:jc w:val="center"/>
              <w:rPr>
                <w:szCs w:val="21"/>
              </w:rPr>
            </w:pPr>
            <w:r>
              <w:rPr>
                <w:szCs w:val="21"/>
              </w:rPr>
              <w:t>注册资金</w:t>
            </w:r>
          </w:p>
        </w:tc>
        <w:tc>
          <w:tcPr>
            <w:tcW w:w="1849" w:type="dxa"/>
            <w:gridSpan w:val="2"/>
            <w:tcBorders>
              <w:top w:val="single" w:color="auto" w:sz="4" w:space="0"/>
              <w:left w:val="single" w:color="auto" w:sz="4" w:space="0"/>
              <w:bottom w:val="single" w:color="auto" w:sz="4" w:space="0"/>
              <w:right w:val="single" w:color="auto" w:sz="4" w:space="0"/>
            </w:tcBorders>
            <w:vAlign w:val="center"/>
          </w:tcPr>
          <w:p w14:paraId="79D15B05">
            <w:pPr>
              <w:topLinePunct/>
              <w:spacing w:line="440" w:lineRule="exact"/>
              <w:jc w:val="center"/>
              <w:rPr>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14:paraId="6F9DC2BA">
            <w:pPr>
              <w:topLinePunct/>
              <w:spacing w:line="440" w:lineRule="exact"/>
              <w:jc w:val="center"/>
              <w:rPr>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24459C7">
            <w:pPr>
              <w:topLinePunct/>
              <w:spacing w:line="440" w:lineRule="exact"/>
              <w:jc w:val="center"/>
              <w:rPr>
                <w:szCs w:val="21"/>
              </w:rPr>
            </w:pPr>
            <w:r>
              <w:rPr>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334D2AD">
            <w:pPr>
              <w:topLinePunct/>
              <w:spacing w:line="440" w:lineRule="exact"/>
              <w:jc w:val="center"/>
              <w:rPr>
                <w:szCs w:val="21"/>
              </w:rPr>
            </w:pPr>
          </w:p>
        </w:tc>
      </w:tr>
      <w:tr w14:paraId="184CCE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8" w:type="dxa"/>
            <w:tcBorders>
              <w:top w:val="single" w:color="auto" w:sz="4" w:space="0"/>
              <w:left w:val="single" w:color="auto" w:sz="4" w:space="0"/>
              <w:bottom w:val="single" w:color="auto" w:sz="4" w:space="0"/>
              <w:right w:val="single" w:color="auto" w:sz="4" w:space="0"/>
            </w:tcBorders>
            <w:vAlign w:val="center"/>
          </w:tcPr>
          <w:p w14:paraId="4C1E165C">
            <w:pPr>
              <w:topLinePunct/>
              <w:spacing w:line="440" w:lineRule="exact"/>
              <w:jc w:val="center"/>
              <w:rPr>
                <w:szCs w:val="21"/>
              </w:rPr>
            </w:pPr>
            <w:r>
              <w:rPr>
                <w:szCs w:val="21"/>
              </w:rPr>
              <w:t>开户银行</w:t>
            </w:r>
          </w:p>
        </w:tc>
        <w:tc>
          <w:tcPr>
            <w:tcW w:w="1849" w:type="dxa"/>
            <w:gridSpan w:val="2"/>
            <w:tcBorders>
              <w:top w:val="single" w:color="auto" w:sz="4" w:space="0"/>
              <w:left w:val="single" w:color="auto" w:sz="4" w:space="0"/>
              <w:bottom w:val="single" w:color="auto" w:sz="4" w:space="0"/>
              <w:right w:val="single" w:color="auto" w:sz="4" w:space="0"/>
            </w:tcBorders>
            <w:vAlign w:val="center"/>
          </w:tcPr>
          <w:p w14:paraId="394C93A0">
            <w:pPr>
              <w:topLinePunct/>
              <w:spacing w:line="440" w:lineRule="exact"/>
              <w:jc w:val="center"/>
              <w:rPr>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14:paraId="49C8308C">
            <w:pPr>
              <w:topLinePunct/>
              <w:spacing w:line="440" w:lineRule="exact"/>
              <w:jc w:val="center"/>
              <w:rPr>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FFB5962">
            <w:pPr>
              <w:topLinePunct/>
              <w:spacing w:line="440" w:lineRule="exact"/>
              <w:jc w:val="center"/>
              <w:rPr>
                <w:szCs w:val="21"/>
              </w:rPr>
            </w:pPr>
            <w:r>
              <w:rPr>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8A0B502">
            <w:pPr>
              <w:topLinePunct/>
              <w:spacing w:line="440" w:lineRule="exact"/>
              <w:jc w:val="center"/>
              <w:rPr>
                <w:szCs w:val="21"/>
              </w:rPr>
            </w:pPr>
          </w:p>
        </w:tc>
      </w:tr>
      <w:tr w14:paraId="606AC1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8" w:type="dxa"/>
            <w:tcBorders>
              <w:top w:val="single" w:color="auto" w:sz="4" w:space="0"/>
              <w:left w:val="single" w:color="auto" w:sz="4" w:space="0"/>
              <w:bottom w:val="single" w:color="auto" w:sz="4" w:space="0"/>
              <w:right w:val="single" w:color="auto" w:sz="4" w:space="0"/>
            </w:tcBorders>
            <w:vAlign w:val="center"/>
          </w:tcPr>
          <w:p w14:paraId="5590E30F">
            <w:pPr>
              <w:topLinePunct/>
              <w:spacing w:line="440" w:lineRule="exact"/>
              <w:jc w:val="center"/>
              <w:rPr>
                <w:szCs w:val="21"/>
              </w:rPr>
            </w:pPr>
            <w:r>
              <w:rPr>
                <w:szCs w:val="21"/>
              </w:rPr>
              <w:t>账</w:t>
            </w:r>
            <w:r>
              <w:rPr>
                <w:rFonts w:hint="eastAsia"/>
                <w:szCs w:val="21"/>
              </w:rPr>
              <w:t xml:space="preserve">    </w:t>
            </w:r>
            <w:r>
              <w:rPr>
                <w:szCs w:val="21"/>
              </w:rPr>
              <w:t>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14:paraId="32639BAE">
            <w:pPr>
              <w:topLinePunct/>
              <w:spacing w:line="440" w:lineRule="exact"/>
              <w:jc w:val="center"/>
              <w:rPr>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14:paraId="325824E6">
            <w:pPr>
              <w:topLinePunct/>
              <w:spacing w:line="440" w:lineRule="exact"/>
              <w:jc w:val="center"/>
              <w:rPr>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A8C585A">
            <w:pPr>
              <w:pStyle w:val="55"/>
              <w:jc w:val="center"/>
              <w:rPr>
                <w:rFonts w:ascii="Times New Roman" w:hAnsi="Times New Roman" w:eastAsia="宋体"/>
                <w:b w:val="0"/>
                <w:sz w:val="21"/>
                <w:szCs w:val="21"/>
              </w:rPr>
            </w:pPr>
            <w:r>
              <w:rPr>
                <w:rFonts w:ascii="Times New Roman" w:hAnsi="Times New Roman" w:eastAsia="宋体"/>
                <w:b w:val="0"/>
                <w:sz w:val="21"/>
                <w:szCs w:val="21"/>
              </w:rPr>
              <w:t>技</w:t>
            </w:r>
            <w:r>
              <w:rPr>
                <w:rFonts w:hint="eastAsia" w:ascii="Times New Roman" w:hAnsi="Times New Roman" w:eastAsia="宋体"/>
                <w:b w:val="0"/>
                <w:sz w:val="21"/>
                <w:szCs w:val="21"/>
              </w:rPr>
              <w:t xml:space="preserve">  </w:t>
            </w:r>
            <w:r>
              <w:rPr>
                <w:rFonts w:ascii="Times New Roman" w:hAnsi="Times New Roman" w:eastAsia="宋体"/>
                <w:b w:val="0"/>
                <w:sz w:val="21"/>
                <w:szCs w:val="21"/>
              </w:rPr>
              <w:t>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5267BDD">
            <w:pPr>
              <w:topLinePunct/>
              <w:spacing w:line="440" w:lineRule="exact"/>
              <w:jc w:val="center"/>
              <w:rPr>
                <w:szCs w:val="21"/>
              </w:rPr>
            </w:pPr>
          </w:p>
        </w:tc>
      </w:tr>
      <w:tr w14:paraId="1F21DD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1728" w:type="dxa"/>
            <w:tcBorders>
              <w:top w:val="single" w:color="auto" w:sz="4" w:space="0"/>
              <w:left w:val="single" w:color="auto" w:sz="4" w:space="0"/>
              <w:right w:val="single" w:color="auto" w:sz="4" w:space="0"/>
            </w:tcBorders>
            <w:vAlign w:val="center"/>
          </w:tcPr>
          <w:p w14:paraId="7A829B5D">
            <w:pPr>
              <w:topLinePunct/>
              <w:spacing w:line="440" w:lineRule="exact"/>
              <w:ind w:firstLine="210" w:firstLineChars="100"/>
              <w:jc w:val="center"/>
              <w:rPr>
                <w:szCs w:val="21"/>
              </w:rPr>
            </w:pPr>
            <w:r>
              <w:rPr>
                <w:szCs w:val="21"/>
              </w:rPr>
              <w:t>经营范围</w:t>
            </w:r>
          </w:p>
        </w:tc>
        <w:tc>
          <w:tcPr>
            <w:tcW w:w="6840" w:type="dxa"/>
            <w:gridSpan w:val="10"/>
            <w:tcBorders>
              <w:top w:val="single" w:color="auto" w:sz="4" w:space="0"/>
              <w:left w:val="single" w:color="auto" w:sz="4" w:space="0"/>
              <w:right w:val="single" w:color="auto" w:sz="4" w:space="0"/>
            </w:tcBorders>
            <w:vAlign w:val="center"/>
          </w:tcPr>
          <w:p w14:paraId="7F8F36D1">
            <w:pPr>
              <w:topLinePunct/>
              <w:spacing w:line="440" w:lineRule="exact"/>
              <w:jc w:val="center"/>
              <w:rPr>
                <w:szCs w:val="21"/>
              </w:rPr>
            </w:pPr>
          </w:p>
          <w:p w14:paraId="3436EFD4">
            <w:pPr>
              <w:topLinePunct/>
              <w:spacing w:line="440" w:lineRule="exact"/>
              <w:jc w:val="center"/>
              <w:rPr>
                <w:szCs w:val="21"/>
              </w:rPr>
            </w:pPr>
          </w:p>
          <w:p w14:paraId="3A9B7441">
            <w:pPr>
              <w:topLinePunct/>
              <w:spacing w:line="440" w:lineRule="exact"/>
              <w:jc w:val="center"/>
              <w:rPr>
                <w:szCs w:val="21"/>
              </w:rPr>
            </w:pPr>
          </w:p>
          <w:p w14:paraId="78C7AC17">
            <w:pPr>
              <w:topLinePunct/>
              <w:spacing w:line="440" w:lineRule="exact"/>
              <w:rPr>
                <w:szCs w:val="21"/>
              </w:rPr>
            </w:pPr>
          </w:p>
        </w:tc>
      </w:tr>
      <w:tr w14:paraId="3FC9F7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8" w:type="dxa"/>
            <w:tcBorders>
              <w:top w:val="single" w:color="auto" w:sz="4" w:space="0"/>
              <w:left w:val="single" w:color="auto" w:sz="4" w:space="0"/>
              <w:bottom w:val="single" w:color="auto" w:sz="4" w:space="0"/>
              <w:right w:val="single" w:color="auto" w:sz="4" w:space="0"/>
            </w:tcBorders>
            <w:vAlign w:val="center"/>
          </w:tcPr>
          <w:p w14:paraId="71349370">
            <w:pPr>
              <w:topLinePunct/>
              <w:spacing w:line="440" w:lineRule="exact"/>
              <w:jc w:val="center"/>
              <w:rPr>
                <w:szCs w:val="21"/>
              </w:rPr>
            </w:pPr>
            <w:r>
              <w:rPr>
                <w:szCs w:val="21"/>
              </w:rPr>
              <w:t>备注</w:t>
            </w:r>
          </w:p>
        </w:tc>
        <w:tc>
          <w:tcPr>
            <w:tcW w:w="6840" w:type="dxa"/>
            <w:gridSpan w:val="10"/>
            <w:tcBorders>
              <w:top w:val="single" w:color="auto" w:sz="4" w:space="0"/>
              <w:left w:val="single" w:color="auto" w:sz="4" w:space="0"/>
              <w:bottom w:val="single" w:color="auto" w:sz="4" w:space="0"/>
              <w:right w:val="single" w:color="auto" w:sz="4" w:space="0"/>
            </w:tcBorders>
            <w:vAlign w:val="center"/>
          </w:tcPr>
          <w:p w14:paraId="09092B2C">
            <w:pPr>
              <w:topLinePunct/>
              <w:spacing w:line="440" w:lineRule="exact"/>
              <w:jc w:val="center"/>
              <w:rPr>
                <w:szCs w:val="21"/>
              </w:rPr>
            </w:pPr>
          </w:p>
        </w:tc>
      </w:tr>
    </w:tbl>
    <w:p w14:paraId="422E6BC7">
      <w:pPr>
        <w:pStyle w:val="6"/>
        <w:rPr>
          <w:szCs w:val="21"/>
          <w:u w:val="none"/>
        </w:rPr>
      </w:pPr>
      <w:r>
        <w:rPr>
          <w:szCs w:val="24"/>
          <w:u w:val="none"/>
        </w:rPr>
        <w:br w:type="page"/>
      </w:r>
      <w:bookmarkStart w:id="2743" w:name="_Toc130920623"/>
      <w:bookmarkStart w:id="2744" w:name="_Toc142385805"/>
      <w:bookmarkStart w:id="2745" w:name="_Toc518992189"/>
      <w:r>
        <w:rPr>
          <w:rFonts w:hint="eastAsia"/>
          <w:szCs w:val="21"/>
          <w:u w:val="none"/>
        </w:rPr>
        <w:t>★4.</w:t>
      </w:r>
      <w:r>
        <w:rPr>
          <w:szCs w:val="21"/>
          <w:u w:val="none"/>
        </w:rPr>
        <w:t>6</w:t>
      </w:r>
      <w:r>
        <w:rPr>
          <w:rFonts w:hint="eastAsia"/>
          <w:szCs w:val="21"/>
          <w:u w:val="none"/>
        </w:rPr>
        <w:t>单位负责人不为同一人或者不存在直接控股、管理关系的供应商承诺（格式自拟）</w:t>
      </w:r>
      <w:bookmarkEnd w:id="2743"/>
      <w:bookmarkEnd w:id="2744"/>
    </w:p>
    <w:p w14:paraId="09E98E48">
      <w:pPr>
        <w:pStyle w:val="6"/>
        <w:rPr>
          <w:szCs w:val="24"/>
          <w:u w:val="none"/>
        </w:rPr>
      </w:pPr>
      <w:r>
        <w:rPr>
          <w:szCs w:val="21"/>
          <w:u w:val="none"/>
        </w:rPr>
        <w:br w:type="page"/>
      </w:r>
      <w:bookmarkStart w:id="2746" w:name="_Toc130920624"/>
      <w:bookmarkStart w:id="2747" w:name="_Toc142385806"/>
      <w:r>
        <w:rPr>
          <w:rFonts w:hint="eastAsia"/>
          <w:szCs w:val="24"/>
          <w:u w:val="none"/>
        </w:rPr>
        <w:t>★4.</w:t>
      </w:r>
      <w:r>
        <w:rPr>
          <w:szCs w:val="24"/>
          <w:u w:val="none"/>
        </w:rPr>
        <w:t>7</w:t>
      </w:r>
      <w:r>
        <w:rPr>
          <w:rFonts w:hint="eastAsia"/>
          <w:szCs w:val="24"/>
          <w:u w:val="none"/>
        </w:rPr>
        <w:t>不为本项目提供整体设计、规范编制或者项目管理、监理、检测等服务的供应商的承诺；（格式自拟）</w:t>
      </w:r>
      <w:bookmarkEnd w:id="2746"/>
      <w:bookmarkEnd w:id="2747"/>
    </w:p>
    <w:p w14:paraId="60042397">
      <w:pPr>
        <w:pStyle w:val="6"/>
        <w:rPr>
          <w:szCs w:val="24"/>
          <w:u w:val="none"/>
        </w:rPr>
      </w:pPr>
      <w:r>
        <w:rPr>
          <w:szCs w:val="24"/>
          <w:u w:val="none"/>
        </w:rPr>
        <w:br w:type="page"/>
      </w:r>
      <w:bookmarkStart w:id="2748" w:name="_Toc130920625"/>
      <w:bookmarkStart w:id="2749" w:name="_Toc142385807"/>
      <w:r>
        <w:rPr>
          <w:rFonts w:hint="eastAsia" w:hAnsi="宋体"/>
          <w:b w:val="0"/>
          <w:u w:val="none"/>
        </w:rPr>
        <w:t>★</w:t>
      </w:r>
      <w:r>
        <w:rPr>
          <w:rFonts w:hint="eastAsia"/>
          <w:szCs w:val="24"/>
          <w:u w:val="none"/>
        </w:rPr>
        <w:t>4.8中小企业声明函</w:t>
      </w:r>
      <w:bookmarkEnd w:id="2745"/>
      <w:bookmarkEnd w:id="2748"/>
      <w:bookmarkEnd w:id="2749"/>
    </w:p>
    <w:p w14:paraId="19D643FB">
      <w:pPr>
        <w:spacing w:line="360" w:lineRule="auto"/>
        <w:ind w:right="480"/>
        <w:rPr>
          <w:rFonts w:hint="eastAsia" w:ascii="宋体" w:hAnsi="宋体"/>
          <w:b/>
          <w:sz w:val="24"/>
        </w:rPr>
      </w:pPr>
    </w:p>
    <w:p w14:paraId="4BFAABC8">
      <w:pPr>
        <w:spacing w:line="360" w:lineRule="auto"/>
        <w:jc w:val="center"/>
        <w:rPr>
          <w:rFonts w:hint="eastAsia" w:ascii="宋体" w:hAnsi="宋体"/>
          <w:b/>
          <w:spacing w:val="6"/>
          <w:sz w:val="24"/>
        </w:rPr>
      </w:pPr>
      <w:r>
        <w:rPr>
          <w:rFonts w:ascii="宋体" w:hAnsi="宋体"/>
          <w:b/>
          <w:spacing w:val="6"/>
          <w:sz w:val="24"/>
        </w:rPr>
        <w:t>中小企业声明函</w:t>
      </w:r>
    </w:p>
    <w:p w14:paraId="6A9CE8F4">
      <w:pPr>
        <w:spacing w:line="360" w:lineRule="auto"/>
        <w:rPr>
          <w:rFonts w:hint="eastAsia" w:ascii="宋体" w:hAnsi="宋体"/>
          <w:b/>
          <w:spacing w:val="6"/>
          <w:sz w:val="24"/>
        </w:rPr>
      </w:pPr>
    </w:p>
    <w:p w14:paraId="20A1B58E">
      <w:pPr>
        <w:autoSpaceDE w:val="0"/>
        <w:autoSpaceDN w:val="0"/>
        <w:adjustRightInd w:val="0"/>
        <w:spacing w:line="360" w:lineRule="auto"/>
        <w:ind w:firstLine="424" w:firstLineChars="177"/>
        <w:jc w:val="left"/>
        <w:rPr>
          <w:rFonts w:hint="eastAsia" w:ascii="宋体" w:hAnsi="宋体" w:cs="仿宋"/>
          <w:kern w:val="0"/>
          <w:sz w:val="24"/>
        </w:rPr>
      </w:pPr>
      <w:r>
        <w:rPr>
          <w:rFonts w:hint="eastAsia" w:ascii="宋体" w:hAnsi="宋体" w:cs="仿宋"/>
          <w:kern w:val="0"/>
          <w:sz w:val="24"/>
        </w:rPr>
        <w:t>本公司（联合体）郑重声明，根据《政府采购促进中小企业发展管理办法》（财库</w:t>
      </w:r>
      <w:r>
        <w:rPr>
          <w:rFonts w:hint="eastAsia" w:ascii="宋体" w:hAnsi="宋体" w:cs="宋体"/>
          <w:kern w:val="0"/>
          <w:sz w:val="24"/>
        </w:rPr>
        <w:t>﹝</w:t>
      </w:r>
      <w:r>
        <w:rPr>
          <w:rFonts w:ascii="宋体" w:hAnsi="宋体" w:cs="仿宋"/>
          <w:kern w:val="0"/>
          <w:sz w:val="24"/>
        </w:rPr>
        <w:t>2020</w:t>
      </w:r>
      <w:r>
        <w:rPr>
          <w:rFonts w:hint="eastAsia" w:ascii="宋体" w:hAnsi="宋体" w:cs="宋体"/>
          <w:kern w:val="0"/>
          <w:sz w:val="24"/>
        </w:rPr>
        <w:t>﹞</w:t>
      </w:r>
      <w:r>
        <w:rPr>
          <w:rFonts w:ascii="宋体" w:hAnsi="宋体" w:cs="仿宋"/>
          <w:kern w:val="0"/>
          <w:sz w:val="24"/>
        </w:rPr>
        <w:t xml:space="preserve">46 </w:t>
      </w:r>
      <w:r>
        <w:rPr>
          <w:rFonts w:hint="eastAsia" w:ascii="宋体" w:hAnsi="宋体" w:cs="仿宋"/>
          <w:kern w:val="0"/>
          <w:sz w:val="24"/>
        </w:rPr>
        <w:t>号）的规定，本公司（联合体）参加</w:t>
      </w:r>
      <w:r>
        <w:rPr>
          <w:rFonts w:hint="eastAsia" w:ascii="宋体" w:hAnsi="宋体" w:cs="仿宋"/>
          <w:i/>
          <w:iCs/>
          <w:kern w:val="0"/>
          <w:sz w:val="24"/>
          <w:u w:val="single"/>
        </w:rPr>
        <w:t>（单位名称）</w:t>
      </w:r>
      <w:r>
        <w:rPr>
          <w:rFonts w:hint="eastAsia" w:ascii="宋体" w:hAnsi="宋体" w:cs="仿宋"/>
          <w:kern w:val="0"/>
          <w:sz w:val="24"/>
        </w:rPr>
        <w:t>的</w:t>
      </w:r>
      <w:r>
        <w:rPr>
          <w:rFonts w:hint="eastAsia" w:ascii="宋体" w:hAnsi="宋体" w:cs="仿宋"/>
          <w:i/>
          <w:iCs/>
          <w:kern w:val="0"/>
          <w:sz w:val="24"/>
          <w:u w:val="single"/>
        </w:rPr>
        <w:t>（项目名称）</w:t>
      </w:r>
      <w:r>
        <w:rPr>
          <w:rFonts w:hint="eastAsia" w:ascii="宋体" w:hAnsi="宋体" w:cs="仿宋"/>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76BEC50D">
      <w:pPr>
        <w:autoSpaceDE w:val="0"/>
        <w:autoSpaceDN w:val="0"/>
        <w:adjustRightInd w:val="0"/>
        <w:spacing w:line="360" w:lineRule="auto"/>
        <w:ind w:firstLine="424" w:firstLineChars="177"/>
        <w:jc w:val="left"/>
        <w:rPr>
          <w:rFonts w:hint="eastAsia" w:ascii="宋体" w:hAnsi="宋体" w:cs="仿宋"/>
          <w:kern w:val="0"/>
          <w:sz w:val="24"/>
        </w:rPr>
      </w:pPr>
      <w:r>
        <w:rPr>
          <w:rFonts w:ascii="宋体" w:hAnsi="宋体" w:cs="仿宋"/>
          <w:kern w:val="0"/>
          <w:sz w:val="24"/>
        </w:rPr>
        <w:t>1.</w:t>
      </w:r>
      <w:r>
        <w:rPr>
          <w:rFonts w:ascii="宋体" w:hAnsi="宋体" w:cs="仿宋"/>
          <w:kern w:val="0"/>
          <w:sz w:val="24"/>
          <w:u w:val="single"/>
        </w:rPr>
        <w:t xml:space="preserve"> </w:t>
      </w:r>
      <w:r>
        <w:rPr>
          <w:rFonts w:hint="eastAsia" w:ascii="宋体" w:hAnsi="宋体" w:cs="仿宋"/>
          <w:i/>
          <w:iCs/>
          <w:kern w:val="0"/>
          <w:sz w:val="24"/>
          <w:u w:val="single"/>
        </w:rPr>
        <w:t>（标的名称）</w:t>
      </w:r>
      <w:r>
        <w:rPr>
          <w:rFonts w:ascii="宋体" w:hAnsi="宋体" w:cs="仿宋"/>
          <w:kern w:val="0"/>
          <w:sz w:val="24"/>
          <w:u w:val="single"/>
        </w:rPr>
        <w:t xml:space="preserve"> </w:t>
      </w:r>
      <w:r>
        <w:rPr>
          <w:rFonts w:hint="eastAsia" w:ascii="宋体" w:hAnsi="宋体" w:cs="仿宋"/>
          <w:kern w:val="0"/>
          <w:sz w:val="24"/>
        </w:rPr>
        <w:t>，属于</w:t>
      </w:r>
      <w:r>
        <w:rPr>
          <w:rFonts w:hint="eastAsia" w:ascii="宋体" w:hAnsi="宋体" w:cs="仿宋"/>
          <w:i/>
          <w:iCs/>
          <w:kern w:val="0"/>
          <w:sz w:val="24"/>
          <w:u w:val="single"/>
        </w:rPr>
        <w:t>（建筑业）</w:t>
      </w:r>
      <w:r>
        <w:rPr>
          <w:rFonts w:hint="eastAsia" w:ascii="宋体" w:hAnsi="宋体" w:cs="仿宋"/>
          <w:kern w:val="0"/>
          <w:sz w:val="24"/>
        </w:rPr>
        <w:t>；承建（承接）企业为</w:t>
      </w:r>
      <w:r>
        <w:rPr>
          <w:rFonts w:hint="eastAsia" w:ascii="宋体" w:hAnsi="宋体" w:cs="仿宋"/>
          <w:i/>
          <w:iCs/>
          <w:kern w:val="0"/>
          <w:sz w:val="24"/>
          <w:u w:val="single"/>
        </w:rPr>
        <w:t>（企业名称）</w:t>
      </w:r>
      <w:r>
        <w:rPr>
          <w:rFonts w:hint="eastAsia" w:ascii="宋体" w:hAnsi="宋体" w:cs="仿宋"/>
          <w:kern w:val="0"/>
          <w:sz w:val="24"/>
        </w:rPr>
        <w:t>，从业人员</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人，营业收入为</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万元，资产总额为</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万元</w:t>
      </w:r>
      <w:r>
        <w:rPr>
          <w:rFonts w:ascii="宋体" w:hAnsi="宋体" w:cs="仿宋"/>
          <w:kern w:val="0"/>
          <w:sz w:val="24"/>
          <w:vertAlign w:val="superscript"/>
        </w:rPr>
        <w:t>1</w:t>
      </w:r>
      <w:r>
        <w:rPr>
          <w:rFonts w:hint="eastAsia" w:ascii="宋体" w:hAnsi="宋体" w:cs="仿宋"/>
          <w:kern w:val="0"/>
          <w:sz w:val="24"/>
        </w:rPr>
        <w:t>，属于</w:t>
      </w:r>
      <w:r>
        <w:rPr>
          <w:rFonts w:hint="eastAsia" w:ascii="宋体" w:hAnsi="宋体" w:cs="仿宋"/>
          <w:i/>
          <w:iCs/>
          <w:kern w:val="0"/>
          <w:sz w:val="24"/>
          <w:u w:val="single"/>
        </w:rPr>
        <w:t>（中型企业、小型企业、微型企业）</w:t>
      </w:r>
      <w:r>
        <w:rPr>
          <w:rFonts w:hint="eastAsia" w:ascii="宋体" w:hAnsi="宋体" w:cs="仿宋"/>
          <w:kern w:val="0"/>
          <w:sz w:val="24"/>
        </w:rPr>
        <w:t>；</w:t>
      </w:r>
    </w:p>
    <w:p w14:paraId="0F9A73F8">
      <w:pPr>
        <w:autoSpaceDE w:val="0"/>
        <w:autoSpaceDN w:val="0"/>
        <w:adjustRightInd w:val="0"/>
        <w:spacing w:line="360" w:lineRule="auto"/>
        <w:ind w:firstLine="424" w:firstLineChars="177"/>
        <w:jc w:val="left"/>
        <w:rPr>
          <w:rFonts w:hint="eastAsia" w:ascii="宋体" w:hAnsi="宋体" w:cs="仿宋"/>
          <w:kern w:val="0"/>
          <w:sz w:val="24"/>
        </w:rPr>
      </w:pPr>
      <w:r>
        <w:rPr>
          <w:rFonts w:ascii="宋体" w:hAnsi="宋体" w:cs="仿宋"/>
          <w:kern w:val="0"/>
          <w:sz w:val="24"/>
        </w:rPr>
        <w:t>2.</w:t>
      </w:r>
      <w:r>
        <w:rPr>
          <w:rFonts w:ascii="宋体" w:hAnsi="宋体" w:cs="仿宋"/>
          <w:kern w:val="0"/>
          <w:sz w:val="24"/>
          <w:u w:val="single"/>
        </w:rPr>
        <w:t xml:space="preserve"> </w:t>
      </w:r>
      <w:r>
        <w:rPr>
          <w:rFonts w:hint="eastAsia" w:ascii="宋体" w:hAnsi="宋体" w:cs="仿宋"/>
          <w:i/>
          <w:iCs/>
          <w:kern w:val="0"/>
          <w:sz w:val="24"/>
          <w:u w:val="single"/>
        </w:rPr>
        <w:t>（标的名称）</w:t>
      </w:r>
      <w:r>
        <w:rPr>
          <w:rFonts w:ascii="宋体" w:hAnsi="宋体" w:cs="仿宋"/>
          <w:i/>
          <w:iCs/>
          <w:kern w:val="0"/>
          <w:sz w:val="24"/>
          <w:u w:val="single"/>
        </w:rPr>
        <w:t xml:space="preserve"> </w:t>
      </w:r>
      <w:r>
        <w:rPr>
          <w:rFonts w:hint="eastAsia" w:ascii="宋体" w:hAnsi="宋体" w:cs="仿宋"/>
          <w:kern w:val="0"/>
          <w:sz w:val="24"/>
        </w:rPr>
        <w:t>，属于</w:t>
      </w:r>
      <w:r>
        <w:rPr>
          <w:rFonts w:hint="eastAsia" w:ascii="宋体" w:hAnsi="宋体" w:cs="仿宋"/>
          <w:i/>
          <w:iCs/>
          <w:kern w:val="0"/>
          <w:sz w:val="24"/>
          <w:u w:val="single"/>
        </w:rPr>
        <w:t>（建筑业）</w:t>
      </w:r>
      <w:r>
        <w:rPr>
          <w:rFonts w:hint="eastAsia" w:ascii="宋体" w:hAnsi="宋体" w:cs="仿宋"/>
          <w:kern w:val="0"/>
          <w:sz w:val="24"/>
        </w:rPr>
        <w:t>；承建（承接）企业为</w:t>
      </w:r>
      <w:r>
        <w:rPr>
          <w:rFonts w:hint="eastAsia" w:ascii="宋体" w:hAnsi="宋体" w:cs="仿宋"/>
          <w:i/>
          <w:iCs/>
          <w:kern w:val="0"/>
          <w:sz w:val="24"/>
          <w:u w:val="single"/>
        </w:rPr>
        <w:t>（企业名称）</w:t>
      </w:r>
      <w:r>
        <w:rPr>
          <w:rFonts w:hint="eastAsia" w:ascii="宋体" w:hAnsi="宋体" w:cs="仿宋"/>
          <w:kern w:val="0"/>
          <w:sz w:val="24"/>
        </w:rPr>
        <w:t>，从业人员</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人，营业收入为</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万元，资产总额为</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万元，属于</w:t>
      </w:r>
      <w:r>
        <w:rPr>
          <w:rFonts w:hint="eastAsia" w:ascii="宋体" w:hAnsi="宋体" w:cs="仿宋"/>
          <w:i/>
          <w:iCs/>
          <w:kern w:val="0"/>
          <w:sz w:val="24"/>
          <w:u w:val="single"/>
        </w:rPr>
        <w:t>（中型企业、小型企业、微型企业）</w:t>
      </w:r>
      <w:r>
        <w:rPr>
          <w:rFonts w:hint="eastAsia" w:ascii="宋体" w:hAnsi="宋体" w:cs="仿宋"/>
          <w:kern w:val="0"/>
          <w:sz w:val="24"/>
        </w:rPr>
        <w:t>；</w:t>
      </w:r>
    </w:p>
    <w:p w14:paraId="335FA878">
      <w:pPr>
        <w:autoSpaceDE w:val="0"/>
        <w:autoSpaceDN w:val="0"/>
        <w:adjustRightInd w:val="0"/>
        <w:spacing w:line="360" w:lineRule="auto"/>
        <w:ind w:firstLine="424" w:firstLineChars="177"/>
        <w:jc w:val="left"/>
        <w:rPr>
          <w:rFonts w:hint="eastAsia" w:ascii="宋体" w:hAnsi="宋体" w:cs="仿宋"/>
          <w:kern w:val="0"/>
          <w:sz w:val="24"/>
        </w:rPr>
      </w:pPr>
      <w:r>
        <w:rPr>
          <w:rFonts w:hint="eastAsia" w:ascii="宋体" w:hAnsi="宋体" w:cs="仿宋"/>
          <w:kern w:val="0"/>
          <w:sz w:val="24"/>
        </w:rPr>
        <w:t>……</w:t>
      </w:r>
    </w:p>
    <w:p w14:paraId="77CEBFFC">
      <w:pPr>
        <w:autoSpaceDE w:val="0"/>
        <w:autoSpaceDN w:val="0"/>
        <w:adjustRightInd w:val="0"/>
        <w:spacing w:line="360" w:lineRule="auto"/>
        <w:ind w:firstLine="424" w:firstLineChars="177"/>
        <w:jc w:val="left"/>
        <w:rPr>
          <w:rFonts w:hint="eastAsia" w:ascii="宋体" w:hAnsi="宋体" w:cs="仿宋"/>
          <w:kern w:val="0"/>
          <w:sz w:val="24"/>
        </w:rPr>
      </w:pPr>
    </w:p>
    <w:p w14:paraId="51A80FD2">
      <w:pPr>
        <w:autoSpaceDE w:val="0"/>
        <w:autoSpaceDN w:val="0"/>
        <w:adjustRightInd w:val="0"/>
        <w:spacing w:line="360" w:lineRule="auto"/>
        <w:ind w:firstLine="424" w:firstLineChars="177"/>
        <w:jc w:val="left"/>
        <w:rPr>
          <w:rFonts w:hint="eastAsia" w:ascii="宋体" w:hAnsi="宋体" w:cs="仿宋"/>
          <w:kern w:val="0"/>
          <w:sz w:val="24"/>
        </w:rPr>
      </w:pPr>
      <w:r>
        <w:rPr>
          <w:rFonts w:hint="eastAsia" w:ascii="宋体" w:hAnsi="宋体" w:cs="仿宋"/>
          <w:kern w:val="0"/>
          <w:sz w:val="24"/>
        </w:rPr>
        <w:t>以上企业，不属于大企业的分支机构，不存在控股股东为大企业的情形，也不存在与大企业的负责人为同一人的情形。</w:t>
      </w:r>
    </w:p>
    <w:p w14:paraId="3773CD12">
      <w:pPr>
        <w:autoSpaceDE w:val="0"/>
        <w:autoSpaceDN w:val="0"/>
        <w:adjustRightInd w:val="0"/>
        <w:spacing w:line="360" w:lineRule="auto"/>
        <w:ind w:firstLine="424" w:firstLineChars="177"/>
        <w:jc w:val="left"/>
        <w:rPr>
          <w:rFonts w:hint="eastAsia" w:ascii="宋体" w:hAnsi="宋体" w:cs="仿宋"/>
          <w:kern w:val="0"/>
          <w:sz w:val="24"/>
        </w:rPr>
      </w:pPr>
      <w:r>
        <w:rPr>
          <w:rFonts w:hint="eastAsia" w:ascii="宋体" w:hAnsi="宋体" w:cs="仿宋"/>
          <w:kern w:val="0"/>
          <w:sz w:val="24"/>
        </w:rPr>
        <w:t>本企业对上述声明内容的真实性负责。如有虚假，将依法承担相应责任。</w:t>
      </w:r>
    </w:p>
    <w:p w14:paraId="708F06F3">
      <w:pPr>
        <w:autoSpaceDE w:val="0"/>
        <w:autoSpaceDN w:val="0"/>
        <w:adjustRightInd w:val="0"/>
        <w:spacing w:line="360" w:lineRule="auto"/>
        <w:ind w:firstLine="4677" w:firstLineChars="1949"/>
        <w:jc w:val="left"/>
        <w:rPr>
          <w:rFonts w:hint="eastAsia" w:ascii="宋体" w:hAnsi="宋体" w:cs="仿宋"/>
          <w:kern w:val="0"/>
          <w:sz w:val="24"/>
        </w:rPr>
      </w:pPr>
    </w:p>
    <w:p w14:paraId="3A0A8932">
      <w:pPr>
        <w:autoSpaceDE w:val="0"/>
        <w:autoSpaceDN w:val="0"/>
        <w:adjustRightInd w:val="0"/>
        <w:spacing w:line="360" w:lineRule="auto"/>
        <w:ind w:firstLine="4677" w:firstLineChars="1949"/>
        <w:jc w:val="left"/>
        <w:rPr>
          <w:rFonts w:hint="eastAsia" w:ascii="宋体" w:hAnsi="宋体" w:cs="仿宋"/>
          <w:kern w:val="0"/>
          <w:sz w:val="24"/>
        </w:rPr>
      </w:pPr>
      <w:r>
        <w:rPr>
          <w:rFonts w:hint="eastAsia" w:ascii="宋体" w:hAnsi="宋体" w:cs="仿宋"/>
          <w:kern w:val="0"/>
          <w:sz w:val="24"/>
        </w:rPr>
        <w:t>企业名称（盖章）：</w:t>
      </w:r>
    </w:p>
    <w:p w14:paraId="413E12D0">
      <w:pPr>
        <w:autoSpaceDE w:val="0"/>
        <w:autoSpaceDN w:val="0"/>
        <w:adjustRightInd w:val="0"/>
        <w:spacing w:line="360" w:lineRule="auto"/>
        <w:ind w:firstLine="4677" w:firstLineChars="1949"/>
        <w:jc w:val="left"/>
        <w:rPr>
          <w:rFonts w:hint="eastAsia" w:ascii="宋体" w:hAnsi="宋体" w:cs="仿宋"/>
          <w:kern w:val="0"/>
          <w:sz w:val="24"/>
        </w:rPr>
      </w:pPr>
      <w:r>
        <w:rPr>
          <w:rFonts w:hint="eastAsia" w:ascii="宋体" w:hAnsi="宋体" w:cs="仿宋"/>
          <w:kern w:val="0"/>
          <w:sz w:val="24"/>
        </w:rPr>
        <w:t>日期：</w:t>
      </w:r>
    </w:p>
    <w:p w14:paraId="056492A1">
      <w:pPr>
        <w:spacing w:line="588" w:lineRule="exact"/>
        <w:jc w:val="center"/>
        <w:rPr>
          <w:rFonts w:ascii="TimesNewRomanPSMT" w:eastAsia="TimesNewRomanPSMT" w:cs="TimesNewRomanPSMT"/>
          <w:kern w:val="0"/>
          <w:sz w:val="12"/>
          <w:szCs w:val="12"/>
        </w:rPr>
      </w:pPr>
      <w:r>
        <w:rPr>
          <w:rFonts w:ascii="TimesNewRomanPSMT" w:eastAsia="TimesNewRomanPSMT" w:cs="TimesNewRomanPSMT"/>
          <w:kern w:val="0"/>
          <w:sz w:val="12"/>
          <w:szCs w:val="12"/>
        </w:rPr>
        <w:pict>
          <v:rect id="_x0000_i1026" o:spt="1" style="height:1pt;width:166.55pt;" fillcolor="#A0A0A0" filled="t" stroked="f" coordsize="21600,21600" o:hr="t" o:hrstd="t" o:hrpct="401">
            <v:path/>
            <v:fill on="t" focussize="0,0"/>
            <v:stroke on="f"/>
            <v:imagedata o:title=""/>
            <o:lock v:ext="edit"/>
            <w10:wrap type="none"/>
            <w10:anchorlock/>
          </v:rect>
        </w:pict>
      </w:r>
    </w:p>
    <w:p w14:paraId="7E59CE86">
      <w:pPr>
        <w:jc w:val="left"/>
        <w:rPr>
          <w:rFonts w:hint="eastAsia" w:ascii="宋体" w:hAnsi="宋体" w:cs="宋体"/>
          <w:b/>
          <w:bCs/>
          <w:sz w:val="18"/>
          <w:szCs w:val="18"/>
        </w:rPr>
      </w:pPr>
      <w:r>
        <w:rPr>
          <w:rFonts w:ascii="TimesNewRomanPSMT" w:eastAsia="TimesNewRomanPSMT" w:cs="TimesNewRomanPSMT"/>
          <w:kern w:val="0"/>
          <w:sz w:val="18"/>
          <w:szCs w:val="18"/>
          <w:vertAlign w:val="superscript"/>
        </w:rPr>
        <w:t xml:space="preserve">1 </w:t>
      </w:r>
      <w:r>
        <w:rPr>
          <w:rFonts w:hint="eastAsia" w:ascii="宋体" w:cs="宋体"/>
          <w:kern w:val="0"/>
          <w:sz w:val="18"/>
          <w:szCs w:val="18"/>
        </w:rPr>
        <w:t>从业人员、营业收入、资产总额填报上一年度数据，无上一年度数据的新成立企业可不填报。</w:t>
      </w:r>
    </w:p>
    <w:p w14:paraId="5654F90B"/>
    <w:p w14:paraId="14E2F955"/>
    <w:p w14:paraId="6283FFA7">
      <w:pPr>
        <w:rPr>
          <w:b/>
        </w:rPr>
      </w:pPr>
      <w:r>
        <w:rPr>
          <w:rFonts w:hint="eastAsia"/>
          <w:b/>
        </w:rPr>
        <w:t>说明：</w:t>
      </w:r>
    </w:p>
    <w:p w14:paraId="7CF39855">
      <w:pPr>
        <w:spacing w:line="360" w:lineRule="auto"/>
        <w:ind w:left="315" w:leftChars="150" w:firstLine="600" w:firstLineChars="250"/>
        <w:rPr>
          <w:rFonts w:hint="eastAsia" w:ascii="宋体" w:hAnsi="宋体" w:cs="仿宋"/>
          <w:kern w:val="0"/>
          <w:sz w:val="24"/>
        </w:rPr>
      </w:pPr>
      <w:r>
        <w:rPr>
          <w:rFonts w:hint="eastAsia" w:ascii="宋体" w:hAnsi="宋体" w:cs="仿宋"/>
          <w:kern w:val="0"/>
          <w:sz w:val="24"/>
        </w:rPr>
        <w:t>本项目专门面向中小企业采购，根据《政府采购促进中小企业发展管理办法》（财库﹝</w:t>
      </w:r>
      <w:r>
        <w:rPr>
          <w:rFonts w:ascii="宋体" w:hAnsi="宋体" w:cs="仿宋"/>
          <w:kern w:val="0"/>
          <w:sz w:val="24"/>
        </w:rPr>
        <w:t>2020</w:t>
      </w:r>
      <w:r>
        <w:rPr>
          <w:rFonts w:hint="eastAsia" w:ascii="宋体" w:hAnsi="宋体" w:cs="仿宋"/>
          <w:kern w:val="0"/>
          <w:sz w:val="24"/>
        </w:rPr>
        <w:t>﹞</w:t>
      </w:r>
      <w:r>
        <w:rPr>
          <w:rFonts w:ascii="宋体" w:hAnsi="宋体" w:cs="仿宋"/>
          <w:kern w:val="0"/>
          <w:sz w:val="24"/>
        </w:rPr>
        <w:t xml:space="preserve">46 </w:t>
      </w:r>
      <w:r>
        <w:rPr>
          <w:rFonts w:hint="eastAsia" w:ascii="宋体" w:hAnsi="宋体" w:cs="仿宋"/>
          <w:kern w:val="0"/>
          <w:sz w:val="24"/>
        </w:rPr>
        <w:t>号）和《工业和信息化部、国家统计局、国家发展和改革委员会、财政部关于印发中小企业划型标准规定的通知》（工信部联企业[2011]300号）的有关规定及划分标准，工程的施工单位必须全部为符合政策要求的中小企业。投标人（供应商）必须提供文件规定的“中小企业声明函”。</w:t>
      </w:r>
    </w:p>
    <w:p w14:paraId="2827FFF3">
      <w:pPr>
        <w:spacing w:line="360" w:lineRule="auto"/>
        <w:ind w:left="315" w:leftChars="150" w:firstLine="480" w:firstLineChars="200"/>
        <w:rPr>
          <w:rFonts w:hint="eastAsia" w:ascii="宋体" w:hAnsi="宋体" w:cs="仿宋"/>
          <w:kern w:val="0"/>
          <w:sz w:val="24"/>
        </w:rPr>
      </w:pPr>
      <w:r>
        <w:rPr>
          <w:rFonts w:hint="eastAsia" w:ascii="宋体" w:hAnsi="宋体" w:cs="仿宋"/>
          <w:kern w:val="0"/>
          <w:sz w:val="24"/>
        </w:rPr>
        <w:t>注1：监狱企业视同小型、微型企业，监狱企业须提供由省级以上监狱管理局、戒毒管理局（含新疆生产建设兵团）出具的属于监狱企业的证明文件复印件。</w:t>
      </w:r>
    </w:p>
    <w:p w14:paraId="2192C58D">
      <w:pPr>
        <w:spacing w:line="360" w:lineRule="auto"/>
        <w:ind w:left="315" w:leftChars="150" w:firstLine="480" w:firstLineChars="200"/>
        <w:rPr>
          <w:rFonts w:hint="eastAsia" w:ascii="宋体" w:hAnsi="宋体" w:cs="仿宋"/>
          <w:kern w:val="0"/>
          <w:sz w:val="24"/>
        </w:rPr>
      </w:pPr>
      <w:r>
        <w:rPr>
          <w:rFonts w:hint="eastAsia" w:ascii="宋体" w:hAnsi="宋体" w:cs="仿宋"/>
          <w:kern w:val="0"/>
          <w:sz w:val="24"/>
        </w:rPr>
        <w:t>注2：</w:t>
      </w:r>
      <w:r>
        <w:rPr>
          <w:rFonts w:ascii="宋体" w:hAnsi="宋体" w:cs="仿宋"/>
          <w:kern w:val="0"/>
          <w:sz w:val="24"/>
        </w:rPr>
        <w:t>残疾人福利性单位视同小型、微型企业</w:t>
      </w:r>
      <w:r>
        <w:rPr>
          <w:rFonts w:hint="eastAsia" w:ascii="宋体" w:hAnsi="宋体" w:cs="仿宋"/>
          <w:kern w:val="0"/>
          <w:sz w:val="24"/>
        </w:rPr>
        <w:t>，</w:t>
      </w:r>
      <w:r>
        <w:rPr>
          <w:rFonts w:ascii="宋体" w:hAnsi="宋体" w:cs="仿宋"/>
          <w:kern w:val="0"/>
          <w:sz w:val="24"/>
        </w:rPr>
        <w:t>残疾人福利性单位</w:t>
      </w:r>
      <w:r>
        <w:rPr>
          <w:rFonts w:hint="eastAsia" w:ascii="宋体" w:hAnsi="宋体" w:cs="仿宋"/>
          <w:kern w:val="0"/>
          <w:sz w:val="24"/>
        </w:rPr>
        <w:t>须提供“</w:t>
      </w:r>
      <w:r>
        <w:rPr>
          <w:rFonts w:ascii="宋体" w:hAnsi="宋体" w:cs="仿宋"/>
          <w:kern w:val="0"/>
          <w:sz w:val="24"/>
        </w:rPr>
        <w:t>残疾人福利性单位声明函</w:t>
      </w:r>
      <w:r>
        <w:rPr>
          <w:rFonts w:hint="eastAsia" w:ascii="宋体" w:hAnsi="宋体" w:cs="仿宋"/>
          <w:kern w:val="0"/>
          <w:sz w:val="24"/>
        </w:rPr>
        <w:t>”。</w:t>
      </w:r>
    </w:p>
    <w:p w14:paraId="16B17583">
      <w:pPr>
        <w:spacing w:line="360" w:lineRule="auto"/>
        <w:ind w:left="315" w:leftChars="150" w:firstLine="480" w:firstLineChars="200"/>
        <w:rPr>
          <w:rFonts w:hint="eastAsia" w:ascii="宋体" w:hAnsi="宋体" w:cs="仿宋"/>
          <w:kern w:val="0"/>
          <w:sz w:val="24"/>
        </w:rPr>
      </w:pPr>
      <w:r>
        <w:rPr>
          <w:rFonts w:hint="eastAsia" w:ascii="宋体" w:hAnsi="宋体" w:cs="仿宋"/>
          <w:kern w:val="0"/>
          <w:sz w:val="24"/>
        </w:rPr>
        <w:t>注3：符合小微企业划分标准的个体工商户，视同小微企业。</w:t>
      </w:r>
    </w:p>
    <w:p w14:paraId="30F5DA6A">
      <w:pPr>
        <w:ind w:firstLine="720" w:firstLineChars="300"/>
        <w:rPr>
          <w:rFonts w:hint="eastAsia" w:ascii="宋体" w:hAnsi="宋体" w:cs="仿宋"/>
          <w:kern w:val="0"/>
          <w:sz w:val="24"/>
        </w:rPr>
      </w:pPr>
      <w:r>
        <w:rPr>
          <w:rFonts w:hint="eastAsia" w:ascii="宋体" w:hAnsi="宋体" w:cs="仿宋"/>
          <w:kern w:val="0"/>
          <w:sz w:val="24"/>
        </w:rPr>
        <w:t>注 4：联合体各方均为中小企业的，联合体视同中小企业。</w:t>
      </w:r>
    </w:p>
    <w:p w14:paraId="1A0A4045">
      <w:pPr>
        <w:widowControl/>
        <w:jc w:val="left"/>
        <w:rPr>
          <w:rFonts w:hint="eastAsia" w:ascii="宋体" w:hAnsi="宋体" w:cs="仿宋"/>
          <w:kern w:val="0"/>
          <w:sz w:val="24"/>
        </w:rPr>
      </w:pPr>
      <w:r>
        <w:rPr>
          <w:rFonts w:ascii="宋体" w:hAnsi="宋体" w:cs="仿宋"/>
          <w:kern w:val="0"/>
          <w:sz w:val="24"/>
        </w:rPr>
        <w:br w:type="page"/>
      </w:r>
    </w:p>
    <w:p w14:paraId="25404A3D">
      <w:pPr>
        <w:pStyle w:val="6"/>
        <w:rPr>
          <w:szCs w:val="24"/>
          <w:u w:val="none"/>
        </w:rPr>
      </w:pPr>
      <w:bookmarkStart w:id="2750" w:name="_Toc142385808"/>
      <w:r>
        <w:rPr>
          <w:rFonts w:hint="eastAsia" w:hAnsi="宋体"/>
          <w:b w:val="0"/>
          <w:u w:val="none"/>
        </w:rPr>
        <w:t>★</w:t>
      </w:r>
      <w:r>
        <w:rPr>
          <w:rFonts w:hint="eastAsia"/>
          <w:szCs w:val="24"/>
          <w:u w:val="none"/>
        </w:rPr>
        <w:t>4.</w:t>
      </w:r>
      <w:r>
        <w:rPr>
          <w:szCs w:val="24"/>
          <w:u w:val="none"/>
        </w:rPr>
        <w:t>9</w:t>
      </w:r>
      <w:r>
        <w:rPr>
          <w:rFonts w:hint="eastAsia"/>
          <w:szCs w:val="24"/>
          <w:u w:val="none"/>
        </w:rPr>
        <w:t>残疾人福利性单位声明函</w:t>
      </w:r>
      <w:bookmarkEnd w:id="2750"/>
    </w:p>
    <w:p w14:paraId="62C8D458">
      <w:pPr>
        <w:spacing w:line="360" w:lineRule="auto"/>
        <w:ind w:right="480"/>
        <w:rPr>
          <w:rFonts w:hint="eastAsia" w:ascii="宋体" w:hAnsi="宋体"/>
          <w:spacing w:val="6"/>
          <w:sz w:val="24"/>
        </w:rPr>
      </w:pPr>
    </w:p>
    <w:p w14:paraId="4D872AE1">
      <w:pPr>
        <w:spacing w:before="240" w:beforeLines="100" w:line="480" w:lineRule="exact"/>
        <w:ind w:left="1323" w:leftChars="257" w:hanging="783" w:hangingChars="325"/>
        <w:jc w:val="center"/>
        <w:rPr>
          <w:rFonts w:ascii="仿宋_GB2312" w:eastAsia="仿宋_GB2312"/>
          <w:b/>
          <w:spacing w:val="6"/>
          <w:sz w:val="28"/>
          <w:szCs w:val="32"/>
        </w:rPr>
      </w:pPr>
      <w:r>
        <w:rPr>
          <w:rFonts w:hint="eastAsia" w:ascii="宋体" w:hAnsi="宋体"/>
          <w:b/>
          <w:kern w:val="0"/>
          <w:sz w:val="24"/>
        </w:rPr>
        <w:t>残疾人福利性单位声明函</w:t>
      </w:r>
    </w:p>
    <w:p w14:paraId="5584DDB1">
      <w:pPr>
        <w:spacing w:line="588" w:lineRule="exact"/>
        <w:rPr>
          <w:rFonts w:ascii="仿宋_GB2312" w:eastAsia="仿宋_GB2312"/>
          <w:b/>
          <w:spacing w:val="6"/>
          <w:sz w:val="30"/>
          <w:szCs w:val="30"/>
        </w:rPr>
      </w:pPr>
    </w:p>
    <w:p w14:paraId="6539B4FA">
      <w:pPr>
        <w:spacing w:line="588" w:lineRule="exact"/>
        <w:ind w:firstLine="504" w:firstLineChars="200"/>
        <w:rPr>
          <w:rFonts w:hint="eastAsia" w:ascii="宋体" w:hAnsi="宋体"/>
          <w:spacing w:val="6"/>
          <w:sz w:val="24"/>
        </w:rPr>
      </w:pPr>
      <w:r>
        <w:rPr>
          <w:rFonts w:hint="eastAsia" w:ascii="宋体" w:hAnsi="宋体"/>
          <w:spacing w:val="6"/>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1E0C750">
      <w:pPr>
        <w:widowControl/>
        <w:spacing w:before="240" w:beforeLines="100" w:after="100" w:afterAutospacing="1" w:line="480" w:lineRule="exact"/>
        <w:ind w:firstLine="720" w:firstLineChars="300"/>
        <w:jc w:val="left"/>
        <w:rPr>
          <w:sz w:val="24"/>
        </w:rPr>
      </w:pPr>
      <w:r>
        <w:rPr>
          <w:rFonts w:hint="eastAsia"/>
          <w:sz w:val="24"/>
        </w:rPr>
        <w:t>本单位对上述声明的真实性负责。如有虚假，将依法承担相应责任。</w:t>
      </w:r>
    </w:p>
    <w:p w14:paraId="574B48DD">
      <w:pPr>
        <w:spacing w:line="588" w:lineRule="exact"/>
        <w:ind w:firstLine="624" w:firstLineChars="200"/>
        <w:rPr>
          <w:rFonts w:ascii="仿宋_GB2312" w:eastAsia="仿宋_GB2312"/>
          <w:spacing w:val="6"/>
          <w:sz w:val="30"/>
          <w:szCs w:val="30"/>
        </w:rPr>
      </w:pPr>
    </w:p>
    <w:p w14:paraId="7E372969">
      <w:pPr>
        <w:spacing w:line="588" w:lineRule="exact"/>
        <w:ind w:firstLine="624" w:firstLineChars="200"/>
        <w:rPr>
          <w:rFonts w:ascii="仿宋_GB2312" w:eastAsia="仿宋_GB2312"/>
          <w:spacing w:val="6"/>
          <w:sz w:val="30"/>
          <w:szCs w:val="30"/>
        </w:rPr>
      </w:pPr>
    </w:p>
    <w:p w14:paraId="253CAD43">
      <w:pPr>
        <w:widowControl/>
        <w:spacing w:before="100" w:beforeAutospacing="1" w:after="100" w:afterAutospacing="1" w:line="480" w:lineRule="exact"/>
        <w:ind w:firstLine="5160" w:firstLineChars="2150"/>
        <w:jc w:val="left"/>
        <w:rPr>
          <w:sz w:val="24"/>
        </w:rPr>
      </w:pPr>
      <w:r>
        <w:rPr>
          <w:rFonts w:hint="eastAsia"/>
          <w:sz w:val="24"/>
        </w:rPr>
        <w:t>单位名称（盖章）：</w:t>
      </w:r>
    </w:p>
    <w:p w14:paraId="23CFB098">
      <w:pPr>
        <w:widowControl/>
        <w:spacing w:before="100" w:beforeAutospacing="1" w:after="100" w:afterAutospacing="1" w:line="480" w:lineRule="exact"/>
        <w:ind w:firstLine="5160" w:firstLineChars="2150"/>
        <w:jc w:val="left"/>
        <w:rPr>
          <w:sz w:val="24"/>
        </w:rPr>
      </w:pPr>
      <w:r>
        <w:rPr>
          <w:rFonts w:hint="eastAsia"/>
          <w:sz w:val="24"/>
        </w:rPr>
        <w:t xml:space="preserve">         日  期：</w:t>
      </w:r>
    </w:p>
    <w:p w14:paraId="28B46DCB">
      <w:pPr>
        <w:spacing w:line="360" w:lineRule="auto"/>
        <w:ind w:right="480"/>
        <w:rPr>
          <w:rFonts w:hint="eastAsia" w:ascii="宋体" w:hAnsi="宋体"/>
          <w:b/>
          <w:sz w:val="24"/>
        </w:rPr>
        <w:sectPr>
          <w:pgSz w:w="11906" w:h="16838"/>
          <w:pgMar w:top="1440" w:right="1797" w:bottom="1440" w:left="1797" w:header="851" w:footer="992" w:gutter="0"/>
          <w:cols w:space="720" w:num="1"/>
          <w:docGrid w:linePitch="312" w:charSpace="0"/>
        </w:sectPr>
      </w:pPr>
    </w:p>
    <w:p w14:paraId="7FB78E5B">
      <w:pPr>
        <w:pStyle w:val="6"/>
        <w:rPr>
          <w:szCs w:val="24"/>
          <w:u w:val="none"/>
        </w:rPr>
      </w:pPr>
      <w:bookmarkStart w:id="2751" w:name="_Toc130920626"/>
      <w:bookmarkStart w:id="2752" w:name="_Toc142385809"/>
      <w:bookmarkStart w:id="2753" w:name="_Toc518992191"/>
      <w:r>
        <w:rPr>
          <w:rFonts w:hint="eastAsia"/>
          <w:szCs w:val="24"/>
          <w:u w:val="none"/>
        </w:rPr>
        <w:t>4.10业绩</w:t>
      </w:r>
      <w:r>
        <w:rPr>
          <w:szCs w:val="24"/>
          <w:u w:val="none"/>
        </w:rPr>
        <w:t>情况表</w:t>
      </w:r>
      <w:bookmarkEnd w:id="2751"/>
      <w:bookmarkEnd w:id="2752"/>
      <w:bookmarkEnd w:id="2753"/>
    </w:p>
    <w:p w14:paraId="3FDD3B82">
      <w:pPr>
        <w:spacing w:line="360" w:lineRule="auto"/>
        <w:jc w:val="center"/>
        <w:rPr>
          <w:rFonts w:hint="eastAsia" w:ascii="宋体" w:hAnsi="宋体"/>
          <w:b/>
          <w:sz w:val="24"/>
        </w:rPr>
      </w:pPr>
      <w:r>
        <w:rPr>
          <w:rFonts w:hint="eastAsia" w:ascii="宋体" w:hAnsi="宋体"/>
          <w:b/>
          <w:sz w:val="24"/>
        </w:rPr>
        <w:t>业绩</w:t>
      </w:r>
      <w:r>
        <w:rPr>
          <w:rFonts w:ascii="宋体" w:hAnsi="宋体"/>
          <w:b/>
          <w:sz w:val="24"/>
        </w:rPr>
        <w:t>情况表</w:t>
      </w:r>
      <w:r>
        <w:rPr>
          <w:rFonts w:hint="eastAsia" w:ascii="宋体" w:hAnsi="宋体"/>
          <w:b/>
          <w:sz w:val="24"/>
        </w:rPr>
        <w:t>（格式）</w:t>
      </w:r>
    </w:p>
    <w:p w14:paraId="2540CD35">
      <w:pPr>
        <w:autoSpaceDE w:val="0"/>
        <w:autoSpaceDN w:val="0"/>
        <w:adjustRightInd w:val="0"/>
        <w:ind w:firstLine="420"/>
        <w:rPr>
          <w:rFonts w:hint="eastAsia" w:ascii="宋体" w:hAnsi="宋体"/>
          <w:kern w:val="0"/>
          <w:sz w:val="24"/>
          <w:szCs w:val="20"/>
          <w:u w:val="single"/>
        </w:rPr>
      </w:pPr>
    </w:p>
    <w:tbl>
      <w:tblPr>
        <w:tblStyle w:val="8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2024"/>
        <w:gridCol w:w="1276"/>
        <w:gridCol w:w="1418"/>
        <w:gridCol w:w="1682"/>
        <w:gridCol w:w="1340"/>
        <w:gridCol w:w="1045"/>
      </w:tblGrid>
      <w:tr w14:paraId="5665C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514" w:type="dxa"/>
            <w:vAlign w:val="center"/>
          </w:tcPr>
          <w:p w14:paraId="420D4212">
            <w:pPr>
              <w:pStyle w:val="506"/>
              <w:ind w:firstLine="0"/>
              <w:jc w:val="center"/>
              <w:rPr>
                <w:rFonts w:hint="eastAsia" w:hAnsi="宋体"/>
                <w:b/>
                <w:sz w:val="21"/>
                <w:szCs w:val="21"/>
              </w:rPr>
            </w:pPr>
            <w:r>
              <w:rPr>
                <w:rFonts w:hint="eastAsia" w:hAnsi="宋体"/>
                <w:b/>
                <w:sz w:val="21"/>
                <w:szCs w:val="21"/>
              </w:rPr>
              <w:t>序号</w:t>
            </w:r>
          </w:p>
        </w:tc>
        <w:tc>
          <w:tcPr>
            <w:tcW w:w="2024" w:type="dxa"/>
            <w:vAlign w:val="center"/>
          </w:tcPr>
          <w:p w14:paraId="11AC81E3">
            <w:pPr>
              <w:jc w:val="center"/>
              <w:rPr>
                <w:b/>
              </w:rPr>
            </w:pPr>
            <w:r>
              <w:rPr>
                <w:rFonts w:hint="eastAsia"/>
                <w:b/>
              </w:rPr>
              <w:t>建设单位</w:t>
            </w:r>
          </w:p>
        </w:tc>
        <w:tc>
          <w:tcPr>
            <w:tcW w:w="1276" w:type="dxa"/>
            <w:vAlign w:val="center"/>
          </w:tcPr>
          <w:p w14:paraId="21FF90AC">
            <w:pPr>
              <w:jc w:val="center"/>
              <w:rPr>
                <w:b/>
              </w:rPr>
            </w:pPr>
            <w:r>
              <w:rPr>
                <w:rFonts w:hint="eastAsia"/>
                <w:b/>
              </w:rPr>
              <w:t>项目名称</w:t>
            </w:r>
          </w:p>
        </w:tc>
        <w:tc>
          <w:tcPr>
            <w:tcW w:w="1418" w:type="dxa"/>
            <w:vAlign w:val="center"/>
          </w:tcPr>
          <w:p w14:paraId="645DDA98">
            <w:pPr>
              <w:jc w:val="center"/>
              <w:rPr>
                <w:b/>
              </w:rPr>
            </w:pPr>
            <w:r>
              <w:rPr>
                <w:rFonts w:hint="eastAsia"/>
                <w:b/>
              </w:rPr>
              <w:t>建设规模</w:t>
            </w:r>
          </w:p>
        </w:tc>
        <w:tc>
          <w:tcPr>
            <w:tcW w:w="1682" w:type="dxa"/>
            <w:vAlign w:val="center"/>
          </w:tcPr>
          <w:p w14:paraId="7F97D753">
            <w:pPr>
              <w:jc w:val="center"/>
              <w:rPr>
                <w:b/>
              </w:rPr>
            </w:pPr>
            <w:r>
              <w:rPr>
                <w:rFonts w:hint="eastAsia"/>
                <w:b/>
              </w:rPr>
              <w:t>开、竣工日期</w:t>
            </w:r>
          </w:p>
        </w:tc>
        <w:tc>
          <w:tcPr>
            <w:tcW w:w="1340" w:type="dxa"/>
            <w:vAlign w:val="center"/>
          </w:tcPr>
          <w:p w14:paraId="7F2C90BF">
            <w:pPr>
              <w:jc w:val="center"/>
              <w:rPr>
                <w:b/>
              </w:rPr>
            </w:pPr>
            <w:r>
              <w:rPr>
                <w:rFonts w:hint="eastAsia"/>
                <w:b/>
              </w:rPr>
              <w:t>工程质量</w:t>
            </w:r>
          </w:p>
        </w:tc>
        <w:tc>
          <w:tcPr>
            <w:tcW w:w="1045" w:type="dxa"/>
            <w:vAlign w:val="center"/>
          </w:tcPr>
          <w:p w14:paraId="6BB9EA7E">
            <w:pPr>
              <w:pStyle w:val="506"/>
              <w:ind w:firstLine="0"/>
              <w:jc w:val="center"/>
              <w:rPr>
                <w:rFonts w:hint="eastAsia" w:hAnsi="宋体"/>
                <w:b/>
                <w:sz w:val="21"/>
                <w:szCs w:val="21"/>
              </w:rPr>
            </w:pPr>
            <w:r>
              <w:rPr>
                <w:rFonts w:hint="eastAsia" w:hAnsi="宋体"/>
                <w:b/>
                <w:sz w:val="21"/>
                <w:szCs w:val="21"/>
              </w:rPr>
              <w:t>备注</w:t>
            </w:r>
          </w:p>
        </w:tc>
      </w:tr>
      <w:tr w14:paraId="26F13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4" w:type="dxa"/>
          </w:tcPr>
          <w:p w14:paraId="1AABE4D1">
            <w:pPr>
              <w:pStyle w:val="506"/>
              <w:spacing w:line="360" w:lineRule="auto"/>
              <w:ind w:firstLine="0"/>
              <w:jc w:val="center"/>
              <w:rPr>
                <w:rFonts w:hint="eastAsia" w:hAnsi="宋体"/>
                <w:szCs w:val="24"/>
                <w:u w:val="single"/>
              </w:rPr>
            </w:pPr>
          </w:p>
        </w:tc>
        <w:tc>
          <w:tcPr>
            <w:tcW w:w="2024" w:type="dxa"/>
          </w:tcPr>
          <w:p w14:paraId="4F75DD86">
            <w:pPr>
              <w:pStyle w:val="506"/>
              <w:spacing w:line="360" w:lineRule="auto"/>
              <w:ind w:firstLine="0"/>
              <w:jc w:val="center"/>
              <w:rPr>
                <w:rFonts w:hint="eastAsia" w:hAnsi="宋体"/>
                <w:szCs w:val="24"/>
                <w:u w:val="single"/>
              </w:rPr>
            </w:pPr>
          </w:p>
        </w:tc>
        <w:tc>
          <w:tcPr>
            <w:tcW w:w="1276" w:type="dxa"/>
          </w:tcPr>
          <w:p w14:paraId="77C02EF9">
            <w:pPr>
              <w:pStyle w:val="506"/>
              <w:spacing w:line="360" w:lineRule="auto"/>
              <w:ind w:firstLine="0"/>
              <w:jc w:val="center"/>
              <w:rPr>
                <w:rFonts w:hint="eastAsia" w:hAnsi="宋体"/>
                <w:szCs w:val="24"/>
                <w:u w:val="single"/>
              </w:rPr>
            </w:pPr>
          </w:p>
        </w:tc>
        <w:tc>
          <w:tcPr>
            <w:tcW w:w="1418" w:type="dxa"/>
          </w:tcPr>
          <w:p w14:paraId="22D709BC">
            <w:pPr>
              <w:pStyle w:val="506"/>
              <w:spacing w:line="360" w:lineRule="auto"/>
              <w:ind w:firstLine="0"/>
              <w:jc w:val="center"/>
              <w:rPr>
                <w:rFonts w:hint="eastAsia" w:hAnsi="宋体"/>
                <w:szCs w:val="24"/>
                <w:u w:val="single"/>
              </w:rPr>
            </w:pPr>
          </w:p>
        </w:tc>
        <w:tc>
          <w:tcPr>
            <w:tcW w:w="1682" w:type="dxa"/>
          </w:tcPr>
          <w:p w14:paraId="2E9D2DC4">
            <w:pPr>
              <w:pStyle w:val="506"/>
              <w:spacing w:line="360" w:lineRule="auto"/>
              <w:ind w:firstLine="0"/>
              <w:jc w:val="center"/>
              <w:rPr>
                <w:rFonts w:hint="eastAsia" w:hAnsi="宋体"/>
                <w:szCs w:val="24"/>
                <w:u w:val="single"/>
              </w:rPr>
            </w:pPr>
          </w:p>
        </w:tc>
        <w:tc>
          <w:tcPr>
            <w:tcW w:w="1340" w:type="dxa"/>
          </w:tcPr>
          <w:p w14:paraId="5EF18215">
            <w:pPr>
              <w:pStyle w:val="506"/>
              <w:spacing w:line="360" w:lineRule="auto"/>
              <w:ind w:left="298" w:hanging="297" w:hangingChars="124"/>
              <w:jc w:val="center"/>
              <w:rPr>
                <w:rFonts w:hint="eastAsia" w:hAnsi="宋体"/>
                <w:szCs w:val="24"/>
                <w:u w:val="single"/>
              </w:rPr>
            </w:pPr>
          </w:p>
        </w:tc>
        <w:tc>
          <w:tcPr>
            <w:tcW w:w="1045" w:type="dxa"/>
          </w:tcPr>
          <w:p w14:paraId="72183D36">
            <w:pPr>
              <w:pStyle w:val="506"/>
              <w:spacing w:line="360" w:lineRule="auto"/>
              <w:ind w:firstLine="0"/>
              <w:jc w:val="center"/>
              <w:rPr>
                <w:rFonts w:hint="eastAsia" w:hAnsi="宋体"/>
                <w:szCs w:val="24"/>
                <w:u w:val="single"/>
              </w:rPr>
            </w:pPr>
          </w:p>
        </w:tc>
      </w:tr>
      <w:tr w14:paraId="7F6DF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4" w:type="dxa"/>
          </w:tcPr>
          <w:p w14:paraId="0F8FF2A1">
            <w:pPr>
              <w:pStyle w:val="506"/>
              <w:spacing w:line="360" w:lineRule="auto"/>
              <w:ind w:firstLine="0"/>
              <w:jc w:val="center"/>
              <w:rPr>
                <w:rFonts w:hint="eastAsia" w:hAnsi="宋体"/>
                <w:szCs w:val="24"/>
                <w:u w:val="single"/>
              </w:rPr>
            </w:pPr>
          </w:p>
        </w:tc>
        <w:tc>
          <w:tcPr>
            <w:tcW w:w="2024" w:type="dxa"/>
          </w:tcPr>
          <w:p w14:paraId="205BC516">
            <w:pPr>
              <w:pStyle w:val="506"/>
              <w:spacing w:line="360" w:lineRule="auto"/>
              <w:ind w:firstLine="0"/>
              <w:jc w:val="center"/>
              <w:rPr>
                <w:rFonts w:hint="eastAsia" w:hAnsi="宋体"/>
                <w:szCs w:val="24"/>
                <w:u w:val="single"/>
              </w:rPr>
            </w:pPr>
          </w:p>
        </w:tc>
        <w:tc>
          <w:tcPr>
            <w:tcW w:w="1276" w:type="dxa"/>
          </w:tcPr>
          <w:p w14:paraId="7BA4921D">
            <w:pPr>
              <w:pStyle w:val="506"/>
              <w:spacing w:line="360" w:lineRule="auto"/>
              <w:ind w:firstLine="0"/>
              <w:jc w:val="center"/>
              <w:rPr>
                <w:rFonts w:hint="eastAsia" w:hAnsi="宋体"/>
                <w:szCs w:val="24"/>
                <w:u w:val="single"/>
              </w:rPr>
            </w:pPr>
          </w:p>
        </w:tc>
        <w:tc>
          <w:tcPr>
            <w:tcW w:w="1418" w:type="dxa"/>
          </w:tcPr>
          <w:p w14:paraId="73865A6B">
            <w:pPr>
              <w:pStyle w:val="506"/>
              <w:spacing w:line="360" w:lineRule="auto"/>
              <w:ind w:firstLine="0"/>
              <w:jc w:val="center"/>
              <w:rPr>
                <w:rFonts w:hint="eastAsia" w:hAnsi="宋体"/>
                <w:szCs w:val="24"/>
                <w:u w:val="single"/>
              </w:rPr>
            </w:pPr>
          </w:p>
        </w:tc>
        <w:tc>
          <w:tcPr>
            <w:tcW w:w="1682" w:type="dxa"/>
          </w:tcPr>
          <w:p w14:paraId="0447ACB1">
            <w:pPr>
              <w:pStyle w:val="506"/>
              <w:spacing w:line="360" w:lineRule="auto"/>
              <w:ind w:firstLine="0"/>
              <w:jc w:val="center"/>
              <w:rPr>
                <w:rFonts w:hint="eastAsia" w:hAnsi="宋体"/>
                <w:szCs w:val="24"/>
                <w:u w:val="single"/>
              </w:rPr>
            </w:pPr>
          </w:p>
        </w:tc>
        <w:tc>
          <w:tcPr>
            <w:tcW w:w="1340" w:type="dxa"/>
          </w:tcPr>
          <w:p w14:paraId="4CB8B27B">
            <w:pPr>
              <w:pStyle w:val="506"/>
              <w:spacing w:line="360" w:lineRule="auto"/>
              <w:ind w:firstLine="0"/>
              <w:jc w:val="center"/>
              <w:rPr>
                <w:rFonts w:hint="eastAsia" w:hAnsi="宋体"/>
                <w:szCs w:val="24"/>
                <w:u w:val="single"/>
              </w:rPr>
            </w:pPr>
          </w:p>
        </w:tc>
        <w:tc>
          <w:tcPr>
            <w:tcW w:w="1045" w:type="dxa"/>
          </w:tcPr>
          <w:p w14:paraId="64A3EAA7">
            <w:pPr>
              <w:pStyle w:val="506"/>
              <w:spacing w:line="360" w:lineRule="auto"/>
              <w:ind w:firstLine="0"/>
              <w:jc w:val="center"/>
              <w:rPr>
                <w:rFonts w:hint="eastAsia" w:hAnsi="宋体"/>
                <w:szCs w:val="24"/>
                <w:u w:val="single"/>
              </w:rPr>
            </w:pPr>
          </w:p>
        </w:tc>
      </w:tr>
      <w:tr w14:paraId="1B467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4" w:type="dxa"/>
          </w:tcPr>
          <w:p w14:paraId="39B37791">
            <w:pPr>
              <w:pStyle w:val="506"/>
              <w:spacing w:line="360" w:lineRule="auto"/>
              <w:ind w:firstLine="0"/>
              <w:jc w:val="center"/>
              <w:rPr>
                <w:rFonts w:hint="eastAsia" w:hAnsi="宋体"/>
                <w:szCs w:val="24"/>
                <w:u w:val="single"/>
              </w:rPr>
            </w:pPr>
          </w:p>
        </w:tc>
        <w:tc>
          <w:tcPr>
            <w:tcW w:w="2024" w:type="dxa"/>
          </w:tcPr>
          <w:p w14:paraId="34FEC2EE">
            <w:pPr>
              <w:pStyle w:val="506"/>
              <w:spacing w:line="360" w:lineRule="auto"/>
              <w:ind w:firstLine="0"/>
              <w:jc w:val="center"/>
              <w:rPr>
                <w:rFonts w:hint="eastAsia" w:hAnsi="宋体"/>
                <w:szCs w:val="24"/>
                <w:u w:val="single"/>
              </w:rPr>
            </w:pPr>
          </w:p>
        </w:tc>
        <w:tc>
          <w:tcPr>
            <w:tcW w:w="1276" w:type="dxa"/>
          </w:tcPr>
          <w:p w14:paraId="2C88E25A">
            <w:pPr>
              <w:pStyle w:val="506"/>
              <w:spacing w:line="360" w:lineRule="auto"/>
              <w:ind w:firstLine="0"/>
              <w:jc w:val="center"/>
              <w:rPr>
                <w:rFonts w:hint="eastAsia" w:hAnsi="宋体"/>
                <w:szCs w:val="24"/>
                <w:u w:val="single"/>
              </w:rPr>
            </w:pPr>
          </w:p>
        </w:tc>
        <w:tc>
          <w:tcPr>
            <w:tcW w:w="1418" w:type="dxa"/>
          </w:tcPr>
          <w:p w14:paraId="1A6071E3">
            <w:pPr>
              <w:pStyle w:val="506"/>
              <w:spacing w:line="360" w:lineRule="auto"/>
              <w:ind w:firstLine="0"/>
              <w:jc w:val="center"/>
              <w:rPr>
                <w:rFonts w:hint="eastAsia" w:hAnsi="宋体"/>
                <w:szCs w:val="24"/>
                <w:u w:val="single"/>
              </w:rPr>
            </w:pPr>
          </w:p>
        </w:tc>
        <w:tc>
          <w:tcPr>
            <w:tcW w:w="1682" w:type="dxa"/>
          </w:tcPr>
          <w:p w14:paraId="00FDC71E">
            <w:pPr>
              <w:pStyle w:val="506"/>
              <w:spacing w:line="360" w:lineRule="auto"/>
              <w:ind w:firstLine="0"/>
              <w:jc w:val="center"/>
              <w:rPr>
                <w:rFonts w:hint="eastAsia" w:hAnsi="宋体"/>
                <w:szCs w:val="24"/>
                <w:u w:val="single"/>
              </w:rPr>
            </w:pPr>
          </w:p>
        </w:tc>
        <w:tc>
          <w:tcPr>
            <w:tcW w:w="1340" w:type="dxa"/>
          </w:tcPr>
          <w:p w14:paraId="22CC7F79">
            <w:pPr>
              <w:pStyle w:val="506"/>
              <w:spacing w:line="360" w:lineRule="auto"/>
              <w:ind w:firstLine="0"/>
              <w:jc w:val="center"/>
              <w:rPr>
                <w:rFonts w:hint="eastAsia" w:hAnsi="宋体"/>
                <w:szCs w:val="24"/>
                <w:u w:val="single"/>
              </w:rPr>
            </w:pPr>
          </w:p>
        </w:tc>
        <w:tc>
          <w:tcPr>
            <w:tcW w:w="1045" w:type="dxa"/>
          </w:tcPr>
          <w:p w14:paraId="1A4319EE">
            <w:pPr>
              <w:pStyle w:val="506"/>
              <w:spacing w:line="360" w:lineRule="auto"/>
              <w:ind w:firstLine="0"/>
              <w:jc w:val="center"/>
              <w:rPr>
                <w:rFonts w:hint="eastAsia" w:hAnsi="宋体"/>
                <w:szCs w:val="24"/>
                <w:u w:val="single"/>
              </w:rPr>
            </w:pPr>
          </w:p>
        </w:tc>
      </w:tr>
      <w:tr w14:paraId="27086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4" w:type="dxa"/>
          </w:tcPr>
          <w:p w14:paraId="7A50B04C">
            <w:pPr>
              <w:pStyle w:val="506"/>
              <w:spacing w:line="360" w:lineRule="auto"/>
              <w:ind w:firstLine="0"/>
              <w:jc w:val="center"/>
              <w:rPr>
                <w:rFonts w:hint="eastAsia" w:hAnsi="宋体"/>
                <w:szCs w:val="24"/>
                <w:u w:val="single"/>
              </w:rPr>
            </w:pPr>
          </w:p>
        </w:tc>
        <w:tc>
          <w:tcPr>
            <w:tcW w:w="2024" w:type="dxa"/>
          </w:tcPr>
          <w:p w14:paraId="048856A0">
            <w:pPr>
              <w:pStyle w:val="506"/>
              <w:spacing w:line="360" w:lineRule="auto"/>
              <w:ind w:firstLine="0"/>
              <w:jc w:val="center"/>
              <w:rPr>
                <w:rFonts w:hint="eastAsia" w:hAnsi="宋体"/>
                <w:szCs w:val="24"/>
                <w:u w:val="single"/>
              </w:rPr>
            </w:pPr>
          </w:p>
        </w:tc>
        <w:tc>
          <w:tcPr>
            <w:tcW w:w="1276" w:type="dxa"/>
          </w:tcPr>
          <w:p w14:paraId="7D6FEF7E">
            <w:pPr>
              <w:pStyle w:val="506"/>
              <w:spacing w:line="360" w:lineRule="auto"/>
              <w:ind w:firstLine="0"/>
              <w:jc w:val="center"/>
              <w:rPr>
                <w:rFonts w:hint="eastAsia" w:hAnsi="宋体"/>
                <w:szCs w:val="24"/>
                <w:u w:val="single"/>
              </w:rPr>
            </w:pPr>
          </w:p>
        </w:tc>
        <w:tc>
          <w:tcPr>
            <w:tcW w:w="1418" w:type="dxa"/>
          </w:tcPr>
          <w:p w14:paraId="4A43BDE4">
            <w:pPr>
              <w:pStyle w:val="506"/>
              <w:spacing w:line="360" w:lineRule="auto"/>
              <w:ind w:firstLine="0"/>
              <w:jc w:val="center"/>
              <w:rPr>
                <w:rFonts w:hint="eastAsia" w:hAnsi="宋体"/>
                <w:szCs w:val="24"/>
                <w:u w:val="single"/>
              </w:rPr>
            </w:pPr>
          </w:p>
        </w:tc>
        <w:tc>
          <w:tcPr>
            <w:tcW w:w="1682" w:type="dxa"/>
          </w:tcPr>
          <w:p w14:paraId="23D8BD41">
            <w:pPr>
              <w:pStyle w:val="506"/>
              <w:spacing w:line="360" w:lineRule="auto"/>
              <w:ind w:firstLine="0"/>
              <w:jc w:val="center"/>
              <w:rPr>
                <w:rFonts w:hint="eastAsia" w:hAnsi="宋体"/>
                <w:szCs w:val="24"/>
                <w:u w:val="single"/>
              </w:rPr>
            </w:pPr>
          </w:p>
        </w:tc>
        <w:tc>
          <w:tcPr>
            <w:tcW w:w="1340" w:type="dxa"/>
          </w:tcPr>
          <w:p w14:paraId="4CE12FE5">
            <w:pPr>
              <w:pStyle w:val="506"/>
              <w:spacing w:line="360" w:lineRule="auto"/>
              <w:ind w:firstLine="0"/>
              <w:jc w:val="center"/>
              <w:rPr>
                <w:rFonts w:hint="eastAsia" w:hAnsi="宋体"/>
                <w:szCs w:val="24"/>
                <w:u w:val="single"/>
              </w:rPr>
            </w:pPr>
          </w:p>
        </w:tc>
        <w:tc>
          <w:tcPr>
            <w:tcW w:w="1045" w:type="dxa"/>
          </w:tcPr>
          <w:p w14:paraId="75F73064">
            <w:pPr>
              <w:pStyle w:val="506"/>
              <w:spacing w:line="360" w:lineRule="auto"/>
              <w:ind w:firstLine="0"/>
              <w:jc w:val="center"/>
              <w:rPr>
                <w:rFonts w:hint="eastAsia" w:hAnsi="宋体"/>
                <w:szCs w:val="24"/>
                <w:u w:val="single"/>
              </w:rPr>
            </w:pPr>
          </w:p>
        </w:tc>
      </w:tr>
      <w:tr w14:paraId="1561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4" w:type="dxa"/>
          </w:tcPr>
          <w:p w14:paraId="07A8E10F">
            <w:pPr>
              <w:pStyle w:val="506"/>
              <w:spacing w:line="360" w:lineRule="auto"/>
              <w:ind w:firstLine="0"/>
              <w:jc w:val="center"/>
              <w:rPr>
                <w:rFonts w:hint="eastAsia" w:hAnsi="宋体"/>
                <w:szCs w:val="24"/>
                <w:u w:val="single"/>
              </w:rPr>
            </w:pPr>
          </w:p>
        </w:tc>
        <w:tc>
          <w:tcPr>
            <w:tcW w:w="2024" w:type="dxa"/>
          </w:tcPr>
          <w:p w14:paraId="74CEACDA">
            <w:pPr>
              <w:pStyle w:val="506"/>
              <w:spacing w:line="360" w:lineRule="auto"/>
              <w:ind w:firstLine="0"/>
              <w:jc w:val="center"/>
              <w:rPr>
                <w:rFonts w:hint="eastAsia" w:hAnsi="宋体"/>
                <w:szCs w:val="24"/>
                <w:u w:val="single"/>
              </w:rPr>
            </w:pPr>
          </w:p>
        </w:tc>
        <w:tc>
          <w:tcPr>
            <w:tcW w:w="1276" w:type="dxa"/>
          </w:tcPr>
          <w:p w14:paraId="37CA0E13">
            <w:pPr>
              <w:pStyle w:val="506"/>
              <w:spacing w:line="360" w:lineRule="auto"/>
              <w:ind w:firstLine="0"/>
              <w:jc w:val="center"/>
              <w:rPr>
                <w:rFonts w:hint="eastAsia" w:hAnsi="宋体"/>
                <w:szCs w:val="24"/>
                <w:u w:val="single"/>
              </w:rPr>
            </w:pPr>
          </w:p>
        </w:tc>
        <w:tc>
          <w:tcPr>
            <w:tcW w:w="1418" w:type="dxa"/>
          </w:tcPr>
          <w:p w14:paraId="5D8AB183">
            <w:pPr>
              <w:pStyle w:val="506"/>
              <w:spacing w:line="360" w:lineRule="auto"/>
              <w:ind w:firstLine="0"/>
              <w:jc w:val="center"/>
              <w:rPr>
                <w:rFonts w:hint="eastAsia" w:hAnsi="宋体"/>
                <w:szCs w:val="24"/>
                <w:u w:val="single"/>
              </w:rPr>
            </w:pPr>
          </w:p>
        </w:tc>
        <w:tc>
          <w:tcPr>
            <w:tcW w:w="1682" w:type="dxa"/>
          </w:tcPr>
          <w:p w14:paraId="2CC8DACA">
            <w:pPr>
              <w:pStyle w:val="506"/>
              <w:spacing w:line="360" w:lineRule="auto"/>
              <w:ind w:firstLine="0"/>
              <w:jc w:val="center"/>
              <w:rPr>
                <w:rFonts w:hint="eastAsia" w:hAnsi="宋体"/>
                <w:szCs w:val="24"/>
                <w:u w:val="single"/>
              </w:rPr>
            </w:pPr>
          </w:p>
        </w:tc>
        <w:tc>
          <w:tcPr>
            <w:tcW w:w="1340" w:type="dxa"/>
          </w:tcPr>
          <w:p w14:paraId="307E35F3">
            <w:pPr>
              <w:pStyle w:val="506"/>
              <w:spacing w:line="360" w:lineRule="auto"/>
              <w:ind w:firstLine="0"/>
              <w:jc w:val="center"/>
              <w:rPr>
                <w:rFonts w:hint="eastAsia" w:hAnsi="宋体"/>
                <w:szCs w:val="24"/>
                <w:u w:val="single"/>
              </w:rPr>
            </w:pPr>
          </w:p>
        </w:tc>
        <w:tc>
          <w:tcPr>
            <w:tcW w:w="1045" w:type="dxa"/>
          </w:tcPr>
          <w:p w14:paraId="74E87873">
            <w:pPr>
              <w:pStyle w:val="506"/>
              <w:spacing w:line="360" w:lineRule="auto"/>
              <w:ind w:firstLine="0"/>
              <w:jc w:val="center"/>
              <w:rPr>
                <w:rFonts w:hint="eastAsia" w:hAnsi="宋体"/>
                <w:szCs w:val="24"/>
                <w:u w:val="single"/>
              </w:rPr>
            </w:pPr>
          </w:p>
        </w:tc>
      </w:tr>
    </w:tbl>
    <w:p w14:paraId="65924FFB">
      <w:pPr>
        <w:spacing w:before="48" w:beforeLines="20" w:after="48" w:afterLines="20"/>
        <w:rPr>
          <w:rFonts w:hint="eastAsia" w:ascii="宋体" w:hAnsi="宋体"/>
          <w:szCs w:val="21"/>
        </w:rPr>
      </w:pPr>
    </w:p>
    <w:p w14:paraId="391332CA">
      <w:pPr>
        <w:spacing w:before="48" w:beforeLines="20" w:after="48" w:afterLines="20" w:line="360" w:lineRule="auto"/>
        <w:rPr>
          <w:rFonts w:hint="eastAsia" w:ascii="宋体" w:hAnsi="宋体"/>
          <w:szCs w:val="21"/>
        </w:rPr>
      </w:pPr>
      <w:r>
        <w:rPr>
          <w:rFonts w:hint="eastAsia" w:ascii="宋体" w:hAnsi="宋体"/>
          <w:szCs w:val="21"/>
        </w:rPr>
        <w:t>备注：供应商应按照以下规定提交业绩证明材料</w:t>
      </w:r>
    </w:p>
    <w:p w14:paraId="30904AB9">
      <w:pPr>
        <w:spacing w:line="360" w:lineRule="auto"/>
        <w:ind w:firstLine="420" w:firstLineChars="200"/>
        <w:rPr>
          <w:rFonts w:hint="eastAsia" w:ascii="宋体" w:hAnsi="宋体"/>
          <w:szCs w:val="21"/>
        </w:rPr>
      </w:pPr>
      <w:r>
        <w:rPr>
          <w:rFonts w:hint="eastAsia" w:ascii="宋体" w:hAnsi="宋体"/>
          <w:szCs w:val="21"/>
        </w:rPr>
        <w:t>业绩证明材料要求：</w:t>
      </w:r>
    </w:p>
    <w:p w14:paraId="2A8F5ECB">
      <w:pPr>
        <w:spacing w:line="360" w:lineRule="auto"/>
        <w:ind w:left="735" w:leftChars="200" w:hanging="315" w:hangingChars="150"/>
        <w:rPr>
          <w:rFonts w:hint="eastAsia" w:ascii="宋体" w:hAnsi="宋体"/>
          <w:szCs w:val="21"/>
        </w:rPr>
      </w:pPr>
      <w:r>
        <w:rPr>
          <w:rFonts w:hint="eastAsia" w:ascii="宋体" w:hAnsi="宋体"/>
          <w:szCs w:val="21"/>
        </w:rPr>
        <w:t>1、相关工程指装饰装修工程业绩。</w:t>
      </w:r>
    </w:p>
    <w:p w14:paraId="59346571">
      <w:pPr>
        <w:spacing w:line="360" w:lineRule="auto"/>
        <w:ind w:firstLine="420" w:firstLineChars="200"/>
        <w:rPr>
          <w:rFonts w:hint="eastAsia" w:ascii="宋体" w:hAnsi="宋体"/>
          <w:szCs w:val="21"/>
        </w:rPr>
      </w:pPr>
      <w:r>
        <w:rPr>
          <w:rFonts w:hint="eastAsia" w:ascii="宋体" w:hAnsi="宋体"/>
          <w:szCs w:val="21"/>
        </w:rPr>
        <w:t>2、近3年是指2021年10月8日至响应文件递交截止之日，以合同签订日期为准。</w:t>
      </w:r>
    </w:p>
    <w:p w14:paraId="4A2475C5">
      <w:pPr>
        <w:spacing w:line="360" w:lineRule="auto"/>
        <w:ind w:left="735" w:leftChars="350"/>
        <w:rPr>
          <w:rFonts w:hint="eastAsia" w:ascii="宋体" w:hAnsi="宋体"/>
          <w:szCs w:val="21"/>
        </w:rPr>
      </w:pPr>
      <w:r>
        <w:rPr>
          <w:rFonts w:hint="eastAsia" w:ascii="宋体" w:hAnsi="宋体"/>
          <w:szCs w:val="21"/>
        </w:rPr>
        <w:t>需提供与甲方签订合同的合同首页至合同签字盖章页的关键内容合同页（复印件须加盖供应商公章）。</w:t>
      </w:r>
    </w:p>
    <w:p w14:paraId="73C6D89C">
      <w:pPr>
        <w:spacing w:line="360" w:lineRule="auto"/>
        <w:rPr>
          <w:rFonts w:hint="eastAsia" w:ascii="宋体" w:hAnsi="宋体"/>
          <w:sz w:val="24"/>
        </w:rPr>
      </w:pPr>
    </w:p>
    <w:p w14:paraId="2E70D4E8">
      <w:pPr>
        <w:spacing w:line="360" w:lineRule="auto"/>
        <w:rPr>
          <w:rFonts w:hint="eastAsia" w:ascii="宋体" w:hAnsi="宋体"/>
          <w:sz w:val="24"/>
        </w:rPr>
      </w:pPr>
    </w:p>
    <w:p w14:paraId="39A4820D">
      <w:pPr>
        <w:spacing w:line="360" w:lineRule="auto"/>
        <w:rPr>
          <w:rFonts w:hint="eastAsia" w:ascii="宋体" w:hAnsi="宋体"/>
          <w:sz w:val="24"/>
        </w:rPr>
      </w:pPr>
    </w:p>
    <w:p w14:paraId="771E0848">
      <w:pPr>
        <w:spacing w:line="360" w:lineRule="auto"/>
        <w:ind w:firstLine="420" w:firstLineChars="200"/>
        <w:rPr>
          <w:rFonts w:hint="eastAsia" w:ascii="宋体" w:hAnsi="宋体"/>
          <w:szCs w:val="21"/>
          <w:u w:val="single"/>
        </w:rPr>
      </w:pPr>
      <w:r>
        <w:rPr>
          <w:rFonts w:ascii="宋体" w:hAnsi="宋体"/>
          <w:szCs w:val="21"/>
        </w:rPr>
        <w:t>被授权人签字：</w:t>
      </w:r>
      <w:r>
        <w:rPr>
          <w:rFonts w:ascii="宋体" w:hAnsi="宋体"/>
          <w:szCs w:val="21"/>
          <w:u w:val="single"/>
        </w:rPr>
        <w:t xml:space="preserve">                              </w:t>
      </w:r>
    </w:p>
    <w:p w14:paraId="5630B102">
      <w:pPr>
        <w:spacing w:line="360" w:lineRule="auto"/>
        <w:ind w:right="480" w:firstLine="420" w:firstLineChars="200"/>
        <w:rPr>
          <w:rFonts w:hint="eastAsia" w:ascii="宋体" w:hAnsi="宋体"/>
          <w:szCs w:val="21"/>
          <w:u w:val="single"/>
        </w:rPr>
      </w:pPr>
      <w:r>
        <w:rPr>
          <w:rFonts w:ascii="宋体" w:hAnsi="宋体"/>
          <w:szCs w:val="21"/>
        </w:rPr>
        <w:t>供应商名称（公章）：</w:t>
      </w:r>
      <w:r>
        <w:rPr>
          <w:rFonts w:ascii="宋体" w:hAnsi="宋体"/>
          <w:szCs w:val="21"/>
          <w:u w:val="single"/>
        </w:rPr>
        <w:t xml:space="preserve">                         </w:t>
      </w:r>
    </w:p>
    <w:p w14:paraId="25038780">
      <w:pPr>
        <w:spacing w:line="360" w:lineRule="auto"/>
        <w:ind w:right="480"/>
        <w:rPr>
          <w:rFonts w:hint="eastAsia" w:ascii="宋体" w:hAnsi="宋体"/>
          <w:sz w:val="24"/>
          <w:u w:val="single"/>
        </w:rPr>
      </w:pPr>
    </w:p>
    <w:p w14:paraId="1371F0F3">
      <w:pPr>
        <w:spacing w:line="360" w:lineRule="auto"/>
        <w:ind w:right="480"/>
        <w:rPr>
          <w:rFonts w:hint="eastAsia" w:ascii="宋体" w:hAnsi="宋体"/>
          <w:sz w:val="24"/>
          <w:u w:val="single"/>
        </w:rPr>
      </w:pPr>
    </w:p>
    <w:p w14:paraId="15355DA4">
      <w:pPr>
        <w:spacing w:line="360" w:lineRule="auto"/>
        <w:ind w:right="480"/>
        <w:rPr>
          <w:rFonts w:hint="eastAsia" w:ascii="宋体" w:hAnsi="宋体"/>
          <w:sz w:val="24"/>
          <w:u w:val="single"/>
        </w:rPr>
      </w:pPr>
    </w:p>
    <w:p w14:paraId="3D42C70C">
      <w:pPr>
        <w:spacing w:line="360" w:lineRule="auto"/>
        <w:ind w:right="480"/>
        <w:rPr>
          <w:rFonts w:hint="eastAsia" w:ascii="宋体" w:hAnsi="宋体"/>
          <w:sz w:val="24"/>
          <w:u w:val="single"/>
        </w:rPr>
        <w:sectPr>
          <w:pgSz w:w="11906" w:h="16838"/>
          <w:pgMar w:top="1440" w:right="1800" w:bottom="1440" w:left="1800" w:header="851" w:footer="992" w:gutter="0"/>
          <w:cols w:space="720" w:num="1"/>
          <w:docGrid w:linePitch="312" w:charSpace="0"/>
        </w:sectPr>
      </w:pPr>
    </w:p>
    <w:p w14:paraId="7164C73A">
      <w:pPr>
        <w:pStyle w:val="6"/>
        <w:rPr>
          <w:szCs w:val="24"/>
          <w:u w:val="none"/>
        </w:rPr>
      </w:pPr>
      <w:bookmarkStart w:id="2754" w:name="_Toc518992192"/>
      <w:bookmarkStart w:id="2755" w:name="_Toc142385810"/>
      <w:bookmarkStart w:id="2756" w:name="_Toc130920627"/>
      <w:r>
        <w:rPr>
          <w:rFonts w:hint="eastAsia"/>
          <w:szCs w:val="24"/>
          <w:u w:val="none"/>
        </w:rPr>
        <w:t>4.11拟投入本项目的主要人员</w:t>
      </w:r>
      <w:bookmarkEnd w:id="2754"/>
      <w:bookmarkEnd w:id="2755"/>
      <w:bookmarkEnd w:id="2756"/>
    </w:p>
    <w:p w14:paraId="423BF35B">
      <w:pPr>
        <w:tabs>
          <w:tab w:val="left" w:pos="0"/>
        </w:tabs>
        <w:ind w:right="-212" w:firstLine="105" w:firstLineChars="50"/>
        <w:rPr>
          <w:rFonts w:hint="eastAsia" w:hAnsi="宋体"/>
          <w:b/>
          <w:bCs/>
          <w:szCs w:val="23"/>
        </w:rPr>
      </w:pPr>
    </w:p>
    <w:tbl>
      <w:tblPr>
        <w:tblStyle w:val="8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3"/>
        <w:gridCol w:w="903"/>
        <w:gridCol w:w="722"/>
        <w:gridCol w:w="902"/>
        <w:gridCol w:w="542"/>
        <w:gridCol w:w="1082"/>
        <w:gridCol w:w="362"/>
        <w:gridCol w:w="1262"/>
        <w:gridCol w:w="182"/>
        <w:gridCol w:w="1444"/>
      </w:tblGrid>
      <w:tr w14:paraId="2BA89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623" w:type="dxa"/>
            <w:vAlign w:val="center"/>
          </w:tcPr>
          <w:p w14:paraId="10F3CA7F">
            <w:pPr>
              <w:jc w:val="center"/>
            </w:pPr>
            <w:r>
              <w:rPr>
                <w:rFonts w:hint="eastAsia"/>
              </w:rPr>
              <w:t>工程名称</w:t>
            </w:r>
          </w:p>
        </w:tc>
        <w:tc>
          <w:tcPr>
            <w:tcW w:w="7401" w:type="dxa"/>
            <w:gridSpan w:val="9"/>
          </w:tcPr>
          <w:p w14:paraId="73AC14D8">
            <w:pPr>
              <w:jc w:val="center"/>
              <w:rPr>
                <w:b/>
                <w:bCs/>
                <w:sz w:val="28"/>
              </w:rPr>
            </w:pPr>
          </w:p>
        </w:tc>
      </w:tr>
      <w:tr w14:paraId="70A6A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3" w:type="dxa"/>
            <w:vAlign w:val="center"/>
          </w:tcPr>
          <w:p w14:paraId="7CC95102">
            <w:pPr>
              <w:jc w:val="center"/>
            </w:pPr>
            <w:r>
              <w:rPr>
                <w:rFonts w:hint="eastAsia"/>
              </w:rPr>
              <w:t>公司名称</w:t>
            </w:r>
          </w:p>
        </w:tc>
        <w:tc>
          <w:tcPr>
            <w:tcW w:w="7401" w:type="dxa"/>
            <w:gridSpan w:val="9"/>
          </w:tcPr>
          <w:p w14:paraId="5235AFD0">
            <w:pPr>
              <w:jc w:val="center"/>
              <w:rPr>
                <w:b/>
                <w:bCs/>
                <w:sz w:val="28"/>
              </w:rPr>
            </w:pPr>
          </w:p>
        </w:tc>
      </w:tr>
      <w:tr w14:paraId="14678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9024" w:type="dxa"/>
            <w:gridSpan w:val="10"/>
            <w:vAlign w:val="center"/>
          </w:tcPr>
          <w:p w14:paraId="43B86780">
            <w:pPr>
              <w:jc w:val="center"/>
              <w:rPr>
                <w:b/>
                <w:bCs/>
              </w:rPr>
            </w:pPr>
            <w:r>
              <w:rPr>
                <w:rFonts w:hint="eastAsia"/>
                <w:b/>
                <w:bCs/>
              </w:rPr>
              <w:t>项目管理部人员构成情况表</w:t>
            </w:r>
          </w:p>
        </w:tc>
      </w:tr>
      <w:tr w14:paraId="39B65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2526" w:type="dxa"/>
            <w:gridSpan w:val="2"/>
            <w:vMerge w:val="restart"/>
            <w:vAlign w:val="center"/>
          </w:tcPr>
          <w:p w14:paraId="61F408ED">
            <w:pPr>
              <w:jc w:val="center"/>
            </w:pPr>
            <w:r>
              <w:rPr>
                <w:rFonts w:hint="eastAsia"/>
              </w:rPr>
              <w:t>项目管理部管理人员</w:t>
            </w:r>
          </w:p>
        </w:tc>
        <w:tc>
          <w:tcPr>
            <w:tcW w:w="722" w:type="dxa"/>
            <w:vMerge w:val="restart"/>
            <w:vAlign w:val="center"/>
          </w:tcPr>
          <w:p w14:paraId="6A0769C0">
            <w:pPr>
              <w:jc w:val="center"/>
            </w:pPr>
            <w:r>
              <w:rPr>
                <w:rFonts w:hint="eastAsia"/>
              </w:rPr>
              <w:t>人</w:t>
            </w:r>
          </w:p>
        </w:tc>
        <w:tc>
          <w:tcPr>
            <w:tcW w:w="5776" w:type="dxa"/>
            <w:gridSpan w:val="7"/>
          </w:tcPr>
          <w:p w14:paraId="3970DC0B">
            <w:pPr>
              <w:jc w:val="center"/>
            </w:pPr>
            <w:r>
              <w:rPr>
                <w:rFonts w:hint="eastAsia"/>
              </w:rPr>
              <w:t>有职称管理人员</w:t>
            </w:r>
          </w:p>
        </w:tc>
      </w:tr>
      <w:tr w14:paraId="1EE9C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 w:hRule="atLeast"/>
          <w:jc w:val="center"/>
        </w:trPr>
        <w:tc>
          <w:tcPr>
            <w:tcW w:w="2526" w:type="dxa"/>
            <w:gridSpan w:val="2"/>
            <w:vMerge w:val="continue"/>
          </w:tcPr>
          <w:p w14:paraId="2442DA36"/>
        </w:tc>
        <w:tc>
          <w:tcPr>
            <w:tcW w:w="722" w:type="dxa"/>
            <w:vMerge w:val="continue"/>
          </w:tcPr>
          <w:p w14:paraId="33BA1A04"/>
        </w:tc>
        <w:tc>
          <w:tcPr>
            <w:tcW w:w="1444" w:type="dxa"/>
            <w:gridSpan w:val="2"/>
            <w:vAlign w:val="center"/>
          </w:tcPr>
          <w:p w14:paraId="0584E17A">
            <w:pPr>
              <w:jc w:val="center"/>
            </w:pPr>
            <w:r>
              <w:rPr>
                <w:rFonts w:hint="eastAsia"/>
              </w:rPr>
              <w:t>高工</w:t>
            </w:r>
          </w:p>
        </w:tc>
        <w:tc>
          <w:tcPr>
            <w:tcW w:w="1444" w:type="dxa"/>
            <w:gridSpan w:val="2"/>
            <w:vAlign w:val="center"/>
          </w:tcPr>
          <w:p w14:paraId="55CAA683">
            <w:pPr>
              <w:jc w:val="center"/>
            </w:pPr>
            <w:r>
              <w:rPr>
                <w:rFonts w:hint="eastAsia"/>
              </w:rPr>
              <w:t>工程师</w:t>
            </w:r>
          </w:p>
        </w:tc>
        <w:tc>
          <w:tcPr>
            <w:tcW w:w="1444" w:type="dxa"/>
            <w:gridSpan w:val="2"/>
            <w:vAlign w:val="center"/>
          </w:tcPr>
          <w:p w14:paraId="5A62DB56">
            <w:pPr>
              <w:jc w:val="center"/>
            </w:pPr>
            <w:r>
              <w:rPr>
                <w:rFonts w:hint="eastAsia"/>
              </w:rPr>
              <w:t>助工</w:t>
            </w:r>
          </w:p>
        </w:tc>
        <w:tc>
          <w:tcPr>
            <w:tcW w:w="1444" w:type="dxa"/>
            <w:vAlign w:val="center"/>
          </w:tcPr>
          <w:p w14:paraId="1D8553BA">
            <w:pPr>
              <w:jc w:val="center"/>
            </w:pPr>
            <w:r>
              <w:rPr>
                <w:rFonts w:hint="eastAsia"/>
              </w:rPr>
              <w:t>技术员</w:t>
            </w:r>
          </w:p>
        </w:tc>
      </w:tr>
      <w:tr w14:paraId="2A64C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 w:hRule="atLeast"/>
          <w:jc w:val="center"/>
        </w:trPr>
        <w:tc>
          <w:tcPr>
            <w:tcW w:w="2526" w:type="dxa"/>
            <w:gridSpan w:val="2"/>
            <w:vMerge w:val="continue"/>
          </w:tcPr>
          <w:p w14:paraId="0961FB37"/>
        </w:tc>
        <w:tc>
          <w:tcPr>
            <w:tcW w:w="722" w:type="dxa"/>
            <w:vMerge w:val="continue"/>
          </w:tcPr>
          <w:p w14:paraId="0EEF14B2"/>
        </w:tc>
        <w:tc>
          <w:tcPr>
            <w:tcW w:w="1444" w:type="dxa"/>
            <w:gridSpan w:val="2"/>
          </w:tcPr>
          <w:p w14:paraId="04F9AE7C"/>
        </w:tc>
        <w:tc>
          <w:tcPr>
            <w:tcW w:w="1444" w:type="dxa"/>
            <w:gridSpan w:val="2"/>
          </w:tcPr>
          <w:p w14:paraId="79A778E6"/>
        </w:tc>
        <w:tc>
          <w:tcPr>
            <w:tcW w:w="1444" w:type="dxa"/>
            <w:gridSpan w:val="2"/>
          </w:tcPr>
          <w:p w14:paraId="28D6160D"/>
        </w:tc>
        <w:tc>
          <w:tcPr>
            <w:tcW w:w="1444" w:type="dxa"/>
          </w:tcPr>
          <w:p w14:paraId="3818CC5C"/>
        </w:tc>
      </w:tr>
      <w:tr w14:paraId="7BF37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 w:hRule="atLeast"/>
          <w:jc w:val="center"/>
        </w:trPr>
        <w:tc>
          <w:tcPr>
            <w:tcW w:w="2526" w:type="dxa"/>
            <w:gridSpan w:val="2"/>
          </w:tcPr>
          <w:p w14:paraId="76E1D54F">
            <w:pPr>
              <w:jc w:val="center"/>
            </w:pPr>
            <w:r>
              <w:rPr>
                <w:rFonts w:hint="eastAsia"/>
              </w:rPr>
              <w:t>主要管理人员</w:t>
            </w:r>
          </w:p>
        </w:tc>
        <w:tc>
          <w:tcPr>
            <w:tcW w:w="1624" w:type="dxa"/>
            <w:gridSpan w:val="2"/>
          </w:tcPr>
          <w:p w14:paraId="50C13547">
            <w:pPr>
              <w:jc w:val="center"/>
            </w:pPr>
            <w:r>
              <w:rPr>
                <w:rFonts w:hint="eastAsia"/>
              </w:rPr>
              <w:t>姓名</w:t>
            </w:r>
          </w:p>
        </w:tc>
        <w:tc>
          <w:tcPr>
            <w:tcW w:w="1624" w:type="dxa"/>
            <w:gridSpan w:val="2"/>
          </w:tcPr>
          <w:p w14:paraId="1F25CF1E">
            <w:pPr>
              <w:jc w:val="center"/>
            </w:pPr>
            <w:r>
              <w:rPr>
                <w:rFonts w:hint="eastAsia"/>
              </w:rPr>
              <w:t>职务</w:t>
            </w:r>
          </w:p>
        </w:tc>
        <w:tc>
          <w:tcPr>
            <w:tcW w:w="1624" w:type="dxa"/>
            <w:gridSpan w:val="2"/>
          </w:tcPr>
          <w:p w14:paraId="08878213">
            <w:pPr>
              <w:jc w:val="center"/>
            </w:pPr>
            <w:r>
              <w:rPr>
                <w:rFonts w:hint="eastAsia"/>
              </w:rPr>
              <w:t>职称</w:t>
            </w:r>
          </w:p>
        </w:tc>
        <w:tc>
          <w:tcPr>
            <w:tcW w:w="1626" w:type="dxa"/>
            <w:gridSpan w:val="2"/>
          </w:tcPr>
          <w:p w14:paraId="5195D404">
            <w:pPr>
              <w:jc w:val="center"/>
            </w:pPr>
            <w:r>
              <w:rPr>
                <w:rFonts w:hint="eastAsia"/>
              </w:rPr>
              <w:t>学历</w:t>
            </w:r>
          </w:p>
        </w:tc>
      </w:tr>
      <w:tr w14:paraId="788AB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4" w:hRule="atLeast"/>
          <w:jc w:val="center"/>
        </w:trPr>
        <w:tc>
          <w:tcPr>
            <w:tcW w:w="2526" w:type="dxa"/>
            <w:gridSpan w:val="2"/>
          </w:tcPr>
          <w:p w14:paraId="45513422">
            <w:pPr>
              <w:ind w:left="420"/>
            </w:pPr>
          </w:p>
        </w:tc>
        <w:tc>
          <w:tcPr>
            <w:tcW w:w="1624" w:type="dxa"/>
            <w:gridSpan w:val="2"/>
          </w:tcPr>
          <w:p w14:paraId="5749E879"/>
        </w:tc>
        <w:tc>
          <w:tcPr>
            <w:tcW w:w="1624" w:type="dxa"/>
            <w:gridSpan w:val="2"/>
          </w:tcPr>
          <w:p w14:paraId="496847EB"/>
        </w:tc>
        <w:tc>
          <w:tcPr>
            <w:tcW w:w="1624" w:type="dxa"/>
            <w:gridSpan w:val="2"/>
          </w:tcPr>
          <w:p w14:paraId="409BD3AB"/>
        </w:tc>
        <w:tc>
          <w:tcPr>
            <w:tcW w:w="1626" w:type="dxa"/>
            <w:gridSpan w:val="2"/>
          </w:tcPr>
          <w:p w14:paraId="35142408"/>
          <w:p w14:paraId="60B729BC"/>
          <w:p w14:paraId="6DC90189"/>
          <w:p w14:paraId="534CE8B8"/>
          <w:p w14:paraId="4888AFBD"/>
          <w:p w14:paraId="3ECAB7C8"/>
          <w:p w14:paraId="01F9507F">
            <w:pPr>
              <w:widowControl/>
            </w:pPr>
          </w:p>
          <w:p w14:paraId="5491CDA2"/>
        </w:tc>
      </w:tr>
      <w:tr w14:paraId="6EFEC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 w:hRule="atLeast"/>
          <w:jc w:val="center"/>
        </w:trPr>
        <w:tc>
          <w:tcPr>
            <w:tcW w:w="9024" w:type="dxa"/>
            <w:gridSpan w:val="10"/>
          </w:tcPr>
          <w:p w14:paraId="7C309631">
            <w:pPr>
              <w:widowControl/>
            </w:pPr>
            <w:r>
              <w:rPr>
                <w:rFonts w:hint="eastAsia" w:hAnsi="宋体"/>
              </w:rPr>
              <w:t>上述现场组织机构各主要岗位的职责概述</w:t>
            </w:r>
          </w:p>
        </w:tc>
      </w:tr>
      <w:tr w14:paraId="01294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5" w:hRule="atLeast"/>
          <w:jc w:val="center"/>
        </w:trPr>
        <w:tc>
          <w:tcPr>
            <w:tcW w:w="9024" w:type="dxa"/>
            <w:gridSpan w:val="10"/>
            <w:tcBorders>
              <w:bottom w:val="single" w:color="auto" w:sz="4" w:space="0"/>
            </w:tcBorders>
          </w:tcPr>
          <w:p w14:paraId="3FD24837"/>
        </w:tc>
      </w:tr>
    </w:tbl>
    <w:p w14:paraId="27B89EFF">
      <w:pPr>
        <w:tabs>
          <w:tab w:val="left" w:pos="0"/>
        </w:tabs>
        <w:ind w:right="-212"/>
        <w:rPr>
          <w:b/>
          <w:bCs/>
        </w:rPr>
      </w:pPr>
    </w:p>
    <w:p w14:paraId="70B85EF2">
      <w:pPr>
        <w:tabs>
          <w:tab w:val="left" w:pos="0"/>
        </w:tabs>
        <w:ind w:right="-212"/>
        <w:rPr>
          <w:b/>
          <w:bCs/>
        </w:rPr>
      </w:pPr>
    </w:p>
    <w:p w14:paraId="6C1F6C19">
      <w:pPr>
        <w:tabs>
          <w:tab w:val="left" w:pos="0"/>
        </w:tabs>
        <w:ind w:right="-212"/>
        <w:rPr>
          <w:b/>
          <w:bCs/>
        </w:rPr>
      </w:pPr>
    </w:p>
    <w:p w14:paraId="0C82FF2F">
      <w:pPr>
        <w:tabs>
          <w:tab w:val="left" w:pos="0"/>
        </w:tabs>
        <w:ind w:right="-212"/>
        <w:rPr>
          <w:b/>
          <w:bCs/>
        </w:rPr>
      </w:pPr>
    </w:p>
    <w:p w14:paraId="18846A8B">
      <w:pPr>
        <w:tabs>
          <w:tab w:val="left" w:pos="0"/>
        </w:tabs>
        <w:ind w:right="-212"/>
        <w:rPr>
          <w:b/>
          <w:bCs/>
        </w:rPr>
      </w:pPr>
    </w:p>
    <w:p w14:paraId="2AF82061">
      <w:pPr>
        <w:tabs>
          <w:tab w:val="left" w:pos="0"/>
        </w:tabs>
        <w:ind w:right="-212"/>
        <w:rPr>
          <w:b/>
          <w:bCs/>
        </w:rPr>
      </w:pPr>
    </w:p>
    <w:tbl>
      <w:tblPr>
        <w:tblStyle w:val="8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236"/>
        <w:gridCol w:w="289"/>
        <w:gridCol w:w="81"/>
        <w:gridCol w:w="686"/>
        <w:gridCol w:w="481"/>
        <w:gridCol w:w="831"/>
        <w:gridCol w:w="613"/>
        <w:gridCol w:w="679"/>
        <w:gridCol w:w="869"/>
        <w:gridCol w:w="385"/>
        <w:gridCol w:w="63"/>
        <w:gridCol w:w="1977"/>
      </w:tblGrid>
      <w:tr w14:paraId="332CA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656" w:type="dxa"/>
            <w:gridSpan w:val="4"/>
            <w:vAlign w:val="center"/>
          </w:tcPr>
          <w:p w14:paraId="0BFEE077">
            <w:pPr>
              <w:jc w:val="center"/>
            </w:pPr>
            <w:r>
              <w:rPr>
                <w:rFonts w:hint="eastAsia"/>
              </w:rPr>
              <w:t>工程名称</w:t>
            </w:r>
          </w:p>
        </w:tc>
        <w:tc>
          <w:tcPr>
            <w:tcW w:w="6584" w:type="dxa"/>
            <w:gridSpan w:val="9"/>
          </w:tcPr>
          <w:p w14:paraId="4BF5E3B0">
            <w:pPr>
              <w:jc w:val="center"/>
              <w:rPr>
                <w:b/>
                <w:bCs/>
                <w:sz w:val="28"/>
              </w:rPr>
            </w:pPr>
          </w:p>
        </w:tc>
      </w:tr>
      <w:tr w14:paraId="41BFB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656" w:type="dxa"/>
            <w:gridSpan w:val="4"/>
            <w:vAlign w:val="center"/>
          </w:tcPr>
          <w:p w14:paraId="52532D50">
            <w:pPr>
              <w:jc w:val="center"/>
            </w:pPr>
            <w:r>
              <w:rPr>
                <w:rFonts w:hint="eastAsia"/>
              </w:rPr>
              <w:t>公司名称</w:t>
            </w:r>
          </w:p>
        </w:tc>
        <w:tc>
          <w:tcPr>
            <w:tcW w:w="6584" w:type="dxa"/>
            <w:gridSpan w:val="9"/>
          </w:tcPr>
          <w:p w14:paraId="5BFE318C">
            <w:pPr>
              <w:jc w:val="center"/>
              <w:rPr>
                <w:b/>
                <w:bCs/>
                <w:sz w:val="28"/>
              </w:rPr>
            </w:pPr>
          </w:p>
        </w:tc>
      </w:tr>
      <w:tr w14:paraId="4F848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8240" w:type="dxa"/>
            <w:gridSpan w:val="13"/>
            <w:vAlign w:val="center"/>
          </w:tcPr>
          <w:p w14:paraId="742BCDD6">
            <w:pPr>
              <w:spacing w:line="300" w:lineRule="auto"/>
              <w:jc w:val="center"/>
              <w:rPr>
                <w:b/>
                <w:bCs/>
                <w:sz w:val="28"/>
              </w:rPr>
            </w:pPr>
            <w:r>
              <w:rPr>
                <w:rFonts w:hint="eastAsia" w:hAnsi="宋体"/>
                <w:b/>
              </w:rPr>
              <w:t>项目经理简历表</w:t>
            </w:r>
          </w:p>
        </w:tc>
      </w:tr>
      <w:tr w14:paraId="46185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tcPr>
          <w:p w14:paraId="2A51DD8F">
            <w:r>
              <w:rPr>
                <w:rFonts w:hint="eastAsia"/>
              </w:rPr>
              <w:t>姓名</w:t>
            </w:r>
          </w:p>
        </w:tc>
        <w:tc>
          <w:tcPr>
            <w:tcW w:w="1292" w:type="dxa"/>
            <w:gridSpan w:val="4"/>
          </w:tcPr>
          <w:p w14:paraId="21AD718C">
            <w:r>
              <w:rPr>
                <w:rFonts w:hint="eastAsia"/>
              </w:rPr>
              <w:t xml:space="preserve"> </w:t>
            </w:r>
          </w:p>
        </w:tc>
        <w:tc>
          <w:tcPr>
            <w:tcW w:w="1312" w:type="dxa"/>
            <w:gridSpan w:val="2"/>
          </w:tcPr>
          <w:p w14:paraId="15E9BCFD">
            <w:r>
              <w:rPr>
                <w:rFonts w:hint="eastAsia"/>
              </w:rPr>
              <w:t>性别</w:t>
            </w:r>
          </w:p>
        </w:tc>
        <w:tc>
          <w:tcPr>
            <w:tcW w:w="1292" w:type="dxa"/>
            <w:gridSpan w:val="2"/>
          </w:tcPr>
          <w:p w14:paraId="4303E112"/>
        </w:tc>
        <w:tc>
          <w:tcPr>
            <w:tcW w:w="1317" w:type="dxa"/>
            <w:gridSpan w:val="3"/>
          </w:tcPr>
          <w:p w14:paraId="06DE3AFF">
            <w:r>
              <w:rPr>
                <w:rFonts w:hint="eastAsia"/>
              </w:rPr>
              <w:t>年龄</w:t>
            </w:r>
          </w:p>
        </w:tc>
        <w:tc>
          <w:tcPr>
            <w:tcW w:w="1977" w:type="dxa"/>
          </w:tcPr>
          <w:p w14:paraId="1689F8BE"/>
        </w:tc>
      </w:tr>
      <w:tr w14:paraId="684B6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tcPr>
          <w:p w14:paraId="2F8F4B91">
            <w:r>
              <w:rPr>
                <w:rFonts w:hint="eastAsia"/>
              </w:rPr>
              <w:t>职务</w:t>
            </w:r>
          </w:p>
        </w:tc>
        <w:tc>
          <w:tcPr>
            <w:tcW w:w="1292" w:type="dxa"/>
            <w:gridSpan w:val="4"/>
          </w:tcPr>
          <w:p w14:paraId="2752B70B"/>
        </w:tc>
        <w:tc>
          <w:tcPr>
            <w:tcW w:w="1312" w:type="dxa"/>
            <w:gridSpan w:val="2"/>
          </w:tcPr>
          <w:p w14:paraId="2B44F1C5">
            <w:r>
              <w:rPr>
                <w:rFonts w:hint="eastAsia"/>
              </w:rPr>
              <w:t>职称</w:t>
            </w:r>
          </w:p>
        </w:tc>
        <w:tc>
          <w:tcPr>
            <w:tcW w:w="1292" w:type="dxa"/>
            <w:gridSpan w:val="2"/>
          </w:tcPr>
          <w:p w14:paraId="0EFBE511"/>
        </w:tc>
        <w:tc>
          <w:tcPr>
            <w:tcW w:w="1317" w:type="dxa"/>
            <w:gridSpan w:val="3"/>
          </w:tcPr>
          <w:p w14:paraId="708F7020">
            <w:r>
              <w:rPr>
                <w:rFonts w:hint="eastAsia"/>
              </w:rPr>
              <w:t>学历</w:t>
            </w:r>
          </w:p>
        </w:tc>
        <w:tc>
          <w:tcPr>
            <w:tcW w:w="1977" w:type="dxa"/>
          </w:tcPr>
          <w:p w14:paraId="49CD693F"/>
        </w:tc>
      </w:tr>
      <w:tr w14:paraId="26F07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75" w:type="dxa"/>
            <w:gridSpan w:val="3"/>
          </w:tcPr>
          <w:p w14:paraId="2F8E9551">
            <w:r>
              <w:rPr>
                <w:rFonts w:hint="eastAsia"/>
              </w:rPr>
              <w:t>参加工作时间</w:t>
            </w:r>
          </w:p>
        </w:tc>
        <w:tc>
          <w:tcPr>
            <w:tcW w:w="2079" w:type="dxa"/>
            <w:gridSpan w:val="4"/>
          </w:tcPr>
          <w:p w14:paraId="0C02FE59"/>
        </w:tc>
        <w:tc>
          <w:tcPr>
            <w:tcW w:w="2161" w:type="dxa"/>
            <w:gridSpan w:val="3"/>
          </w:tcPr>
          <w:p w14:paraId="69E45F77">
            <w:pPr>
              <w:rPr>
                <w:rFonts w:hint="eastAsia" w:hAnsi="宋体"/>
              </w:rPr>
            </w:pPr>
            <w:r>
              <w:rPr>
                <w:rFonts w:hint="eastAsia" w:hAnsi="宋体"/>
              </w:rPr>
              <w:t>从事项目经理年限</w:t>
            </w:r>
          </w:p>
        </w:tc>
        <w:tc>
          <w:tcPr>
            <w:tcW w:w="2425" w:type="dxa"/>
            <w:gridSpan w:val="3"/>
          </w:tcPr>
          <w:p w14:paraId="792F4ED7"/>
        </w:tc>
      </w:tr>
      <w:tr w14:paraId="228B5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40" w:type="dxa"/>
            <w:gridSpan w:val="13"/>
            <w:tcBorders>
              <w:bottom w:val="single" w:color="auto" w:sz="4" w:space="0"/>
            </w:tcBorders>
            <w:vAlign w:val="center"/>
          </w:tcPr>
          <w:p w14:paraId="72E6FD2B">
            <w:pPr>
              <w:jc w:val="center"/>
              <w:rPr>
                <w:rFonts w:hint="eastAsia" w:hAnsi="宋体"/>
              </w:rPr>
            </w:pPr>
            <w:r>
              <w:rPr>
                <w:rFonts w:hint="eastAsia" w:hAnsi="宋体"/>
              </w:rPr>
              <w:t>近3年相关工程业绩</w:t>
            </w:r>
          </w:p>
        </w:tc>
      </w:tr>
      <w:tr w14:paraId="750F7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86" w:type="dxa"/>
            <w:gridSpan w:val="2"/>
            <w:vAlign w:val="center"/>
          </w:tcPr>
          <w:p w14:paraId="56114F05">
            <w:pPr>
              <w:jc w:val="center"/>
            </w:pPr>
            <w:r>
              <w:rPr>
                <w:rFonts w:hint="eastAsia"/>
              </w:rPr>
              <w:t>建设单位</w:t>
            </w:r>
          </w:p>
        </w:tc>
        <w:tc>
          <w:tcPr>
            <w:tcW w:w="1537" w:type="dxa"/>
            <w:gridSpan w:val="4"/>
            <w:vAlign w:val="center"/>
          </w:tcPr>
          <w:p w14:paraId="711143E3">
            <w:pPr>
              <w:jc w:val="center"/>
            </w:pPr>
            <w:r>
              <w:rPr>
                <w:rFonts w:hint="eastAsia"/>
              </w:rPr>
              <w:t>项目名称</w:t>
            </w:r>
          </w:p>
        </w:tc>
        <w:tc>
          <w:tcPr>
            <w:tcW w:w="1444" w:type="dxa"/>
            <w:gridSpan w:val="2"/>
            <w:vAlign w:val="center"/>
          </w:tcPr>
          <w:p w14:paraId="3E6649D6">
            <w:pPr>
              <w:jc w:val="center"/>
            </w:pPr>
            <w:r>
              <w:rPr>
                <w:rFonts w:hint="eastAsia"/>
              </w:rPr>
              <w:t>建设规模</w:t>
            </w:r>
          </w:p>
        </w:tc>
        <w:tc>
          <w:tcPr>
            <w:tcW w:w="1933" w:type="dxa"/>
            <w:gridSpan w:val="3"/>
            <w:vAlign w:val="center"/>
          </w:tcPr>
          <w:p w14:paraId="752B5FA5">
            <w:pPr>
              <w:jc w:val="center"/>
            </w:pPr>
            <w:r>
              <w:rPr>
                <w:rFonts w:hint="eastAsia"/>
              </w:rPr>
              <w:t>开、竣工程日期</w:t>
            </w:r>
          </w:p>
        </w:tc>
        <w:tc>
          <w:tcPr>
            <w:tcW w:w="2040" w:type="dxa"/>
            <w:gridSpan w:val="2"/>
            <w:tcBorders>
              <w:top w:val="nil"/>
            </w:tcBorders>
            <w:vAlign w:val="center"/>
          </w:tcPr>
          <w:p w14:paraId="1C013308">
            <w:pPr>
              <w:jc w:val="center"/>
            </w:pPr>
            <w:r>
              <w:rPr>
                <w:rFonts w:hint="eastAsia"/>
              </w:rPr>
              <w:t>工程质量</w:t>
            </w:r>
          </w:p>
        </w:tc>
      </w:tr>
      <w:tr w14:paraId="02B26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6D6B08AF">
            <w:pPr>
              <w:spacing w:line="480" w:lineRule="auto"/>
              <w:rPr>
                <w:rFonts w:hint="eastAsia" w:hAnsi="宋体"/>
                <w:b/>
                <w:bCs/>
                <w:szCs w:val="23"/>
              </w:rPr>
            </w:pPr>
          </w:p>
        </w:tc>
        <w:tc>
          <w:tcPr>
            <w:tcW w:w="1537" w:type="dxa"/>
            <w:gridSpan w:val="4"/>
          </w:tcPr>
          <w:p w14:paraId="3E390A1A">
            <w:pPr>
              <w:spacing w:line="480" w:lineRule="auto"/>
              <w:rPr>
                <w:rFonts w:hint="eastAsia" w:hAnsi="宋体"/>
                <w:b/>
                <w:bCs/>
                <w:szCs w:val="23"/>
              </w:rPr>
            </w:pPr>
          </w:p>
        </w:tc>
        <w:tc>
          <w:tcPr>
            <w:tcW w:w="1444" w:type="dxa"/>
            <w:gridSpan w:val="2"/>
          </w:tcPr>
          <w:p w14:paraId="2D4549E8">
            <w:pPr>
              <w:spacing w:line="480" w:lineRule="auto"/>
              <w:rPr>
                <w:rFonts w:hint="eastAsia" w:hAnsi="宋体"/>
                <w:b/>
                <w:bCs/>
                <w:szCs w:val="23"/>
              </w:rPr>
            </w:pPr>
          </w:p>
        </w:tc>
        <w:tc>
          <w:tcPr>
            <w:tcW w:w="1933" w:type="dxa"/>
            <w:gridSpan w:val="3"/>
          </w:tcPr>
          <w:p w14:paraId="5631278A">
            <w:pPr>
              <w:spacing w:line="480" w:lineRule="auto"/>
              <w:rPr>
                <w:rFonts w:hint="eastAsia" w:hAnsi="宋体"/>
                <w:b/>
                <w:bCs/>
                <w:szCs w:val="23"/>
              </w:rPr>
            </w:pPr>
          </w:p>
        </w:tc>
        <w:tc>
          <w:tcPr>
            <w:tcW w:w="2040" w:type="dxa"/>
            <w:gridSpan w:val="2"/>
          </w:tcPr>
          <w:p w14:paraId="36C6C64E">
            <w:pPr>
              <w:spacing w:line="480" w:lineRule="auto"/>
              <w:rPr>
                <w:rFonts w:hint="eastAsia" w:hAnsi="宋体"/>
                <w:b/>
                <w:bCs/>
                <w:szCs w:val="23"/>
              </w:rPr>
            </w:pPr>
          </w:p>
        </w:tc>
      </w:tr>
      <w:tr w14:paraId="21482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11B69F2C">
            <w:pPr>
              <w:spacing w:line="480" w:lineRule="auto"/>
              <w:rPr>
                <w:rFonts w:hint="eastAsia" w:hAnsi="宋体"/>
                <w:b/>
                <w:bCs/>
                <w:szCs w:val="23"/>
              </w:rPr>
            </w:pPr>
          </w:p>
        </w:tc>
        <w:tc>
          <w:tcPr>
            <w:tcW w:w="1537" w:type="dxa"/>
            <w:gridSpan w:val="4"/>
          </w:tcPr>
          <w:p w14:paraId="260516C8">
            <w:pPr>
              <w:spacing w:line="480" w:lineRule="auto"/>
              <w:rPr>
                <w:rFonts w:hint="eastAsia" w:hAnsi="宋体"/>
                <w:b/>
                <w:bCs/>
                <w:szCs w:val="23"/>
              </w:rPr>
            </w:pPr>
          </w:p>
        </w:tc>
        <w:tc>
          <w:tcPr>
            <w:tcW w:w="1444" w:type="dxa"/>
            <w:gridSpan w:val="2"/>
          </w:tcPr>
          <w:p w14:paraId="2C47BF30">
            <w:pPr>
              <w:spacing w:line="480" w:lineRule="auto"/>
              <w:rPr>
                <w:rFonts w:hint="eastAsia" w:hAnsi="宋体"/>
                <w:b/>
                <w:bCs/>
                <w:szCs w:val="23"/>
              </w:rPr>
            </w:pPr>
          </w:p>
        </w:tc>
        <w:tc>
          <w:tcPr>
            <w:tcW w:w="1933" w:type="dxa"/>
            <w:gridSpan w:val="3"/>
          </w:tcPr>
          <w:p w14:paraId="577E67AF">
            <w:pPr>
              <w:spacing w:line="480" w:lineRule="auto"/>
              <w:rPr>
                <w:rFonts w:hint="eastAsia" w:hAnsi="宋体"/>
                <w:b/>
                <w:bCs/>
                <w:szCs w:val="23"/>
              </w:rPr>
            </w:pPr>
          </w:p>
        </w:tc>
        <w:tc>
          <w:tcPr>
            <w:tcW w:w="2040" w:type="dxa"/>
            <w:gridSpan w:val="2"/>
          </w:tcPr>
          <w:p w14:paraId="275C76D9">
            <w:pPr>
              <w:spacing w:line="480" w:lineRule="auto"/>
              <w:rPr>
                <w:rFonts w:hint="eastAsia" w:hAnsi="宋体"/>
                <w:b/>
                <w:bCs/>
                <w:szCs w:val="23"/>
              </w:rPr>
            </w:pPr>
          </w:p>
        </w:tc>
      </w:tr>
      <w:tr w14:paraId="315A0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68164924">
            <w:pPr>
              <w:spacing w:line="480" w:lineRule="auto"/>
              <w:rPr>
                <w:rFonts w:hint="eastAsia" w:hAnsi="宋体"/>
                <w:b/>
                <w:bCs/>
                <w:szCs w:val="23"/>
              </w:rPr>
            </w:pPr>
          </w:p>
        </w:tc>
        <w:tc>
          <w:tcPr>
            <w:tcW w:w="1537" w:type="dxa"/>
            <w:gridSpan w:val="4"/>
          </w:tcPr>
          <w:p w14:paraId="3A00DF31">
            <w:pPr>
              <w:spacing w:line="480" w:lineRule="auto"/>
              <w:rPr>
                <w:rFonts w:hint="eastAsia" w:hAnsi="宋体"/>
                <w:b/>
                <w:bCs/>
                <w:szCs w:val="23"/>
              </w:rPr>
            </w:pPr>
          </w:p>
        </w:tc>
        <w:tc>
          <w:tcPr>
            <w:tcW w:w="1444" w:type="dxa"/>
            <w:gridSpan w:val="2"/>
          </w:tcPr>
          <w:p w14:paraId="4E7F30F8">
            <w:pPr>
              <w:spacing w:line="480" w:lineRule="auto"/>
              <w:rPr>
                <w:rFonts w:hint="eastAsia" w:hAnsi="宋体"/>
                <w:b/>
                <w:bCs/>
                <w:szCs w:val="23"/>
              </w:rPr>
            </w:pPr>
          </w:p>
        </w:tc>
        <w:tc>
          <w:tcPr>
            <w:tcW w:w="1933" w:type="dxa"/>
            <w:gridSpan w:val="3"/>
          </w:tcPr>
          <w:p w14:paraId="00866F97">
            <w:pPr>
              <w:spacing w:line="480" w:lineRule="auto"/>
              <w:rPr>
                <w:rFonts w:hint="eastAsia" w:hAnsi="宋体"/>
                <w:b/>
                <w:bCs/>
                <w:szCs w:val="23"/>
              </w:rPr>
            </w:pPr>
          </w:p>
        </w:tc>
        <w:tc>
          <w:tcPr>
            <w:tcW w:w="2040" w:type="dxa"/>
            <w:gridSpan w:val="2"/>
          </w:tcPr>
          <w:p w14:paraId="4073B0FF">
            <w:pPr>
              <w:spacing w:line="480" w:lineRule="auto"/>
              <w:rPr>
                <w:rFonts w:hint="eastAsia" w:hAnsi="宋体"/>
                <w:b/>
                <w:bCs/>
                <w:szCs w:val="23"/>
              </w:rPr>
            </w:pPr>
          </w:p>
        </w:tc>
      </w:tr>
      <w:tr w14:paraId="33944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661316F8">
            <w:pPr>
              <w:spacing w:line="480" w:lineRule="auto"/>
              <w:rPr>
                <w:rFonts w:hint="eastAsia" w:hAnsi="宋体"/>
                <w:b/>
                <w:bCs/>
                <w:szCs w:val="23"/>
              </w:rPr>
            </w:pPr>
          </w:p>
        </w:tc>
        <w:tc>
          <w:tcPr>
            <w:tcW w:w="1537" w:type="dxa"/>
            <w:gridSpan w:val="4"/>
          </w:tcPr>
          <w:p w14:paraId="05651EA2">
            <w:pPr>
              <w:spacing w:line="480" w:lineRule="auto"/>
              <w:rPr>
                <w:rFonts w:hint="eastAsia" w:hAnsi="宋体"/>
                <w:b/>
                <w:bCs/>
                <w:szCs w:val="23"/>
              </w:rPr>
            </w:pPr>
          </w:p>
        </w:tc>
        <w:tc>
          <w:tcPr>
            <w:tcW w:w="1444" w:type="dxa"/>
            <w:gridSpan w:val="2"/>
          </w:tcPr>
          <w:p w14:paraId="1354EDF8">
            <w:pPr>
              <w:spacing w:line="480" w:lineRule="auto"/>
              <w:rPr>
                <w:rFonts w:hint="eastAsia" w:hAnsi="宋体"/>
                <w:b/>
                <w:bCs/>
                <w:szCs w:val="23"/>
              </w:rPr>
            </w:pPr>
          </w:p>
        </w:tc>
        <w:tc>
          <w:tcPr>
            <w:tcW w:w="1933" w:type="dxa"/>
            <w:gridSpan w:val="3"/>
          </w:tcPr>
          <w:p w14:paraId="3C39F0A7">
            <w:pPr>
              <w:spacing w:line="480" w:lineRule="auto"/>
              <w:rPr>
                <w:rFonts w:hint="eastAsia" w:hAnsi="宋体"/>
                <w:b/>
                <w:bCs/>
                <w:szCs w:val="23"/>
              </w:rPr>
            </w:pPr>
          </w:p>
        </w:tc>
        <w:tc>
          <w:tcPr>
            <w:tcW w:w="2040" w:type="dxa"/>
            <w:gridSpan w:val="2"/>
          </w:tcPr>
          <w:p w14:paraId="15D1FAEE">
            <w:pPr>
              <w:spacing w:line="480" w:lineRule="auto"/>
              <w:rPr>
                <w:rFonts w:hint="eastAsia" w:hAnsi="宋体"/>
                <w:b/>
                <w:bCs/>
                <w:szCs w:val="23"/>
              </w:rPr>
            </w:pPr>
          </w:p>
        </w:tc>
      </w:tr>
      <w:tr w14:paraId="18A13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59BA5C6F">
            <w:pPr>
              <w:spacing w:line="480" w:lineRule="auto"/>
              <w:rPr>
                <w:rFonts w:hint="eastAsia" w:hAnsi="宋体"/>
                <w:b/>
                <w:bCs/>
                <w:szCs w:val="23"/>
              </w:rPr>
            </w:pPr>
          </w:p>
        </w:tc>
        <w:tc>
          <w:tcPr>
            <w:tcW w:w="1537" w:type="dxa"/>
            <w:gridSpan w:val="4"/>
          </w:tcPr>
          <w:p w14:paraId="5D78E3BE">
            <w:pPr>
              <w:spacing w:line="480" w:lineRule="auto"/>
              <w:rPr>
                <w:rFonts w:hint="eastAsia" w:hAnsi="宋体"/>
                <w:b/>
                <w:bCs/>
                <w:szCs w:val="23"/>
              </w:rPr>
            </w:pPr>
          </w:p>
        </w:tc>
        <w:tc>
          <w:tcPr>
            <w:tcW w:w="1444" w:type="dxa"/>
            <w:gridSpan w:val="2"/>
          </w:tcPr>
          <w:p w14:paraId="01C5CC90">
            <w:pPr>
              <w:spacing w:line="480" w:lineRule="auto"/>
              <w:rPr>
                <w:rFonts w:hint="eastAsia" w:hAnsi="宋体"/>
                <w:b/>
                <w:bCs/>
                <w:szCs w:val="23"/>
              </w:rPr>
            </w:pPr>
          </w:p>
        </w:tc>
        <w:tc>
          <w:tcPr>
            <w:tcW w:w="1933" w:type="dxa"/>
            <w:gridSpan w:val="3"/>
          </w:tcPr>
          <w:p w14:paraId="1C45704E">
            <w:pPr>
              <w:spacing w:line="480" w:lineRule="auto"/>
              <w:rPr>
                <w:rFonts w:hint="eastAsia" w:hAnsi="宋体"/>
                <w:b/>
                <w:bCs/>
                <w:szCs w:val="23"/>
              </w:rPr>
            </w:pPr>
          </w:p>
        </w:tc>
        <w:tc>
          <w:tcPr>
            <w:tcW w:w="2040" w:type="dxa"/>
            <w:gridSpan w:val="2"/>
          </w:tcPr>
          <w:p w14:paraId="2EF21876">
            <w:pPr>
              <w:spacing w:line="480" w:lineRule="auto"/>
              <w:rPr>
                <w:rFonts w:hint="eastAsia" w:hAnsi="宋体"/>
                <w:b/>
                <w:bCs/>
                <w:szCs w:val="23"/>
              </w:rPr>
            </w:pPr>
          </w:p>
        </w:tc>
      </w:tr>
      <w:tr w14:paraId="592A0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7B36C8B3">
            <w:pPr>
              <w:spacing w:line="480" w:lineRule="auto"/>
              <w:rPr>
                <w:rFonts w:hint="eastAsia" w:hAnsi="宋体"/>
                <w:b/>
                <w:bCs/>
                <w:szCs w:val="23"/>
              </w:rPr>
            </w:pPr>
          </w:p>
        </w:tc>
        <w:tc>
          <w:tcPr>
            <w:tcW w:w="1537" w:type="dxa"/>
            <w:gridSpan w:val="4"/>
          </w:tcPr>
          <w:p w14:paraId="7FBE87AA">
            <w:pPr>
              <w:spacing w:line="480" w:lineRule="auto"/>
              <w:rPr>
                <w:rFonts w:hint="eastAsia" w:hAnsi="宋体"/>
                <w:b/>
                <w:bCs/>
                <w:szCs w:val="23"/>
              </w:rPr>
            </w:pPr>
          </w:p>
        </w:tc>
        <w:tc>
          <w:tcPr>
            <w:tcW w:w="1444" w:type="dxa"/>
            <w:gridSpan w:val="2"/>
          </w:tcPr>
          <w:p w14:paraId="4B6782B6">
            <w:pPr>
              <w:spacing w:line="480" w:lineRule="auto"/>
              <w:rPr>
                <w:rFonts w:hint="eastAsia" w:hAnsi="宋体"/>
                <w:b/>
                <w:bCs/>
                <w:szCs w:val="23"/>
              </w:rPr>
            </w:pPr>
          </w:p>
        </w:tc>
        <w:tc>
          <w:tcPr>
            <w:tcW w:w="1933" w:type="dxa"/>
            <w:gridSpan w:val="3"/>
          </w:tcPr>
          <w:p w14:paraId="5D0E66FE">
            <w:pPr>
              <w:spacing w:line="480" w:lineRule="auto"/>
              <w:rPr>
                <w:rFonts w:hint="eastAsia" w:hAnsi="宋体"/>
                <w:b/>
                <w:bCs/>
                <w:szCs w:val="23"/>
              </w:rPr>
            </w:pPr>
          </w:p>
        </w:tc>
        <w:tc>
          <w:tcPr>
            <w:tcW w:w="2040" w:type="dxa"/>
            <w:gridSpan w:val="2"/>
          </w:tcPr>
          <w:p w14:paraId="0C92072D">
            <w:pPr>
              <w:spacing w:line="480" w:lineRule="auto"/>
              <w:rPr>
                <w:rFonts w:hint="eastAsia" w:hAnsi="宋体"/>
                <w:b/>
                <w:bCs/>
                <w:szCs w:val="23"/>
              </w:rPr>
            </w:pPr>
          </w:p>
        </w:tc>
      </w:tr>
      <w:tr w14:paraId="10494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3C89E8AB">
            <w:pPr>
              <w:spacing w:line="480" w:lineRule="auto"/>
              <w:rPr>
                <w:rFonts w:hint="eastAsia" w:hAnsi="宋体"/>
                <w:b/>
                <w:bCs/>
                <w:szCs w:val="23"/>
              </w:rPr>
            </w:pPr>
          </w:p>
        </w:tc>
        <w:tc>
          <w:tcPr>
            <w:tcW w:w="1537" w:type="dxa"/>
            <w:gridSpan w:val="4"/>
          </w:tcPr>
          <w:p w14:paraId="11AFB4ED">
            <w:pPr>
              <w:spacing w:line="480" w:lineRule="auto"/>
              <w:rPr>
                <w:rFonts w:hint="eastAsia" w:hAnsi="宋体"/>
                <w:b/>
                <w:bCs/>
                <w:szCs w:val="23"/>
              </w:rPr>
            </w:pPr>
          </w:p>
        </w:tc>
        <w:tc>
          <w:tcPr>
            <w:tcW w:w="1444" w:type="dxa"/>
            <w:gridSpan w:val="2"/>
          </w:tcPr>
          <w:p w14:paraId="1CBCA28B">
            <w:pPr>
              <w:spacing w:line="480" w:lineRule="auto"/>
              <w:rPr>
                <w:rFonts w:hint="eastAsia" w:hAnsi="宋体"/>
                <w:b/>
                <w:bCs/>
                <w:szCs w:val="23"/>
              </w:rPr>
            </w:pPr>
          </w:p>
        </w:tc>
        <w:tc>
          <w:tcPr>
            <w:tcW w:w="1933" w:type="dxa"/>
            <w:gridSpan w:val="3"/>
          </w:tcPr>
          <w:p w14:paraId="0BB47C0D">
            <w:pPr>
              <w:spacing w:line="480" w:lineRule="auto"/>
              <w:rPr>
                <w:rFonts w:hint="eastAsia" w:hAnsi="宋体"/>
                <w:b/>
                <w:bCs/>
                <w:szCs w:val="23"/>
              </w:rPr>
            </w:pPr>
          </w:p>
        </w:tc>
        <w:tc>
          <w:tcPr>
            <w:tcW w:w="2040" w:type="dxa"/>
            <w:gridSpan w:val="2"/>
          </w:tcPr>
          <w:p w14:paraId="2607B220">
            <w:pPr>
              <w:spacing w:line="480" w:lineRule="auto"/>
              <w:rPr>
                <w:rFonts w:hint="eastAsia" w:hAnsi="宋体"/>
                <w:b/>
                <w:bCs/>
                <w:szCs w:val="23"/>
              </w:rPr>
            </w:pPr>
          </w:p>
        </w:tc>
      </w:tr>
      <w:tr w14:paraId="51FFD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6535B406">
            <w:pPr>
              <w:spacing w:line="480" w:lineRule="auto"/>
              <w:rPr>
                <w:rFonts w:hint="eastAsia" w:hAnsi="宋体"/>
                <w:b/>
                <w:bCs/>
                <w:szCs w:val="23"/>
              </w:rPr>
            </w:pPr>
          </w:p>
        </w:tc>
        <w:tc>
          <w:tcPr>
            <w:tcW w:w="1537" w:type="dxa"/>
            <w:gridSpan w:val="4"/>
          </w:tcPr>
          <w:p w14:paraId="58483E64">
            <w:pPr>
              <w:spacing w:line="480" w:lineRule="auto"/>
              <w:rPr>
                <w:rFonts w:hint="eastAsia" w:hAnsi="宋体"/>
                <w:b/>
                <w:bCs/>
                <w:szCs w:val="23"/>
              </w:rPr>
            </w:pPr>
          </w:p>
        </w:tc>
        <w:tc>
          <w:tcPr>
            <w:tcW w:w="1444" w:type="dxa"/>
            <w:gridSpan w:val="2"/>
          </w:tcPr>
          <w:p w14:paraId="668E77F7">
            <w:pPr>
              <w:spacing w:line="480" w:lineRule="auto"/>
              <w:rPr>
                <w:rFonts w:hint="eastAsia" w:hAnsi="宋体"/>
                <w:b/>
                <w:bCs/>
                <w:szCs w:val="23"/>
              </w:rPr>
            </w:pPr>
          </w:p>
        </w:tc>
        <w:tc>
          <w:tcPr>
            <w:tcW w:w="1933" w:type="dxa"/>
            <w:gridSpan w:val="3"/>
          </w:tcPr>
          <w:p w14:paraId="029D1F51">
            <w:pPr>
              <w:spacing w:line="480" w:lineRule="auto"/>
              <w:rPr>
                <w:rFonts w:hint="eastAsia" w:hAnsi="宋体"/>
                <w:b/>
                <w:bCs/>
                <w:szCs w:val="23"/>
              </w:rPr>
            </w:pPr>
          </w:p>
        </w:tc>
        <w:tc>
          <w:tcPr>
            <w:tcW w:w="2040" w:type="dxa"/>
            <w:gridSpan w:val="2"/>
          </w:tcPr>
          <w:p w14:paraId="60C71F12">
            <w:pPr>
              <w:spacing w:line="480" w:lineRule="auto"/>
              <w:rPr>
                <w:rFonts w:hint="eastAsia" w:hAnsi="宋体"/>
                <w:b/>
                <w:bCs/>
                <w:szCs w:val="23"/>
              </w:rPr>
            </w:pPr>
          </w:p>
        </w:tc>
      </w:tr>
      <w:tr w14:paraId="3B9F6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5F9B0FB4">
            <w:pPr>
              <w:spacing w:line="480" w:lineRule="auto"/>
              <w:rPr>
                <w:rFonts w:hint="eastAsia" w:hAnsi="宋体"/>
                <w:b/>
                <w:bCs/>
                <w:szCs w:val="23"/>
              </w:rPr>
            </w:pPr>
          </w:p>
        </w:tc>
        <w:tc>
          <w:tcPr>
            <w:tcW w:w="1537" w:type="dxa"/>
            <w:gridSpan w:val="4"/>
          </w:tcPr>
          <w:p w14:paraId="5AB64B66">
            <w:pPr>
              <w:spacing w:line="480" w:lineRule="auto"/>
              <w:rPr>
                <w:rFonts w:hint="eastAsia" w:hAnsi="宋体"/>
                <w:b/>
                <w:bCs/>
                <w:szCs w:val="23"/>
              </w:rPr>
            </w:pPr>
          </w:p>
        </w:tc>
        <w:tc>
          <w:tcPr>
            <w:tcW w:w="1444" w:type="dxa"/>
            <w:gridSpan w:val="2"/>
          </w:tcPr>
          <w:p w14:paraId="1E776E2F">
            <w:pPr>
              <w:spacing w:line="480" w:lineRule="auto"/>
              <w:rPr>
                <w:rFonts w:hint="eastAsia" w:hAnsi="宋体"/>
                <w:b/>
                <w:bCs/>
                <w:szCs w:val="23"/>
              </w:rPr>
            </w:pPr>
          </w:p>
        </w:tc>
        <w:tc>
          <w:tcPr>
            <w:tcW w:w="1933" w:type="dxa"/>
            <w:gridSpan w:val="3"/>
          </w:tcPr>
          <w:p w14:paraId="66CACAA7">
            <w:pPr>
              <w:spacing w:line="480" w:lineRule="auto"/>
              <w:rPr>
                <w:rFonts w:hint="eastAsia" w:hAnsi="宋体"/>
                <w:b/>
                <w:bCs/>
                <w:szCs w:val="23"/>
              </w:rPr>
            </w:pPr>
          </w:p>
        </w:tc>
        <w:tc>
          <w:tcPr>
            <w:tcW w:w="2040" w:type="dxa"/>
            <w:gridSpan w:val="2"/>
          </w:tcPr>
          <w:p w14:paraId="0CCD50BF">
            <w:pPr>
              <w:spacing w:line="480" w:lineRule="auto"/>
              <w:rPr>
                <w:rFonts w:hint="eastAsia" w:hAnsi="宋体"/>
                <w:b/>
                <w:bCs/>
                <w:szCs w:val="23"/>
              </w:rPr>
            </w:pPr>
          </w:p>
        </w:tc>
      </w:tr>
      <w:tr w14:paraId="0D87B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6E58562B">
            <w:pPr>
              <w:spacing w:line="480" w:lineRule="auto"/>
              <w:rPr>
                <w:rFonts w:hint="eastAsia" w:hAnsi="宋体"/>
                <w:b/>
                <w:bCs/>
                <w:szCs w:val="23"/>
              </w:rPr>
            </w:pPr>
          </w:p>
        </w:tc>
        <w:tc>
          <w:tcPr>
            <w:tcW w:w="1537" w:type="dxa"/>
            <w:gridSpan w:val="4"/>
          </w:tcPr>
          <w:p w14:paraId="4DEE9EAA">
            <w:pPr>
              <w:spacing w:line="480" w:lineRule="auto"/>
              <w:rPr>
                <w:rFonts w:hint="eastAsia" w:hAnsi="宋体"/>
                <w:b/>
                <w:bCs/>
                <w:szCs w:val="23"/>
              </w:rPr>
            </w:pPr>
          </w:p>
        </w:tc>
        <w:tc>
          <w:tcPr>
            <w:tcW w:w="1444" w:type="dxa"/>
            <w:gridSpan w:val="2"/>
          </w:tcPr>
          <w:p w14:paraId="5649C117">
            <w:pPr>
              <w:spacing w:line="480" w:lineRule="auto"/>
              <w:rPr>
                <w:rFonts w:hint="eastAsia" w:hAnsi="宋体"/>
                <w:b/>
                <w:bCs/>
                <w:szCs w:val="23"/>
              </w:rPr>
            </w:pPr>
          </w:p>
        </w:tc>
        <w:tc>
          <w:tcPr>
            <w:tcW w:w="1933" w:type="dxa"/>
            <w:gridSpan w:val="3"/>
          </w:tcPr>
          <w:p w14:paraId="66816752">
            <w:pPr>
              <w:spacing w:line="480" w:lineRule="auto"/>
              <w:rPr>
                <w:rFonts w:hint="eastAsia" w:hAnsi="宋体"/>
                <w:b/>
                <w:bCs/>
                <w:szCs w:val="23"/>
              </w:rPr>
            </w:pPr>
          </w:p>
        </w:tc>
        <w:tc>
          <w:tcPr>
            <w:tcW w:w="2040" w:type="dxa"/>
            <w:gridSpan w:val="2"/>
          </w:tcPr>
          <w:p w14:paraId="0D659813">
            <w:pPr>
              <w:spacing w:line="480" w:lineRule="auto"/>
              <w:rPr>
                <w:rFonts w:hint="eastAsia" w:hAnsi="宋体"/>
                <w:b/>
                <w:bCs/>
                <w:szCs w:val="23"/>
              </w:rPr>
            </w:pPr>
          </w:p>
        </w:tc>
      </w:tr>
      <w:tr w14:paraId="557FA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2AA58482">
            <w:pPr>
              <w:spacing w:line="480" w:lineRule="auto"/>
              <w:rPr>
                <w:rFonts w:hint="eastAsia" w:hAnsi="宋体"/>
                <w:b/>
                <w:bCs/>
                <w:szCs w:val="23"/>
              </w:rPr>
            </w:pPr>
          </w:p>
        </w:tc>
        <w:tc>
          <w:tcPr>
            <w:tcW w:w="1537" w:type="dxa"/>
            <w:gridSpan w:val="4"/>
          </w:tcPr>
          <w:p w14:paraId="2AD9464B">
            <w:pPr>
              <w:spacing w:line="480" w:lineRule="auto"/>
              <w:rPr>
                <w:rFonts w:hint="eastAsia" w:hAnsi="宋体"/>
                <w:b/>
                <w:bCs/>
                <w:szCs w:val="23"/>
              </w:rPr>
            </w:pPr>
          </w:p>
        </w:tc>
        <w:tc>
          <w:tcPr>
            <w:tcW w:w="1444" w:type="dxa"/>
            <w:gridSpan w:val="2"/>
          </w:tcPr>
          <w:p w14:paraId="6C6A87A1">
            <w:pPr>
              <w:spacing w:line="480" w:lineRule="auto"/>
              <w:rPr>
                <w:rFonts w:hint="eastAsia" w:hAnsi="宋体"/>
                <w:b/>
                <w:bCs/>
                <w:szCs w:val="23"/>
              </w:rPr>
            </w:pPr>
          </w:p>
        </w:tc>
        <w:tc>
          <w:tcPr>
            <w:tcW w:w="1933" w:type="dxa"/>
            <w:gridSpan w:val="3"/>
          </w:tcPr>
          <w:p w14:paraId="4DE22A44">
            <w:pPr>
              <w:spacing w:line="480" w:lineRule="auto"/>
              <w:rPr>
                <w:rFonts w:hint="eastAsia" w:hAnsi="宋体"/>
                <w:b/>
                <w:bCs/>
                <w:szCs w:val="23"/>
              </w:rPr>
            </w:pPr>
          </w:p>
        </w:tc>
        <w:tc>
          <w:tcPr>
            <w:tcW w:w="2040" w:type="dxa"/>
            <w:gridSpan w:val="2"/>
          </w:tcPr>
          <w:p w14:paraId="787C596D">
            <w:pPr>
              <w:spacing w:line="480" w:lineRule="auto"/>
              <w:rPr>
                <w:rFonts w:hint="eastAsia" w:hAnsi="宋体"/>
                <w:b/>
                <w:bCs/>
                <w:szCs w:val="23"/>
              </w:rPr>
            </w:pPr>
          </w:p>
        </w:tc>
      </w:tr>
      <w:tr w14:paraId="1F96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1DF36A5B">
            <w:pPr>
              <w:spacing w:line="480" w:lineRule="auto"/>
              <w:rPr>
                <w:rFonts w:hint="eastAsia" w:hAnsi="宋体"/>
                <w:b/>
                <w:bCs/>
                <w:szCs w:val="23"/>
              </w:rPr>
            </w:pPr>
          </w:p>
        </w:tc>
        <w:tc>
          <w:tcPr>
            <w:tcW w:w="1537" w:type="dxa"/>
            <w:gridSpan w:val="4"/>
          </w:tcPr>
          <w:p w14:paraId="1E43F4EF">
            <w:pPr>
              <w:spacing w:line="480" w:lineRule="auto"/>
              <w:rPr>
                <w:rFonts w:hint="eastAsia" w:hAnsi="宋体"/>
                <w:b/>
                <w:bCs/>
                <w:szCs w:val="23"/>
              </w:rPr>
            </w:pPr>
          </w:p>
        </w:tc>
        <w:tc>
          <w:tcPr>
            <w:tcW w:w="1444" w:type="dxa"/>
            <w:gridSpan w:val="2"/>
          </w:tcPr>
          <w:p w14:paraId="3018406E">
            <w:pPr>
              <w:spacing w:line="480" w:lineRule="auto"/>
              <w:rPr>
                <w:rFonts w:hint="eastAsia" w:hAnsi="宋体"/>
                <w:b/>
                <w:bCs/>
                <w:szCs w:val="23"/>
              </w:rPr>
            </w:pPr>
          </w:p>
        </w:tc>
        <w:tc>
          <w:tcPr>
            <w:tcW w:w="1933" w:type="dxa"/>
            <w:gridSpan w:val="3"/>
          </w:tcPr>
          <w:p w14:paraId="2D6C7A01">
            <w:pPr>
              <w:spacing w:line="480" w:lineRule="auto"/>
              <w:rPr>
                <w:rFonts w:hint="eastAsia" w:hAnsi="宋体"/>
                <w:b/>
                <w:bCs/>
                <w:szCs w:val="23"/>
              </w:rPr>
            </w:pPr>
          </w:p>
        </w:tc>
        <w:tc>
          <w:tcPr>
            <w:tcW w:w="2040" w:type="dxa"/>
            <w:gridSpan w:val="2"/>
          </w:tcPr>
          <w:p w14:paraId="35913B20">
            <w:pPr>
              <w:spacing w:line="480" w:lineRule="auto"/>
              <w:rPr>
                <w:rFonts w:hint="eastAsia" w:hAnsi="宋体"/>
                <w:b/>
                <w:bCs/>
                <w:szCs w:val="23"/>
              </w:rPr>
            </w:pPr>
          </w:p>
        </w:tc>
      </w:tr>
      <w:tr w14:paraId="365DE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5AB31560">
            <w:pPr>
              <w:spacing w:line="480" w:lineRule="auto"/>
              <w:rPr>
                <w:rFonts w:hint="eastAsia" w:hAnsi="宋体"/>
                <w:b/>
                <w:bCs/>
                <w:szCs w:val="23"/>
              </w:rPr>
            </w:pPr>
          </w:p>
        </w:tc>
        <w:tc>
          <w:tcPr>
            <w:tcW w:w="1537" w:type="dxa"/>
            <w:gridSpan w:val="4"/>
          </w:tcPr>
          <w:p w14:paraId="2347F82A">
            <w:pPr>
              <w:spacing w:line="480" w:lineRule="auto"/>
              <w:rPr>
                <w:rFonts w:hint="eastAsia" w:hAnsi="宋体"/>
                <w:b/>
                <w:bCs/>
                <w:szCs w:val="23"/>
              </w:rPr>
            </w:pPr>
          </w:p>
        </w:tc>
        <w:tc>
          <w:tcPr>
            <w:tcW w:w="1444" w:type="dxa"/>
            <w:gridSpan w:val="2"/>
          </w:tcPr>
          <w:p w14:paraId="1B083981">
            <w:pPr>
              <w:spacing w:line="480" w:lineRule="auto"/>
              <w:rPr>
                <w:rFonts w:hint="eastAsia" w:hAnsi="宋体"/>
                <w:b/>
                <w:bCs/>
                <w:szCs w:val="23"/>
              </w:rPr>
            </w:pPr>
          </w:p>
        </w:tc>
        <w:tc>
          <w:tcPr>
            <w:tcW w:w="1933" w:type="dxa"/>
            <w:gridSpan w:val="3"/>
          </w:tcPr>
          <w:p w14:paraId="2592BFF7">
            <w:pPr>
              <w:spacing w:line="480" w:lineRule="auto"/>
              <w:rPr>
                <w:rFonts w:hint="eastAsia" w:hAnsi="宋体"/>
                <w:b/>
                <w:bCs/>
                <w:szCs w:val="23"/>
              </w:rPr>
            </w:pPr>
          </w:p>
        </w:tc>
        <w:tc>
          <w:tcPr>
            <w:tcW w:w="2040" w:type="dxa"/>
            <w:gridSpan w:val="2"/>
          </w:tcPr>
          <w:p w14:paraId="09DB1FC1">
            <w:pPr>
              <w:spacing w:line="480" w:lineRule="auto"/>
              <w:rPr>
                <w:rFonts w:hint="eastAsia" w:hAnsi="宋体"/>
                <w:b/>
                <w:bCs/>
                <w:szCs w:val="23"/>
              </w:rPr>
            </w:pPr>
          </w:p>
        </w:tc>
      </w:tr>
    </w:tbl>
    <w:p w14:paraId="4C1ADD65">
      <w:pPr>
        <w:tabs>
          <w:tab w:val="left" w:pos="0"/>
        </w:tabs>
        <w:spacing w:line="360" w:lineRule="auto"/>
        <w:ind w:left="735" w:right="-210" w:hanging="735" w:hangingChars="350"/>
        <w:rPr>
          <w:rFonts w:hint="eastAsia" w:ascii="宋体" w:hAnsi="宋体"/>
          <w:szCs w:val="21"/>
        </w:rPr>
      </w:pPr>
      <w:r>
        <w:rPr>
          <w:rFonts w:hint="eastAsia" w:hAnsi="宋体"/>
          <w:bCs/>
          <w:szCs w:val="23"/>
        </w:rPr>
        <w:t>注：1、提供证书复印件，项目经理业绩</w:t>
      </w:r>
      <w:r>
        <w:rPr>
          <w:rFonts w:hint="eastAsia" w:ascii="宋体" w:hAnsi="宋体"/>
          <w:szCs w:val="21"/>
        </w:rPr>
        <w:t>需提供与甲方签订合同的合同首页至合同签字盖章页的关键内容合同页（复印件须加盖供应商公章）。</w:t>
      </w:r>
    </w:p>
    <w:p w14:paraId="3DAC55A4">
      <w:pPr>
        <w:tabs>
          <w:tab w:val="left" w:pos="0"/>
        </w:tabs>
        <w:spacing w:line="360" w:lineRule="auto"/>
        <w:ind w:left="735" w:leftChars="200" w:right="-210" w:hanging="315" w:hangingChars="150"/>
      </w:pPr>
      <w:r>
        <w:rPr>
          <w:rFonts w:hint="eastAsia"/>
        </w:rPr>
        <w:t>2、</w:t>
      </w:r>
      <w:r>
        <w:rPr>
          <w:rFonts w:hint="eastAsia" w:ascii="宋体" w:hAnsi="宋体"/>
          <w:szCs w:val="21"/>
        </w:rPr>
        <w:t>相关工程指已完成的类似本项目的装饰装修工程业绩。</w:t>
      </w:r>
    </w:p>
    <w:p w14:paraId="6154B666">
      <w:pPr>
        <w:spacing w:line="360" w:lineRule="auto"/>
        <w:ind w:firstLine="420" w:firstLineChars="200"/>
        <w:rPr>
          <w:rFonts w:hint="eastAsia" w:ascii="宋体" w:hAnsi="宋体"/>
          <w:szCs w:val="21"/>
        </w:rPr>
        <w:sectPr>
          <w:headerReference r:id="rId21" w:type="default"/>
          <w:pgSz w:w="11906" w:h="16838"/>
          <w:pgMar w:top="1440" w:right="1797" w:bottom="1440" w:left="1797" w:header="851" w:footer="992" w:gutter="0"/>
          <w:cols w:space="720" w:num="1"/>
          <w:docGrid w:linePitch="312" w:charSpace="0"/>
        </w:sectPr>
      </w:pPr>
      <w:r>
        <w:rPr>
          <w:rFonts w:hint="eastAsia" w:ascii="宋体" w:hAnsi="宋体"/>
          <w:szCs w:val="21"/>
        </w:rPr>
        <w:t>3、近3年是指2021年10月8日至响应文件递交截止之日，以合同签订日期为准。</w:t>
      </w:r>
    </w:p>
    <w:p w14:paraId="17077B27">
      <w:pPr>
        <w:tabs>
          <w:tab w:val="left" w:pos="0"/>
        </w:tabs>
        <w:ind w:right="-212" w:firstLine="422" w:firstLineChars="200"/>
        <w:rPr>
          <w:rFonts w:hint="eastAsia" w:hAnsi="宋体"/>
          <w:b/>
          <w:bCs/>
          <w:szCs w:val="23"/>
        </w:rPr>
      </w:pPr>
    </w:p>
    <w:tbl>
      <w:tblPr>
        <w:tblStyle w:val="8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236"/>
        <w:gridCol w:w="289"/>
        <w:gridCol w:w="81"/>
        <w:gridCol w:w="686"/>
        <w:gridCol w:w="481"/>
        <w:gridCol w:w="831"/>
        <w:gridCol w:w="613"/>
        <w:gridCol w:w="679"/>
        <w:gridCol w:w="869"/>
        <w:gridCol w:w="385"/>
        <w:gridCol w:w="63"/>
        <w:gridCol w:w="1977"/>
      </w:tblGrid>
      <w:tr w14:paraId="113A6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656" w:type="dxa"/>
            <w:gridSpan w:val="4"/>
            <w:vAlign w:val="center"/>
          </w:tcPr>
          <w:p w14:paraId="150C32DB">
            <w:pPr>
              <w:jc w:val="center"/>
            </w:pPr>
            <w:r>
              <w:rPr>
                <w:rFonts w:hint="eastAsia"/>
              </w:rPr>
              <w:t>工程名称</w:t>
            </w:r>
          </w:p>
        </w:tc>
        <w:tc>
          <w:tcPr>
            <w:tcW w:w="6584" w:type="dxa"/>
            <w:gridSpan w:val="9"/>
          </w:tcPr>
          <w:p w14:paraId="1007AB11">
            <w:pPr>
              <w:jc w:val="center"/>
              <w:rPr>
                <w:b/>
                <w:bCs/>
                <w:sz w:val="28"/>
              </w:rPr>
            </w:pPr>
          </w:p>
        </w:tc>
      </w:tr>
      <w:tr w14:paraId="2C5A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656" w:type="dxa"/>
            <w:gridSpan w:val="4"/>
            <w:vAlign w:val="center"/>
          </w:tcPr>
          <w:p w14:paraId="0839B3BD">
            <w:pPr>
              <w:jc w:val="center"/>
            </w:pPr>
            <w:r>
              <w:rPr>
                <w:rFonts w:hint="eastAsia"/>
              </w:rPr>
              <w:t>公司名称</w:t>
            </w:r>
          </w:p>
        </w:tc>
        <w:tc>
          <w:tcPr>
            <w:tcW w:w="6584" w:type="dxa"/>
            <w:gridSpan w:val="9"/>
          </w:tcPr>
          <w:p w14:paraId="28B11408">
            <w:pPr>
              <w:jc w:val="center"/>
              <w:rPr>
                <w:b/>
                <w:bCs/>
                <w:sz w:val="28"/>
              </w:rPr>
            </w:pPr>
          </w:p>
        </w:tc>
      </w:tr>
      <w:tr w14:paraId="1B2BA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8240" w:type="dxa"/>
            <w:gridSpan w:val="13"/>
            <w:vAlign w:val="center"/>
          </w:tcPr>
          <w:p w14:paraId="1CF5C24C">
            <w:pPr>
              <w:spacing w:line="300" w:lineRule="auto"/>
              <w:jc w:val="center"/>
              <w:rPr>
                <w:b/>
                <w:bCs/>
                <w:sz w:val="28"/>
              </w:rPr>
            </w:pPr>
            <w:r>
              <w:rPr>
                <w:rFonts w:hint="eastAsia" w:hAnsi="宋体"/>
                <w:b/>
              </w:rPr>
              <w:t>技术负责人简历表</w:t>
            </w:r>
          </w:p>
        </w:tc>
      </w:tr>
      <w:tr w14:paraId="6EC74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tcPr>
          <w:p w14:paraId="74D68337">
            <w:r>
              <w:rPr>
                <w:rFonts w:hint="eastAsia"/>
              </w:rPr>
              <w:t>姓名</w:t>
            </w:r>
          </w:p>
        </w:tc>
        <w:tc>
          <w:tcPr>
            <w:tcW w:w="1292" w:type="dxa"/>
            <w:gridSpan w:val="4"/>
          </w:tcPr>
          <w:p w14:paraId="6474DDCC">
            <w:r>
              <w:rPr>
                <w:rFonts w:hint="eastAsia"/>
              </w:rPr>
              <w:t xml:space="preserve"> </w:t>
            </w:r>
          </w:p>
        </w:tc>
        <w:tc>
          <w:tcPr>
            <w:tcW w:w="1312" w:type="dxa"/>
            <w:gridSpan w:val="2"/>
          </w:tcPr>
          <w:p w14:paraId="726DCF05">
            <w:r>
              <w:rPr>
                <w:rFonts w:hint="eastAsia"/>
              </w:rPr>
              <w:t>性别</w:t>
            </w:r>
          </w:p>
        </w:tc>
        <w:tc>
          <w:tcPr>
            <w:tcW w:w="1292" w:type="dxa"/>
            <w:gridSpan w:val="2"/>
          </w:tcPr>
          <w:p w14:paraId="79ABF2F1"/>
        </w:tc>
        <w:tc>
          <w:tcPr>
            <w:tcW w:w="1317" w:type="dxa"/>
            <w:gridSpan w:val="3"/>
          </w:tcPr>
          <w:p w14:paraId="5493F8C4">
            <w:r>
              <w:rPr>
                <w:rFonts w:hint="eastAsia"/>
              </w:rPr>
              <w:t>年龄</w:t>
            </w:r>
          </w:p>
        </w:tc>
        <w:tc>
          <w:tcPr>
            <w:tcW w:w="1977" w:type="dxa"/>
          </w:tcPr>
          <w:p w14:paraId="4BBB62BA"/>
        </w:tc>
      </w:tr>
      <w:tr w14:paraId="2028F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tcPr>
          <w:p w14:paraId="6DDAEBB4">
            <w:r>
              <w:rPr>
                <w:rFonts w:hint="eastAsia"/>
              </w:rPr>
              <w:t>职务</w:t>
            </w:r>
          </w:p>
        </w:tc>
        <w:tc>
          <w:tcPr>
            <w:tcW w:w="1292" w:type="dxa"/>
            <w:gridSpan w:val="4"/>
          </w:tcPr>
          <w:p w14:paraId="029158BF"/>
        </w:tc>
        <w:tc>
          <w:tcPr>
            <w:tcW w:w="1312" w:type="dxa"/>
            <w:gridSpan w:val="2"/>
          </w:tcPr>
          <w:p w14:paraId="1D0650B6">
            <w:r>
              <w:rPr>
                <w:rFonts w:hint="eastAsia"/>
              </w:rPr>
              <w:t>职称</w:t>
            </w:r>
          </w:p>
        </w:tc>
        <w:tc>
          <w:tcPr>
            <w:tcW w:w="1292" w:type="dxa"/>
            <w:gridSpan w:val="2"/>
          </w:tcPr>
          <w:p w14:paraId="165307E0"/>
        </w:tc>
        <w:tc>
          <w:tcPr>
            <w:tcW w:w="1317" w:type="dxa"/>
            <w:gridSpan w:val="3"/>
          </w:tcPr>
          <w:p w14:paraId="0A61D7DF">
            <w:r>
              <w:rPr>
                <w:rFonts w:hint="eastAsia"/>
              </w:rPr>
              <w:t>学历</w:t>
            </w:r>
          </w:p>
        </w:tc>
        <w:tc>
          <w:tcPr>
            <w:tcW w:w="1977" w:type="dxa"/>
          </w:tcPr>
          <w:p w14:paraId="66A34207"/>
        </w:tc>
      </w:tr>
      <w:tr w14:paraId="19A7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75" w:type="dxa"/>
            <w:gridSpan w:val="3"/>
          </w:tcPr>
          <w:p w14:paraId="5E0C208D">
            <w:r>
              <w:rPr>
                <w:rFonts w:hint="eastAsia"/>
              </w:rPr>
              <w:t>参加工作时间</w:t>
            </w:r>
          </w:p>
        </w:tc>
        <w:tc>
          <w:tcPr>
            <w:tcW w:w="2079" w:type="dxa"/>
            <w:gridSpan w:val="4"/>
          </w:tcPr>
          <w:p w14:paraId="1249BA29"/>
        </w:tc>
        <w:tc>
          <w:tcPr>
            <w:tcW w:w="2161" w:type="dxa"/>
            <w:gridSpan w:val="3"/>
          </w:tcPr>
          <w:p w14:paraId="317770D1">
            <w:pPr>
              <w:rPr>
                <w:rFonts w:hint="eastAsia" w:hAnsi="宋体"/>
              </w:rPr>
            </w:pPr>
            <w:r>
              <w:rPr>
                <w:rFonts w:hint="eastAsia" w:hAnsi="宋体"/>
              </w:rPr>
              <w:t>从事技术主管年限</w:t>
            </w:r>
          </w:p>
        </w:tc>
        <w:tc>
          <w:tcPr>
            <w:tcW w:w="2425" w:type="dxa"/>
            <w:gridSpan w:val="3"/>
          </w:tcPr>
          <w:p w14:paraId="4E2FC510"/>
        </w:tc>
      </w:tr>
      <w:tr w14:paraId="2C06B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40" w:type="dxa"/>
            <w:gridSpan w:val="13"/>
            <w:tcBorders>
              <w:bottom w:val="single" w:color="auto" w:sz="4" w:space="0"/>
            </w:tcBorders>
            <w:vAlign w:val="center"/>
          </w:tcPr>
          <w:p w14:paraId="548C78E5">
            <w:pPr>
              <w:jc w:val="center"/>
              <w:rPr>
                <w:rFonts w:hint="eastAsia" w:hAnsi="宋体"/>
              </w:rPr>
            </w:pPr>
            <w:r>
              <w:rPr>
                <w:rFonts w:hint="eastAsia" w:hAnsi="宋体"/>
              </w:rPr>
              <w:t>近3年相关工程业绩</w:t>
            </w:r>
          </w:p>
        </w:tc>
      </w:tr>
      <w:tr w14:paraId="3D3DF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86" w:type="dxa"/>
            <w:gridSpan w:val="2"/>
            <w:vAlign w:val="center"/>
          </w:tcPr>
          <w:p w14:paraId="18F3ACE9">
            <w:pPr>
              <w:jc w:val="center"/>
            </w:pPr>
            <w:r>
              <w:rPr>
                <w:rFonts w:hint="eastAsia"/>
              </w:rPr>
              <w:t>建设单位</w:t>
            </w:r>
          </w:p>
        </w:tc>
        <w:tc>
          <w:tcPr>
            <w:tcW w:w="1537" w:type="dxa"/>
            <w:gridSpan w:val="4"/>
            <w:vAlign w:val="center"/>
          </w:tcPr>
          <w:p w14:paraId="573D28CE">
            <w:pPr>
              <w:jc w:val="center"/>
            </w:pPr>
            <w:r>
              <w:rPr>
                <w:rFonts w:hint="eastAsia"/>
              </w:rPr>
              <w:t>项目名称</w:t>
            </w:r>
          </w:p>
        </w:tc>
        <w:tc>
          <w:tcPr>
            <w:tcW w:w="1444" w:type="dxa"/>
            <w:gridSpan w:val="2"/>
            <w:vAlign w:val="center"/>
          </w:tcPr>
          <w:p w14:paraId="60534F96">
            <w:pPr>
              <w:jc w:val="center"/>
            </w:pPr>
            <w:r>
              <w:rPr>
                <w:rFonts w:hint="eastAsia"/>
              </w:rPr>
              <w:t>建设规模</w:t>
            </w:r>
          </w:p>
        </w:tc>
        <w:tc>
          <w:tcPr>
            <w:tcW w:w="1933" w:type="dxa"/>
            <w:gridSpan w:val="3"/>
            <w:vAlign w:val="center"/>
          </w:tcPr>
          <w:p w14:paraId="772104C8">
            <w:pPr>
              <w:jc w:val="center"/>
            </w:pPr>
            <w:r>
              <w:rPr>
                <w:rFonts w:hint="eastAsia"/>
              </w:rPr>
              <w:t>开、竣工程日期</w:t>
            </w:r>
          </w:p>
        </w:tc>
        <w:tc>
          <w:tcPr>
            <w:tcW w:w="2040" w:type="dxa"/>
            <w:gridSpan w:val="2"/>
            <w:tcBorders>
              <w:top w:val="nil"/>
            </w:tcBorders>
            <w:vAlign w:val="center"/>
          </w:tcPr>
          <w:p w14:paraId="48C15DF3">
            <w:pPr>
              <w:jc w:val="center"/>
            </w:pPr>
            <w:r>
              <w:rPr>
                <w:rFonts w:hint="eastAsia"/>
              </w:rPr>
              <w:t>工程质量</w:t>
            </w:r>
          </w:p>
        </w:tc>
      </w:tr>
      <w:tr w14:paraId="53369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0E79215F">
            <w:pPr>
              <w:spacing w:line="480" w:lineRule="auto"/>
              <w:rPr>
                <w:rFonts w:hint="eastAsia" w:hAnsi="宋体"/>
                <w:b/>
                <w:bCs/>
                <w:szCs w:val="23"/>
              </w:rPr>
            </w:pPr>
          </w:p>
        </w:tc>
        <w:tc>
          <w:tcPr>
            <w:tcW w:w="1537" w:type="dxa"/>
            <w:gridSpan w:val="4"/>
          </w:tcPr>
          <w:p w14:paraId="5801E38C">
            <w:pPr>
              <w:spacing w:line="480" w:lineRule="auto"/>
              <w:rPr>
                <w:rFonts w:hint="eastAsia" w:hAnsi="宋体"/>
                <w:b/>
                <w:bCs/>
                <w:szCs w:val="23"/>
              </w:rPr>
            </w:pPr>
          </w:p>
        </w:tc>
        <w:tc>
          <w:tcPr>
            <w:tcW w:w="1444" w:type="dxa"/>
            <w:gridSpan w:val="2"/>
          </w:tcPr>
          <w:p w14:paraId="5B8347E0">
            <w:pPr>
              <w:spacing w:line="480" w:lineRule="auto"/>
              <w:rPr>
                <w:rFonts w:hint="eastAsia" w:hAnsi="宋体"/>
                <w:b/>
                <w:bCs/>
                <w:szCs w:val="23"/>
              </w:rPr>
            </w:pPr>
          </w:p>
        </w:tc>
        <w:tc>
          <w:tcPr>
            <w:tcW w:w="1933" w:type="dxa"/>
            <w:gridSpan w:val="3"/>
          </w:tcPr>
          <w:p w14:paraId="56694A4B">
            <w:pPr>
              <w:spacing w:line="480" w:lineRule="auto"/>
              <w:rPr>
                <w:rFonts w:hint="eastAsia" w:hAnsi="宋体"/>
                <w:b/>
                <w:bCs/>
                <w:szCs w:val="23"/>
              </w:rPr>
            </w:pPr>
          </w:p>
        </w:tc>
        <w:tc>
          <w:tcPr>
            <w:tcW w:w="2040" w:type="dxa"/>
            <w:gridSpan w:val="2"/>
          </w:tcPr>
          <w:p w14:paraId="20540AFF">
            <w:pPr>
              <w:spacing w:line="480" w:lineRule="auto"/>
              <w:rPr>
                <w:rFonts w:hint="eastAsia" w:hAnsi="宋体"/>
                <w:b/>
                <w:bCs/>
                <w:szCs w:val="23"/>
              </w:rPr>
            </w:pPr>
          </w:p>
        </w:tc>
      </w:tr>
      <w:tr w14:paraId="00E69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6FCF3903">
            <w:pPr>
              <w:spacing w:line="480" w:lineRule="auto"/>
              <w:rPr>
                <w:rFonts w:hint="eastAsia" w:hAnsi="宋体"/>
                <w:b/>
                <w:bCs/>
                <w:szCs w:val="23"/>
              </w:rPr>
            </w:pPr>
          </w:p>
        </w:tc>
        <w:tc>
          <w:tcPr>
            <w:tcW w:w="1537" w:type="dxa"/>
            <w:gridSpan w:val="4"/>
          </w:tcPr>
          <w:p w14:paraId="7BCB297D">
            <w:pPr>
              <w:spacing w:line="480" w:lineRule="auto"/>
              <w:rPr>
                <w:rFonts w:hint="eastAsia" w:hAnsi="宋体"/>
                <w:b/>
                <w:bCs/>
                <w:szCs w:val="23"/>
              </w:rPr>
            </w:pPr>
          </w:p>
        </w:tc>
        <w:tc>
          <w:tcPr>
            <w:tcW w:w="1444" w:type="dxa"/>
            <w:gridSpan w:val="2"/>
          </w:tcPr>
          <w:p w14:paraId="3C0394ED">
            <w:pPr>
              <w:spacing w:line="480" w:lineRule="auto"/>
              <w:rPr>
                <w:rFonts w:hint="eastAsia" w:hAnsi="宋体"/>
                <w:b/>
                <w:bCs/>
                <w:szCs w:val="23"/>
              </w:rPr>
            </w:pPr>
          </w:p>
        </w:tc>
        <w:tc>
          <w:tcPr>
            <w:tcW w:w="1933" w:type="dxa"/>
            <w:gridSpan w:val="3"/>
          </w:tcPr>
          <w:p w14:paraId="70750CF4">
            <w:pPr>
              <w:spacing w:line="480" w:lineRule="auto"/>
              <w:rPr>
                <w:rFonts w:hint="eastAsia" w:hAnsi="宋体"/>
                <w:b/>
                <w:bCs/>
                <w:szCs w:val="23"/>
              </w:rPr>
            </w:pPr>
          </w:p>
        </w:tc>
        <w:tc>
          <w:tcPr>
            <w:tcW w:w="2040" w:type="dxa"/>
            <w:gridSpan w:val="2"/>
          </w:tcPr>
          <w:p w14:paraId="557EEA12">
            <w:pPr>
              <w:spacing w:line="480" w:lineRule="auto"/>
              <w:rPr>
                <w:rFonts w:hint="eastAsia" w:hAnsi="宋体"/>
                <w:b/>
                <w:bCs/>
                <w:szCs w:val="23"/>
              </w:rPr>
            </w:pPr>
          </w:p>
        </w:tc>
      </w:tr>
      <w:tr w14:paraId="2C74A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28586C42">
            <w:pPr>
              <w:spacing w:line="480" w:lineRule="auto"/>
              <w:rPr>
                <w:rFonts w:hint="eastAsia" w:hAnsi="宋体"/>
                <w:b/>
                <w:bCs/>
                <w:szCs w:val="23"/>
              </w:rPr>
            </w:pPr>
          </w:p>
        </w:tc>
        <w:tc>
          <w:tcPr>
            <w:tcW w:w="1537" w:type="dxa"/>
            <w:gridSpan w:val="4"/>
          </w:tcPr>
          <w:p w14:paraId="633DD819">
            <w:pPr>
              <w:spacing w:line="480" w:lineRule="auto"/>
              <w:rPr>
                <w:rFonts w:hint="eastAsia" w:hAnsi="宋体"/>
                <w:b/>
                <w:bCs/>
                <w:szCs w:val="23"/>
              </w:rPr>
            </w:pPr>
          </w:p>
        </w:tc>
        <w:tc>
          <w:tcPr>
            <w:tcW w:w="1444" w:type="dxa"/>
            <w:gridSpan w:val="2"/>
          </w:tcPr>
          <w:p w14:paraId="56981E4B">
            <w:pPr>
              <w:spacing w:line="480" w:lineRule="auto"/>
              <w:rPr>
                <w:rFonts w:hint="eastAsia" w:hAnsi="宋体"/>
                <w:b/>
                <w:bCs/>
                <w:szCs w:val="23"/>
              </w:rPr>
            </w:pPr>
          </w:p>
        </w:tc>
        <w:tc>
          <w:tcPr>
            <w:tcW w:w="1933" w:type="dxa"/>
            <w:gridSpan w:val="3"/>
          </w:tcPr>
          <w:p w14:paraId="24CF1849">
            <w:pPr>
              <w:spacing w:line="480" w:lineRule="auto"/>
              <w:rPr>
                <w:rFonts w:hint="eastAsia" w:hAnsi="宋体"/>
                <w:b/>
                <w:bCs/>
                <w:szCs w:val="23"/>
              </w:rPr>
            </w:pPr>
          </w:p>
        </w:tc>
        <w:tc>
          <w:tcPr>
            <w:tcW w:w="2040" w:type="dxa"/>
            <w:gridSpan w:val="2"/>
          </w:tcPr>
          <w:p w14:paraId="37E377B8">
            <w:pPr>
              <w:spacing w:line="480" w:lineRule="auto"/>
              <w:rPr>
                <w:rFonts w:hint="eastAsia" w:hAnsi="宋体"/>
                <w:b/>
                <w:bCs/>
                <w:szCs w:val="23"/>
              </w:rPr>
            </w:pPr>
          </w:p>
        </w:tc>
      </w:tr>
      <w:tr w14:paraId="6C225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124916A3">
            <w:pPr>
              <w:spacing w:line="480" w:lineRule="auto"/>
              <w:rPr>
                <w:rFonts w:hint="eastAsia" w:hAnsi="宋体"/>
                <w:b/>
                <w:bCs/>
                <w:szCs w:val="23"/>
              </w:rPr>
            </w:pPr>
          </w:p>
        </w:tc>
        <w:tc>
          <w:tcPr>
            <w:tcW w:w="1537" w:type="dxa"/>
            <w:gridSpan w:val="4"/>
          </w:tcPr>
          <w:p w14:paraId="18F62A9B">
            <w:pPr>
              <w:spacing w:line="480" w:lineRule="auto"/>
              <w:rPr>
                <w:rFonts w:hint="eastAsia" w:hAnsi="宋体"/>
                <w:b/>
                <w:bCs/>
                <w:szCs w:val="23"/>
              </w:rPr>
            </w:pPr>
          </w:p>
        </w:tc>
        <w:tc>
          <w:tcPr>
            <w:tcW w:w="1444" w:type="dxa"/>
            <w:gridSpan w:val="2"/>
          </w:tcPr>
          <w:p w14:paraId="36CD4969">
            <w:pPr>
              <w:spacing w:line="480" w:lineRule="auto"/>
              <w:rPr>
                <w:rFonts w:hint="eastAsia" w:hAnsi="宋体"/>
                <w:b/>
                <w:bCs/>
                <w:szCs w:val="23"/>
              </w:rPr>
            </w:pPr>
          </w:p>
        </w:tc>
        <w:tc>
          <w:tcPr>
            <w:tcW w:w="1933" w:type="dxa"/>
            <w:gridSpan w:val="3"/>
          </w:tcPr>
          <w:p w14:paraId="7C861775">
            <w:pPr>
              <w:spacing w:line="480" w:lineRule="auto"/>
              <w:rPr>
                <w:rFonts w:hint="eastAsia" w:hAnsi="宋体"/>
                <w:b/>
                <w:bCs/>
                <w:szCs w:val="23"/>
              </w:rPr>
            </w:pPr>
          </w:p>
        </w:tc>
        <w:tc>
          <w:tcPr>
            <w:tcW w:w="2040" w:type="dxa"/>
            <w:gridSpan w:val="2"/>
          </w:tcPr>
          <w:p w14:paraId="3F3EED4C">
            <w:pPr>
              <w:spacing w:line="480" w:lineRule="auto"/>
              <w:rPr>
                <w:rFonts w:hint="eastAsia" w:hAnsi="宋体"/>
                <w:b/>
                <w:bCs/>
                <w:szCs w:val="23"/>
              </w:rPr>
            </w:pPr>
          </w:p>
        </w:tc>
      </w:tr>
      <w:tr w14:paraId="4B9D5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7C94C8DC">
            <w:pPr>
              <w:spacing w:line="480" w:lineRule="auto"/>
              <w:rPr>
                <w:rFonts w:hint="eastAsia" w:hAnsi="宋体"/>
                <w:b/>
                <w:bCs/>
                <w:szCs w:val="23"/>
              </w:rPr>
            </w:pPr>
          </w:p>
        </w:tc>
        <w:tc>
          <w:tcPr>
            <w:tcW w:w="1537" w:type="dxa"/>
            <w:gridSpan w:val="4"/>
          </w:tcPr>
          <w:p w14:paraId="72EA9A21">
            <w:pPr>
              <w:spacing w:line="480" w:lineRule="auto"/>
              <w:rPr>
                <w:rFonts w:hint="eastAsia" w:hAnsi="宋体"/>
                <w:b/>
                <w:bCs/>
                <w:szCs w:val="23"/>
              </w:rPr>
            </w:pPr>
          </w:p>
        </w:tc>
        <w:tc>
          <w:tcPr>
            <w:tcW w:w="1444" w:type="dxa"/>
            <w:gridSpan w:val="2"/>
          </w:tcPr>
          <w:p w14:paraId="2D27C7B8">
            <w:pPr>
              <w:spacing w:line="480" w:lineRule="auto"/>
              <w:rPr>
                <w:rFonts w:hint="eastAsia" w:hAnsi="宋体"/>
                <w:b/>
                <w:bCs/>
                <w:szCs w:val="23"/>
              </w:rPr>
            </w:pPr>
          </w:p>
        </w:tc>
        <w:tc>
          <w:tcPr>
            <w:tcW w:w="1933" w:type="dxa"/>
            <w:gridSpan w:val="3"/>
          </w:tcPr>
          <w:p w14:paraId="6A25AEB0">
            <w:pPr>
              <w:spacing w:line="480" w:lineRule="auto"/>
              <w:rPr>
                <w:rFonts w:hint="eastAsia" w:hAnsi="宋体"/>
                <w:b/>
                <w:bCs/>
                <w:szCs w:val="23"/>
              </w:rPr>
            </w:pPr>
          </w:p>
        </w:tc>
        <w:tc>
          <w:tcPr>
            <w:tcW w:w="2040" w:type="dxa"/>
            <w:gridSpan w:val="2"/>
          </w:tcPr>
          <w:p w14:paraId="42AB95C4">
            <w:pPr>
              <w:spacing w:line="480" w:lineRule="auto"/>
              <w:rPr>
                <w:rFonts w:hint="eastAsia" w:hAnsi="宋体"/>
                <w:b/>
                <w:bCs/>
                <w:szCs w:val="23"/>
              </w:rPr>
            </w:pPr>
          </w:p>
        </w:tc>
      </w:tr>
      <w:tr w14:paraId="27568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6DE1F1AF">
            <w:pPr>
              <w:spacing w:line="480" w:lineRule="auto"/>
              <w:rPr>
                <w:rFonts w:hint="eastAsia" w:hAnsi="宋体"/>
                <w:b/>
                <w:bCs/>
                <w:szCs w:val="23"/>
              </w:rPr>
            </w:pPr>
          </w:p>
        </w:tc>
        <w:tc>
          <w:tcPr>
            <w:tcW w:w="1537" w:type="dxa"/>
            <w:gridSpan w:val="4"/>
          </w:tcPr>
          <w:p w14:paraId="1001B94B">
            <w:pPr>
              <w:spacing w:line="480" w:lineRule="auto"/>
              <w:rPr>
                <w:rFonts w:hint="eastAsia" w:hAnsi="宋体"/>
                <w:b/>
                <w:bCs/>
                <w:szCs w:val="23"/>
              </w:rPr>
            </w:pPr>
          </w:p>
        </w:tc>
        <w:tc>
          <w:tcPr>
            <w:tcW w:w="1444" w:type="dxa"/>
            <w:gridSpan w:val="2"/>
          </w:tcPr>
          <w:p w14:paraId="2D2E2952">
            <w:pPr>
              <w:spacing w:line="480" w:lineRule="auto"/>
              <w:rPr>
                <w:rFonts w:hint="eastAsia" w:hAnsi="宋体"/>
                <w:b/>
                <w:bCs/>
                <w:szCs w:val="23"/>
              </w:rPr>
            </w:pPr>
          </w:p>
        </w:tc>
        <w:tc>
          <w:tcPr>
            <w:tcW w:w="1933" w:type="dxa"/>
            <w:gridSpan w:val="3"/>
          </w:tcPr>
          <w:p w14:paraId="5EF3F5AB">
            <w:pPr>
              <w:spacing w:line="480" w:lineRule="auto"/>
              <w:rPr>
                <w:rFonts w:hint="eastAsia" w:hAnsi="宋体"/>
                <w:b/>
                <w:bCs/>
                <w:szCs w:val="23"/>
              </w:rPr>
            </w:pPr>
          </w:p>
        </w:tc>
        <w:tc>
          <w:tcPr>
            <w:tcW w:w="2040" w:type="dxa"/>
            <w:gridSpan w:val="2"/>
          </w:tcPr>
          <w:p w14:paraId="50249AE1">
            <w:pPr>
              <w:spacing w:line="480" w:lineRule="auto"/>
              <w:rPr>
                <w:rFonts w:hint="eastAsia" w:hAnsi="宋体"/>
                <w:b/>
                <w:bCs/>
                <w:szCs w:val="23"/>
              </w:rPr>
            </w:pPr>
          </w:p>
        </w:tc>
      </w:tr>
      <w:tr w14:paraId="77F5E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3DF6EB72">
            <w:pPr>
              <w:spacing w:line="480" w:lineRule="auto"/>
              <w:rPr>
                <w:rFonts w:hint="eastAsia" w:hAnsi="宋体"/>
                <w:b/>
                <w:bCs/>
                <w:szCs w:val="23"/>
              </w:rPr>
            </w:pPr>
          </w:p>
        </w:tc>
        <w:tc>
          <w:tcPr>
            <w:tcW w:w="1537" w:type="dxa"/>
            <w:gridSpan w:val="4"/>
          </w:tcPr>
          <w:p w14:paraId="44B348C9">
            <w:pPr>
              <w:spacing w:line="480" w:lineRule="auto"/>
              <w:rPr>
                <w:rFonts w:hint="eastAsia" w:hAnsi="宋体"/>
                <w:b/>
                <w:bCs/>
                <w:szCs w:val="23"/>
              </w:rPr>
            </w:pPr>
          </w:p>
        </w:tc>
        <w:tc>
          <w:tcPr>
            <w:tcW w:w="1444" w:type="dxa"/>
            <w:gridSpan w:val="2"/>
          </w:tcPr>
          <w:p w14:paraId="2CFC0EBA">
            <w:pPr>
              <w:spacing w:line="480" w:lineRule="auto"/>
              <w:rPr>
                <w:rFonts w:hint="eastAsia" w:hAnsi="宋体"/>
                <w:b/>
                <w:bCs/>
                <w:szCs w:val="23"/>
              </w:rPr>
            </w:pPr>
          </w:p>
        </w:tc>
        <w:tc>
          <w:tcPr>
            <w:tcW w:w="1933" w:type="dxa"/>
            <w:gridSpan w:val="3"/>
          </w:tcPr>
          <w:p w14:paraId="5CCDC8E4">
            <w:pPr>
              <w:spacing w:line="480" w:lineRule="auto"/>
              <w:rPr>
                <w:rFonts w:hint="eastAsia" w:hAnsi="宋体"/>
                <w:b/>
                <w:bCs/>
                <w:szCs w:val="23"/>
              </w:rPr>
            </w:pPr>
          </w:p>
        </w:tc>
        <w:tc>
          <w:tcPr>
            <w:tcW w:w="2040" w:type="dxa"/>
            <w:gridSpan w:val="2"/>
          </w:tcPr>
          <w:p w14:paraId="5DA0AC11">
            <w:pPr>
              <w:spacing w:line="480" w:lineRule="auto"/>
              <w:rPr>
                <w:rFonts w:hint="eastAsia" w:hAnsi="宋体"/>
                <w:b/>
                <w:bCs/>
                <w:szCs w:val="23"/>
              </w:rPr>
            </w:pPr>
          </w:p>
        </w:tc>
      </w:tr>
      <w:tr w14:paraId="040D6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30D80F03">
            <w:pPr>
              <w:spacing w:line="480" w:lineRule="auto"/>
              <w:rPr>
                <w:rFonts w:hint="eastAsia" w:hAnsi="宋体"/>
                <w:b/>
                <w:bCs/>
                <w:szCs w:val="23"/>
              </w:rPr>
            </w:pPr>
          </w:p>
        </w:tc>
        <w:tc>
          <w:tcPr>
            <w:tcW w:w="1537" w:type="dxa"/>
            <w:gridSpan w:val="4"/>
          </w:tcPr>
          <w:p w14:paraId="6BC4B164">
            <w:pPr>
              <w:spacing w:line="480" w:lineRule="auto"/>
              <w:rPr>
                <w:rFonts w:hint="eastAsia" w:hAnsi="宋体"/>
                <w:b/>
                <w:bCs/>
                <w:szCs w:val="23"/>
              </w:rPr>
            </w:pPr>
          </w:p>
        </w:tc>
        <w:tc>
          <w:tcPr>
            <w:tcW w:w="1444" w:type="dxa"/>
            <w:gridSpan w:val="2"/>
          </w:tcPr>
          <w:p w14:paraId="73D63838">
            <w:pPr>
              <w:spacing w:line="480" w:lineRule="auto"/>
              <w:rPr>
                <w:rFonts w:hint="eastAsia" w:hAnsi="宋体"/>
                <w:b/>
                <w:bCs/>
                <w:szCs w:val="23"/>
              </w:rPr>
            </w:pPr>
          </w:p>
        </w:tc>
        <w:tc>
          <w:tcPr>
            <w:tcW w:w="1933" w:type="dxa"/>
            <w:gridSpan w:val="3"/>
          </w:tcPr>
          <w:p w14:paraId="7C37B5F3">
            <w:pPr>
              <w:spacing w:line="480" w:lineRule="auto"/>
              <w:rPr>
                <w:rFonts w:hint="eastAsia" w:hAnsi="宋体"/>
                <w:b/>
                <w:bCs/>
                <w:szCs w:val="23"/>
              </w:rPr>
            </w:pPr>
          </w:p>
        </w:tc>
        <w:tc>
          <w:tcPr>
            <w:tcW w:w="2040" w:type="dxa"/>
            <w:gridSpan w:val="2"/>
          </w:tcPr>
          <w:p w14:paraId="004C23FE">
            <w:pPr>
              <w:spacing w:line="480" w:lineRule="auto"/>
              <w:rPr>
                <w:rFonts w:hint="eastAsia" w:hAnsi="宋体"/>
                <w:b/>
                <w:bCs/>
                <w:szCs w:val="23"/>
              </w:rPr>
            </w:pPr>
          </w:p>
        </w:tc>
      </w:tr>
      <w:tr w14:paraId="7A3E8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12030242">
            <w:pPr>
              <w:spacing w:line="480" w:lineRule="auto"/>
              <w:rPr>
                <w:rFonts w:hint="eastAsia" w:hAnsi="宋体"/>
                <w:b/>
                <w:bCs/>
                <w:szCs w:val="23"/>
              </w:rPr>
            </w:pPr>
          </w:p>
        </w:tc>
        <w:tc>
          <w:tcPr>
            <w:tcW w:w="1537" w:type="dxa"/>
            <w:gridSpan w:val="4"/>
          </w:tcPr>
          <w:p w14:paraId="187A50FE">
            <w:pPr>
              <w:spacing w:line="480" w:lineRule="auto"/>
              <w:rPr>
                <w:rFonts w:hint="eastAsia" w:hAnsi="宋体"/>
                <w:b/>
                <w:bCs/>
                <w:szCs w:val="23"/>
              </w:rPr>
            </w:pPr>
          </w:p>
        </w:tc>
        <w:tc>
          <w:tcPr>
            <w:tcW w:w="1444" w:type="dxa"/>
            <w:gridSpan w:val="2"/>
          </w:tcPr>
          <w:p w14:paraId="2781D79C">
            <w:pPr>
              <w:spacing w:line="480" w:lineRule="auto"/>
              <w:rPr>
                <w:rFonts w:hint="eastAsia" w:hAnsi="宋体"/>
                <w:b/>
                <w:bCs/>
                <w:szCs w:val="23"/>
              </w:rPr>
            </w:pPr>
          </w:p>
        </w:tc>
        <w:tc>
          <w:tcPr>
            <w:tcW w:w="1933" w:type="dxa"/>
            <w:gridSpan w:val="3"/>
          </w:tcPr>
          <w:p w14:paraId="3B3947C3">
            <w:pPr>
              <w:spacing w:line="480" w:lineRule="auto"/>
              <w:rPr>
                <w:rFonts w:hint="eastAsia" w:hAnsi="宋体"/>
                <w:b/>
                <w:bCs/>
                <w:szCs w:val="23"/>
              </w:rPr>
            </w:pPr>
          </w:p>
        </w:tc>
        <w:tc>
          <w:tcPr>
            <w:tcW w:w="2040" w:type="dxa"/>
            <w:gridSpan w:val="2"/>
          </w:tcPr>
          <w:p w14:paraId="1F82DBFF">
            <w:pPr>
              <w:spacing w:line="480" w:lineRule="auto"/>
              <w:rPr>
                <w:rFonts w:hint="eastAsia" w:hAnsi="宋体"/>
                <w:b/>
                <w:bCs/>
                <w:szCs w:val="23"/>
              </w:rPr>
            </w:pPr>
          </w:p>
        </w:tc>
      </w:tr>
      <w:tr w14:paraId="725F9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4AE131E3">
            <w:pPr>
              <w:spacing w:line="480" w:lineRule="auto"/>
              <w:rPr>
                <w:rFonts w:hint="eastAsia" w:hAnsi="宋体"/>
                <w:b/>
                <w:bCs/>
                <w:szCs w:val="23"/>
              </w:rPr>
            </w:pPr>
          </w:p>
        </w:tc>
        <w:tc>
          <w:tcPr>
            <w:tcW w:w="1537" w:type="dxa"/>
            <w:gridSpan w:val="4"/>
          </w:tcPr>
          <w:p w14:paraId="3C43A875">
            <w:pPr>
              <w:spacing w:line="480" w:lineRule="auto"/>
              <w:rPr>
                <w:rFonts w:hint="eastAsia" w:hAnsi="宋体"/>
                <w:b/>
                <w:bCs/>
                <w:szCs w:val="23"/>
              </w:rPr>
            </w:pPr>
          </w:p>
        </w:tc>
        <w:tc>
          <w:tcPr>
            <w:tcW w:w="1444" w:type="dxa"/>
            <w:gridSpan w:val="2"/>
          </w:tcPr>
          <w:p w14:paraId="0AA265ED">
            <w:pPr>
              <w:spacing w:line="480" w:lineRule="auto"/>
              <w:rPr>
                <w:rFonts w:hint="eastAsia" w:hAnsi="宋体"/>
                <w:b/>
                <w:bCs/>
                <w:szCs w:val="23"/>
              </w:rPr>
            </w:pPr>
          </w:p>
        </w:tc>
        <w:tc>
          <w:tcPr>
            <w:tcW w:w="1933" w:type="dxa"/>
            <w:gridSpan w:val="3"/>
          </w:tcPr>
          <w:p w14:paraId="132CEB46">
            <w:pPr>
              <w:spacing w:line="480" w:lineRule="auto"/>
              <w:rPr>
                <w:rFonts w:hint="eastAsia" w:hAnsi="宋体"/>
                <w:b/>
                <w:bCs/>
                <w:szCs w:val="23"/>
              </w:rPr>
            </w:pPr>
          </w:p>
        </w:tc>
        <w:tc>
          <w:tcPr>
            <w:tcW w:w="2040" w:type="dxa"/>
            <w:gridSpan w:val="2"/>
          </w:tcPr>
          <w:p w14:paraId="3D4A9C6B">
            <w:pPr>
              <w:spacing w:line="480" w:lineRule="auto"/>
              <w:rPr>
                <w:rFonts w:hint="eastAsia" w:hAnsi="宋体"/>
                <w:b/>
                <w:bCs/>
                <w:szCs w:val="23"/>
              </w:rPr>
            </w:pPr>
          </w:p>
        </w:tc>
      </w:tr>
      <w:tr w14:paraId="533D3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57A4E5C5">
            <w:pPr>
              <w:spacing w:line="480" w:lineRule="auto"/>
              <w:rPr>
                <w:rFonts w:hint="eastAsia" w:hAnsi="宋体"/>
                <w:b/>
                <w:bCs/>
                <w:szCs w:val="23"/>
              </w:rPr>
            </w:pPr>
          </w:p>
        </w:tc>
        <w:tc>
          <w:tcPr>
            <w:tcW w:w="1537" w:type="dxa"/>
            <w:gridSpan w:val="4"/>
          </w:tcPr>
          <w:p w14:paraId="6C0F9CFE">
            <w:pPr>
              <w:spacing w:line="480" w:lineRule="auto"/>
              <w:rPr>
                <w:rFonts w:hint="eastAsia" w:hAnsi="宋体"/>
                <w:b/>
                <w:bCs/>
                <w:szCs w:val="23"/>
              </w:rPr>
            </w:pPr>
          </w:p>
        </w:tc>
        <w:tc>
          <w:tcPr>
            <w:tcW w:w="1444" w:type="dxa"/>
            <w:gridSpan w:val="2"/>
          </w:tcPr>
          <w:p w14:paraId="2E06A1BA">
            <w:pPr>
              <w:spacing w:line="480" w:lineRule="auto"/>
              <w:rPr>
                <w:rFonts w:hint="eastAsia" w:hAnsi="宋体"/>
                <w:b/>
                <w:bCs/>
                <w:szCs w:val="23"/>
              </w:rPr>
            </w:pPr>
          </w:p>
        </w:tc>
        <w:tc>
          <w:tcPr>
            <w:tcW w:w="1933" w:type="dxa"/>
            <w:gridSpan w:val="3"/>
          </w:tcPr>
          <w:p w14:paraId="4F773450">
            <w:pPr>
              <w:spacing w:line="480" w:lineRule="auto"/>
              <w:rPr>
                <w:rFonts w:hint="eastAsia" w:hAnsi="宋体"/>
                <w:b/>
                <w:bCs/>
                <w:szCs w:val="23"/>
              </w:rPr>
            </w:pPr>
          </w:p>
        </w:tc>
        <w:tc>
          <w:tcPr>
            <w:tcW w:w="2040" w:type="dxa"/>
            <w:gridSpan w:val="2"/>
          </w:tcPr>
          <w:p w14:paraId="2B1EAF70">
            <w:pPr>
              <w:spacing w:line="480" w:lineRule="auto"/>
              <w:rPr>
                <w:rFonts w:hint="eastAsia" w:hAnsi="宋体"/>
                <w:b/>
                <w:bCs/>
                <w:szCs w:val="23"/>
              </w:rPr>
            </w:pPr>
          </w:p>
        </w:tc>
      </w:tr>
      <w:tr w14:paraId="789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286" w:type="dxa"/>
            <w:gridSpan w:val="2"/>
          </w:tcPr>
          <w:p w14:paraId="6E358DF9">
            <w:pPr>
              <w:spacing w:line="480" w:lineRule="auto"/>
              <w:rPr>
                <w:rFonts w:hint="eastAsia" w:hAnsi="宋体"/>
                <w:b/>
                <w:bCs/>
                <w:szCs w:val="23"/>
              </w:rPr>
            </w:pPr>
          </w:p>
        </w:tc>
        <w:tc>
          <w:tcPr>
            <w:tcW w:w="1537" w:type="dxa"/>
            <w:gridSpan w:val="4"/>
          </w:tcPr>
          <w:p w14:paraId="17946B17">
            <w:pPr>
              <w:spacing w:line="480" w:lineRule="auto"/>
              <w:rPr>
                <w:rFonts w:hint="eastAsia" w:hAnsi="宋体"/>
                <w:b/>
                <w:bCs/>
                <w:szCs w:val="23"/>
              </w:rPr>
            </w:pPr>
          </w:p>
        </w:tc>
        <w:tc>
          <w:tcPr>
            <w:tcW w:w="1444" w:type="dxa"/>
            <w:gridSpan w:val="2"/>
          </w:tcPr>
          <w:p w14:paraId="33DD1EE8">
            <w:pPr>
              <w:spacing w:line="480" w:lineRule="auto"/>
              <w:rPr>
                <w:rFonts w:hint="eastAsia" w:hAnsi="宋体"/>
                <w:b/>
                <w:bCs/>
                <w:szCs w:val="23"/>
              </w:rPr>
            </w:pPr>
          </w:p>
        </w:tc>
        <w:tc>
          <w:tcPr>
            <w:tcW w:w="1933" w:type="dxa"/>
            <w:gridSpan w:val="3"/>
          </w:tcPr>
          <w:p w14:paraId="44F7840C">
            <w:pPr>
              <w:spacing w:line="480" w:lineRule="auto"/>
              <w:rPr>
                <w:rFonts w:hint="eastAsia" w:hAnsi="宋体"/>
                <w:b/>
                <w:bCs/>
                <w:szCs w:val="23"/>
              </w:rPr>
            </w:pPr>
          </w:p>
        </w:tc>
        <w:tc>
          <w:tcPr>
            <w:tcW w:w="2040" w:type="dxa"/>
            <w:gridSpan w:val="2"/>
          </w:tcPr>
          <w:p w14:paraId="66918B10">
            <w:pPr>
              <w:spacing w:line="480" w:lineRule="auto"/>
              <w:rPr>
                <w:rFonts w:hint="eastAsia" w:hAnsi="宋体"/>
                <w:b/>
                <w:bCs/>
                <w:szCs w:val="23"/>
              </w:rPr>
            </w:pPr>
          </w:p>
        </w:tc>
      </w:tr>
    </w:tbl>
    <w:p w14:paraId="647BB800">
      <w:pPr>
        <w:tabs>
          <w:tab w:val="left" w:pos="0"/>
        </w:tabs>
        <w:spacing w:line="360" w:lineRule="auto"/>
        <w:ind w:left="735" w:right="-210" w:hanging="735" w:hangingChars="350"/>
        <w:rPr>
          <w:rFonts w:hint="eastAsia" w:ascii="宋体" w:hAnsi="宋体"/>
          <w:bCs/>
          <w:szCs w:val="23"/>
        </w:rPr>
      </w:pPr>
      <w:r>
        <w:rPr>
          <w:rFonts w:hint="eastAsia" w:hAnsi="宋体"/>
          <w:bCs/>
          <w:szCs w:val="23"/>
        </w:rPr>
        <w:t>注：</w:t>
      </w:r>
      <w:r>
        <w:rPr>
          <w:rFonts w:hint="eastAsia" w:ascii="宋体" w:hAnsi="宋体"/>
          <w:bCs/>
          <w:szCs w:val="23"/>
        </w:rPr>
        <w:t>1、提供证书复印件，技术负责人</w:t>
      </w:r>
      <w:r>
        <w:rPr>
          <w:rFonts w:hint="eastAsia" w:hAnsi="宋体"/>
          <w:bCs/>
          <w:szCs w:val="23"/>
        </w:rPr>
        <w:t>业绩</w:t>
      </w:r>
      <w:r>
        <w:rPr>
          <w:rFonts w:hint="eastAsia" w:ascii="宋体" w:hAnsi="宋体"/>
          <w:szCs w:val="21"/>
        </w:rPr>
        <w:t>需提供与甲方签订合同的合同首页至合同签字盖章页的关键内容合同页（复印件须加盖供应商公章）。</w:t>
      </w:r>
    </w:p>
    <w:p w14:paraId="794ECDB6">
      <w:pPr>
        <w:tabs>
          <w:tab w:val="left" w:pos="0"/>
        </w:tabs>
        <w:spacing w:line="360" w:lineRule="auto"/>
        <w:ind w:left="735" w:leftChars="200" w:right="-212" w:hanging="315" w:hangingChars="150"/>
      </w:pPr>
      <w:r>
        <w:rPr>
          <w:rFonts w:hint="eastAsia"/>
        </w:rPr>
        <w:t>2、</w:t>
      </w:r>
      <w:r>
        <w:rPr>
          <w:rFonts w:hint="eastAsia" w:ascii="宋体" w:hAnsi="宋体"/>
          <w:szCs w:val="21"/>
        </w:rPr>
        <w:t>相关工程指已完成的类似本项目的装饰装修工程业绩。</w:t>
      </w:r>
    </w:p>
    <w:p w14:paraId="354109A7">
      <w:pPr>
        <w:tabs>
          <w:tab w:val="left" w:pos="0"/>
        </w:tabs>
        <w:spacing w:line="360" w:lineRule="auto"/>
        <w:ind w:right="-212" w:firstLine="420" w:firstLineChars="200"/>
        <w:sectPr>
          <w:headerReference r:id="rId22" w:type="default"/>
          <w:pgSz w:w="11906" w:h="16838"/>
          <w:pgMar w:top="1440" w:right="1797" w:bottom="1440" w:left="1797" w:header="851" w:footer="992" w:gutter="0"/>
          <w:cols w:space="720" w:num="1"/>
          <w:docGrid w:linePitch="312" w:charSpace="0"/>
        </w:sectPr>
      </w:pPr>
      <w:r>
        <w:rPr>
          <w:rFonts w:hint="eastAsia"/>
        </w:rPr>
        <w:t>3、近3年是指2021年10月8日至响应文件递交截止之日</w:t>
      </w:r>
      <w:r>
        <w:rPr>
          <w:rFonts w:hint="eastAsia" w:ascii="宋体" w:hAnsi="宋体"/>
          <w:szCs w:val="21"/>
        </w:rPr>
        <w:t>，以合同签订日期为准</w:t>
      </w:r>
      <w:r>
        <w:rPr>
          <w:rFonts w:hint="eastAsia"/>
        </w:rPr>
        <w:t>。</w:t>
      </w:r>
    </w:p>
    <w:p w14:paraId="4EA4C929">
      <w:pPr>
        <w:pStyle w:val="6"/>
        <w:rPr>
          <w:szCs w:val="24"/>
          <w:u w:val="none"/>
        </w:rPr>
      </w:pPr>
      <w:bookmarkStart w:id="2757" w:name="_Toc142385811"/>
      <w:bookmarkStart w:id="2758" w:name="_Toc130920628"/>
      <w:r>
        <w:rPr>
          <w:rFonts w:hint="eastAsia"/>
          <w:szCs w:val="24"/>
          <w:u w:val="none"/>
        </w:rPr>
        <w:t>4.12可投入及拟投入施工机械设备</w:t>
      </w:r>
      <w:bookmarkEnd w:id="2757"/>
      <w:bookmarkEnd w:id="2758"/>
    </w:p>
    <w:tbl>
      <w:tblPr>
        <w:tblStyle w:val="81"/>
        <w:tblpPr w:leftFromText="180" w:rightFromText="180" w:vertAnchor="page" w:horzAnchor="margin" w:tblpXSpec="center" w:tblpY="25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190"/>
        <w:gridCol w:w="1160"/>
        <w:gridCol w:w="710"/>
        <w:gridCol w:w="848"/>
        <w:gridCol w:w="710"/>
        <w:gridCol w:w="807"/>
        <w:gridCol w:w="911"/>
        <w:gridCol w:w="807"/>
        <w:gridCol w:w="734"/>
      </w:tblGrid>
      <w:tr w14:paraId="28245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1643" w:type="dxa"/>
            <w:gridSpan w:val="2"/>
            <w:vAlign w:val="center"/>
          </w:tcPr>
          <w:p w14:paraId="22C5F7F9">
            <w:pPr>
              <w:tabs>
                <w:tab w:val="left" w:pos="0"/>
              </w:tabs>
              <w:ind w:right="-212"/>
            </w:pPr>
            <w:r>
              <w:rPr>
                <w:rFonts w:hint="eastAsia"/>
              </w:rPr>
              <w:t>工程名称</w:t>
            </w:r>
          </w:p>
        </w:tc>
        <w:tc>
          <w:tcPr>
            <w:tcW w:w="6687" w:type="dxa"/>
            <w:gridSpan w:val="8"/>
            <w:vAlign w:val="center"/>
          </w:tcPr>
          <w:p w14:paraId="1FC6C946">
            <w:pPr>
              <w:jc w:val="center"/>
            </w:pPr>
          </w:p>
        </w:tc>
      </w:tr>
      <w:tr w14:paraId="587C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1643" w:type="dxa"/>
            <w:gridSpan w:val="2"/>
          </w:tcPr>
          <w:p w14:paraId="151CFE71">
            <w:r>
              <w:rPr>
                <w:rFonts w:hint="eastAsia"/>
              </w:rPr>
              <w:t>公司名称</w:t>
            </w:r>
          </w:p>
        </w:tc>
        <w:tc>
          <w:tcPr>
            <w:tcW w:w="6687" w:type="dxa"/>
            <w:gridSpan w:val="8"/>
          </w:tcPr>
          <w:p w14:paraId="1459EA41">
            <w:pPr>
              <w:rPr>
                <w:b/>
                <w:bCs/>
                <w:sz w:val="28"/>
              </w:rPr>
            </w:pPr>
          </w:p>
        </w:tc>
      </w:tr>
      <w:tr w14:paraId="40B87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8330" w:type="dxa"/>
            <w:gridSpan w:val="10"/>
          </w:tcPr>
          <w:p w14:paraId="39244D5B">
            <w:pPr>
              <w:jc w:val="center"/>
              <w:rPr>
                <w:b/>
                <w:bCs/>
              </w:rPr>
            </w:pPr>
            <w:r>
              <w:rPr>
                <w:rFonts w:hint="eastAsia"/>
                <w:b/>
                <w:bCs/>
              </w:rPr>
              <w:t>可投入（闲置）施工机械设备表</w:t>
            </w:r>
          </w:p>
        </w:tc>
      </w:tr>
      <w:tr w14:paraId="15CEB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453" w:type="dxa"/>
            <w:vAlign w:val="center"/>
          </w:tcPr>
          <w:p w14:paraId="7F1CCF65">
            <w:pPr>
              <w:jc w:val="center"/>
            </w:pPr>
            <w:r>
              <w:rPr>
                <w:rFonts w:hint="eastAsia"/>
              </w:rPr>
              <w:t>序号</w:t>
            </w:r>
          </w:p>
        </w:tc>
        <w:tc>
          <w:tcPr>
            <w:tcW w:w="2350" w:type="dxa"/>
            <w:gridSpan w:val="2"/>
            <w:vAlign w:val="center"/>
          </w:tcPr>
          <w:p w14:paraId="0F4D60D6">
            <w:pPr>
              <w:jc w:val="center"/>
            </w:pPr>
            <w:r>
              <w:rPr>
                <w:rFonts w:hint="eastAsia"/>
              </w:rPr>
              <w:t>机械或设备名称</w:t>
            </w:r>
          </w:p>
        </w:tc>
        <w:tc>
          <w:tcPr>
            <w:tcW w:w="710" w:type="dxa"/>
            <w:vAlign w:val="center"/>
          </w:tcPr>
          <w:p w14:paraId="2688B10F">
            <w:pPr>
              <w:jc w:val="center"/>
            </w:pPr>
            <w:r>
              <w:rPr>
                <w:rFonts w:hint="eastAsia"/>
              </w:rPr>
              <w:t>型号规格</w:t>
            </w:r>
          </w:p>
        </w:tc>
        <w:tc>
          <w:tcPr>
            <w:tcW w:w="848" w:type="dxa"/>
            <w:vAlign w:val="center"/>
          </w:tcPr>
          <w:p w14:paraId="64FD5295">
            <w:pPr>
              <w:jc w:val="center"/>
            </w:pPr>
            <w:r>
              <w:rPr>
                <w:rFonts w:hint="eastAsia"/>
              </w:rPr>
              <w:t>数量</w:t>
            </w:r>
          </w:p>
        </w:tc>
        <w:tc>
          <w:tcPr>
            <w:tcW w:w="710" w:type="dxa"/>
            <w:vAlign w:val="center"/>
          </w:tcPr>
          <w:p w14:paraId="6555F891">
            <w:pPr>
              <w:jc w:val="center"/>
            </w:pPr>
            <w:r>
              <w:rPr>
                <w:rFonts w:hint="eastAsia"/>
              </w:rPr>
              <w:t>国别产地</w:t>
            </w:r>
          </w:p>
        </w:tc>
        <w:tc>
          <w:tcPr>
            <w:tcW w:w="807" w:type="dxa"/>
            <w:vAlign w:val="center"/>
          </w:tcPr>
          <w:p w14:paraId="2E2DB5BB">
            <w:pPr>
              <w:jc w:val="center"/>
            </w:pPr>
            <w:r>
              <w:rPr>
                <w:rFonts w:hint="eastAsia"/>
              </w:rPr>
              <w:t>出厂日期</w:t>
            </w:r>
          </w:p>
        </w:tc>
        <w:tc>
          <w:tcPr>
            <w:tcW w:w="911" w:type="dxa"/>
            <w:vAlign w:val="center"/>
          </w:tcPr>
          <w:p w14:paraId="2AA1A5B8">
            <w:pPr>
              <w:jc w:val="center"/>
            </w:pPr>
            <w:r>
              <w:rPr>
                <w:rFonts w:hint="eastAsia"/>
              </w:rPr>
              <w:t>额定功率</w:t>
            </w:r>
            <w:r>
              <w:t>kw</w:t>
            </w:r>
          </w:p>
        </w:tc>
        <w:tc>
          <w:tcPr>
            <w:tcW w:w="807" w:type="dxa"/>
            <w:vAlign w:val="center"/>
          </w:tcPr>
          <w:p w14:paraId="165F5512">
            <w:pPr>
              <w:jc w:val="center"/>
            </w:pPr>
            <w:r>
              <w:rPr>
                <w:rFonts w:hint="eastAsia"/>
              </w:rPr>
              <w:t>生产能力</w:t>
            </w:r>
          </w:p>
        </w:tc>
        <w:tc>
          <w:tcPr>
            <w:tcW w:w="734" w:type="dxa"/>
            <w:vAlign w:val="center"/>
          </w:tcPr>
          <w:p w14:paraId="624F431E">
            <w:pPr>
              <w:jc w:val="center"/>
            </w:pPr>
            <w:r>
              <w:rPr>
                <w:rFonts w:hint="eastAsia"/>
              </w:rPr>
              <w:t>备注</w:t>
            </w:r>
          </w:p>
        </w:tc>
      </w:tr>
      <w:tr w14:paraId="3E8B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372FC0B3">
            <w:pPr>
              <w:rPr>
                <w:b/>
                <w:bCs/>
                <w:sz w:val="28"/>
              </w:rPr>
            </w:pPr>
          </w:p>
        </w:tc>
        <w:tc>
          <w:tcPr>
            <w:tcW w:w="2350" w:type="dxa"/>
            <w:gridSpan w:val="2"/>
          </w:tcPr>
          <w:p w14:paraId="3E007423">
            <w:pPr>
              <w:rPr>
                <w:b/>
                <w:bCs/>
                <w:sz w:val="28"/>
              </w:rPr>
            </w:pPr>
          </w:p>
        </w:tc>
        <w:tc>
          <w:tcPr>
            <w:tcW w:w="710" w:type="dxa"/>
          </w:tcPr>
          <w:p w14:paraId="327425C7">
            <w:pPr>
              <w:rPr>
                <w:b/>
                <w:bCs/>
                <w:sz w:val="28"/>
              </w:rPr>
            </w:pPr>
          </w:p>
        </w:tc>
        <w:tc>
          <w:tcPr>
            <w:tcW w:w="848" w:type="dxa"/>
          </w:tcPr>
          <w:p w14:paraId="2CDA0C93">
            <w:pPr>
              <w:rPr>
                <w:b/>
                <w:bCs/>
                <w:sz w:val="28"/>
              </w:rPr>
            </w:pPr>
          </w:p>
        </w:tc>
        <w:tc>
          <w:tcPr>
            <w:tcW w:w="710" w:type="dxa"/>
          </w:tcPr>
          <w:p w14:paraId="44212F9B">
            <w:pPr>
              <w:rPr>
                <w:b/>
                <w:bCs/>
                <w:sz w:val="28"/>
              </w:rPr>
            </w:pPr>
          </w:p>
        </w:tc>
        <w:tc>
          <w:tcPr>
            <w:tcW w:w="807" w:type="dxa"/>
          </w:tcPr>
          <w:p w14:paraId="482C1CBB">
            <w:pPr>
              <w:rPr>
                <w:b/>
                <w:bCs/>
                <w:sz w:val="28"/>
              </w:rPr>
            </w:pPr>
          </w:p>
        </w:tc>
        <w:tc>
          <w:tcPr>
            <w:tcW w:w="911" w:type="dxa"/>
          </w:tcPr>
          <w:p w14:paraId="5F572074">
            <w:pPr>
              <w:rPr>
                <w:b/>
                <w:bCs/>
                <w:sz w:val="28"/>
              </w:rPr>
            </w:pPr>
          </w:p>
        </w:tc>
        <w:tc>
          <w:tcPr>
            <w:tcW w:w="807" w:type="dxa"/>
          </w:tcPr>
          <w:p w14:paraId="2C84D8E9">
            <w:pPr>
              <w:rPr>
                <w:b/>
                <w:bCs/>
                <w:sz w:val="28"/>
              </w:rPr>
            </w:pPr>
          </w:p>
        </w:tc>
        <w:tc>
          <w:tcPr>
            <w:tcW w:w="734" w:type="dxa"/>
          </w:tcPr>
          <w:p w14:paraId="7F822327">
            <w:pPr>
              <w:rPr>
                <w:b/>
                <w:bCs/>
                <w:sz w:val="28"/>
              </w:rPr>
            </w:pPr>
          </w:p>
        </w:tc>
      </w:tr>
      <w:tr w14:paraId="3BF79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0D49C731">
            <w:pPr>
              <w:rPr>
                <w:b/>
                <w:bCs/>
                <w:sz w:val="28"/>
              </w:rPr>
            </w:pPr>
          </w:p>
        </w:tc>
        <w:tc>
          <w:tcPr>
            <w:tcW w:w="2350" w:type="dxa"/>
            <w:gridSpan w:val="2"/>
          </w:tcPr>
          <w:p w14:paraId="626B657C">
            <w:pPr>
              <w:rPr>
                <w:b/>
                <w:bCs/>
                <w:sz w:val="28"/>
              </w:rPr>
            </w:pPr>
          </w:p>
        </w:tc>
        <w:tc>
          <w:tcPr>
            <w:tcW w:w="710" w:type="dxa"/>
          </w:tcPr>
          <w:p w14:paraId="4D213936">
            <w:pPr>
              <w:rPr>
                <w:b/>
                <w:bCs/>
                <w:sz w:val="28"/>
              </w:rPr>
            </w:pPr>
          </w:p>
        </w:tc>
        <w:tc>
          <w:tcPr>
            <w:tcW w:w="848" w:type="dxa"/>
          </w:tcPr>
          <w:p w14:paraId="0E9CAD6E">
            <w:pPr>
              <w:rPr>
                <w:b/>
                <w:bCs/>
                <w:sz w:val="28"/>
              </w:rPr>
            </w:pPr>
          </w:p>
        </w:tc>
        <w:tc>
          <w:tcPr>
            <w:tcW w:w="710" w:type="dxa"/>
          </w:tcPr>
          <w:p w14:paraId="2BB5FC26">
            <w:pPr>
              <w:rPr>
                <w:b/>
                <w:bCs/>
                <w:sz w:val="28"/>
              </w:rPr>
            </w:pPr>
          </w:p>
        </w:tc>
        <w:tc>
          <w:tcPr>
            <w:tcW w:w="807" w:type="dxa"/>
          </w:tcPr>
          <w:p w14:paraId="7F971791">
            <w:pPr>
              <w:rPr>
                <w:b/>
                <w:bCs/>
                <w:sz w:val="28"/>
              </w:rPr>
            </w:pPr>
          </w:p>
        </w:tc>
        <w:tc>
          <w:tcPr>
            <w:tcW w:w="911" w:type="dxa"/>
          </w:tcPr>
          <w:p w14:paraId="627006BE">
            <w:pPr>
              <w:rPr>
                <w:b/>
                <w:bCs/>
                <w:sz w:val="28"/>
              </w:rPr>
            </w:pPr>
          </w:p>
        </w:tc>
        <w:tc>
          <w:tcPr>
            <w:tcW w:w="807" w:type="dxa"/>
          </w:tcPr>
          <w:p w14:paraId="7EBF849B">
            <w:pPr>
              <w:rPr>
                <w:b/>
                <w:bCs/>
                <w:sz w:val="28"/>
              </w:rPr>
            </w:pPr>
          </w:p>
        </w:tc>
        <w:tc>
          <w:tcPr>
            <w:tcW w:w="734" w:type="dxa"/>
          </w:tcPr>
          <w:p w14:paraId="144F297E">
            <w:pPr>
              <w:rPr>
                <w:b/>
                <w:bCs/>
                <w:sz w:val="28"/>
              </w:rPr>
            </w:pPr>
          </w:p>
        </w:tc>
      </w:tr>
      <w:tr w14:paraId="17910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23A6120F">
            <w:pPr>
              <w:rPr>
                <w:b/>
                <w:bCs/>
                <w:sz w:val="28"/>
              </w:rPr>
            </w:pPr>
          </w:p>
        </w:tc>
        <w:tc>
          <w:tcPr>
            <w:tcW w:w="2350" w:type="dxa"/>
            <w:gridSpan w:val="2"/>
          </w:tcPr>
          <w:p w14:paraId="350F7E93">
            <w:pPr>
              <w:rPr>
                <w:b/>
                <w:bCs/>
                <w:sz w:val="28"/>
              </w:rPr>
            </w:pPr>
          </w:p>
        </w:tc>
        <w:tc>
          <w:tcPr>
            <w:tcW w:w="710" w:type="dxa"/>
          </w:tcPr>
          <w:p w14:paraId="2E779EED">
            <w:pPr>
              <w:rPr>
                <w:b/>
                <w:bCs/>
                <w:sz w:val="28"/>
              </w:rPr>
            </w:pPr>
          </w:p>
        </w:tc>
        <w:tc>
          <w:tcPr>
            <w:tcW w:w="848" w:type="dxa"/>
          </w:tcPr>
          <w:p w14:paraId="3E18B58D">
            <w:pPr>
              <w:rPr>
                <w:b/>
                <w:bCs/>
                <w:sz w:val="28"/>
              </w:rPr>
            </w:pPr>
          </w:p>
        </w:tc>
        <w:tc>
          <w:tcPr>
            <w:tcW w:w="710" w:type="dxa"/>
          </w:tcPr>
          <w:p w14:paraId="54F9B8B0">
            <w:pPr>
              <w:rPr>
                <w:b/>
                <w:bCs/>
                <w:sz w:val="28"/>
              </w:rPr>
            </w:pPr>
          </w:p>
        </w:tc>
        <w:tc>
          <w:tcPr>
            <w:tcW w:w="807" w:type="dxa"/>
          </w:tcPr>
          <w:p w14:paraId="0B2F294F">
            <w:pPr>
              <w:rPr>
                <w:b/>
                <w:bCs/>
                <w:sz w:val="28"/>
              </w:rPr>
            </w:pPr>
          </w:p>
        </w:tc>
        <w:tc>
          <w:tcPr>
            <w:tcW w:w="911" w:type="dxa"/>
          </w:tcPr>
          <w:p w14:paraId="2B50685C">
            <w:pPr>
              <w:rPr>
                <w:b/>
                <w:bCs/>
                <w:sz w:val="28"/>
              </w:rPr>
            </w:pPr>
          </w:p>
        </w:tc>
        <w:tc>
          <w:tcPr>
            <w:tcW w:w="807" w:type="dxa"/>
          </w:tcPr>
          <w:p w14:paraId="46C04ECA">
            <w:pPr>
              <w:rPr>
                <w:b/>
                <w:bCs/>
                <w:sz w:val="28"/>
              </w:rPr>
            </w:pPr>
          </w:p>
        </w:tc>
        <w:tc>
          <w:tcPr>
            <w:tcW w:w="734" w:type="dxa"/>
          </w:tcPr>
          <w:p w14:paraId="5A9B6C27">
            <w:pPr>
              <w:rPr>
                <w:b/>
                <w:bCs/>
                <w:sz w:val="28"/>
              </w:rPr>
            </w:pPr>
          </w:p>
        </w:tc>
      </w:tr>
      <w:tr w14:paraId="40871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32AD9EDC">
            <w:pPr>
              <w:rPr>
                <w:b/>
                <w:bCs/>
                <w:sz w:val="28"/>
              </w:rPr>
            </w:pPr>
          </w:p>
        </w:tc>
        <w:tc>
          <w:tcPr>
            <w:tcW w:w="2350" w:type="dxa"/>
            <w:gridSpan w:val="2"/>
          </w:tcPr>
          <w:p w14:paraId="49B4252E">
            <w:pPr>
              <w:rPr>
                <w:b/>
                <w:bCs/>
                <w:sz w:val="28"/>
              </w:rPr>
            </w:pPr>
          </w:p>
        </w:tc>
        <w:tc>
          <w:tcPr>
            <w:tcW w:w="710" w:type="dxa"/>
          </w:tcPr>
          <w:p w14:paraId="1F032596">
            <w:pPr>
              <w:rPr>
                <w:b/>
                <w:bCs/>
                <w:sz w:val="28"/>
              </w:rPr>
            </w:pPr>
          </w:p>
        </w:tc>
        <w:tc>
          <w:tcPr>
            <w:tcW w:w="848" w:type="dxa"/>
          </w:tcPr>
          <w:p w14:paraId="56C5B718">
            <w:pPr>
              <w:rPr>
                <w:b/>
                <w:bCs/>
                <w:sz w:val="28"/>
              </w:rPr>
            </w:pPr>
          </w:p>
        </w:tc>
        <w:tc>
          <w:tcPr>
            <w:tcW w:w="710" w:type="dxa"/>
          </w:tcPr>
          <w:p w14:paraId="7A0DF81F">
            <w:pPr>
              <w:rPr>
                <w:b/>
                <w:bCs/>
                <w:sz w:val="28"/>
              </w:rPr>
            </w:pPr>
          </w:p>
        </w:tc>
        <w:tc>
          <w:tcPr>
            <w:tcW w:w="807" w:type="dxa"/>
          </w:tcPr>
          <w:p w14:paraId="04F4A664">
            <w:pPr>
              <w:rPr>
                <w:b/>
                <w:bCs/>
                <w:sz w:val="28"/>
              </w:rPr>
            </w:pPr>
          </w:p>
        </w:tc>
        <w:tc>
          <w:tcPr>
            <w:tcW w:w="911" w:type="dxa"/>
          </w:tcPr>
          <w:p w14:paraId="389FF7CF">
            <w:pPr>
              <w:rPr>
                <w:b/>
                <w:bCs/>
                <w:sz w:val="28"/>
              </w:rPr>
            </w:pPr>
          </w:p>
        </w:tc>
        <w:tc>
          <w:tcPr>
            <w:tcW w:w="807" w:type="dxa"/>
          </w:tcPr>
          <w:p w14:paraId="6BF2A3DA">
            <w:pPr>
              <w:rPr>
                <w:b/>
                <w:bCs/>
                <w:sz w:val="28"/>
              </w:rPr>
            </w:pPr>
          </w:p>
        </w:tc>
        <w:tc>
          <w:tcPr>
            <w:tcW w:w="734" w:type="dxa"/>
          </w:tcPr>
          <w:p w14:paraId="5684D25D">
            <w:pPr>
              <w:rPr>
                <w:b/>
                <w:bCs/>
                <w:sz w:val="28"/>
              </w:rPr>
            </w:pPr>
          </w:p>
        </w:tc>
      </w:tr>
      <w:tr w14:paraId="24417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188FF83B">
            <w:pPr>
              <w:rPr>
                <w:b/>
                <w:bCs/>
                <w:sz w:val="28"/>
              </w:rPr>
            </w:pPr>
          </w:p>
        </w:tc>
        <w:tc>
          <w:tcPr>
            <w:tcW w:w="2350" w:type="dxa"/>
            <w:gridSpan w:val="2"/>
          </w:tcPr>
          <w:p w14:paraId="6632B617">
            <w:pPr>
              <w:rPr>
                <w:b/>
                <w:bCs/>
                <w:sz w:val="28"/>
              </w:rPr>
            </w:pPr>
          </w:p>
        </w:tc>
        <w:tc>
          <w:tcPr>
            <w:tcW w:w="710" w:type="dxa"/>
          </w:tcPr>
          <w:p w14:paraId="42807536">
            <w:pPr>
              <w:rPr>
                <w:b/>
                <w:bCs/>
                <w:sz w:val="28"/>
              </w:rPr>
            </w:pPr>
          </w:p>
        </w:tc>
        <w:tc>
          <w:tcPr>
            <w:tcW w:w="848" w:type="dxa"/>
          </w:tcPr>
          <w:p w14:paraId="551D5ED3">
            <w:pPr>
              <w:rPr>
                <w:b/>
                <w:bCs/>
                <w:sz w:val="28"/>
              </w:rPr>
            </w:pPr>
          </w:p>
        </w:tc>
        <w:tc>
          <w:tcPr>
            <w:tcW w:w="710" w:type="dxa"/>
          </w:tcPr>
          <w:p w14:paraId="62CBA60F">
            <w:pPr>
              <w:rPr>
                <w:b/>
                <w:bCs/>
                <w:sz w:val="28"/>
              </w:rPr>
            </w:pPr>
          </w:p>
        </w:tc>
        <w:tc>
          <w:tcPr>
            <w:tcW w:w="807" w:type="dxa"/>
          </w:tcPr>
          <w:p w14:paraId="39AE6C62">
            <w:pPr>
              <w:rPr>
                <w:b/>
                <w:bCs/>
                <w:sz w:val="28"/>
              </w:rPr>
            </w:pPr>
          </w:p>
        </w:tc>
        <w:tc>
          <w:tcPr>
            <w:tcW w:w="911" w:type="dxa"/>
          </w:tcPr>
          <w:p w14:paraId="7380CAC2">
            <w:pPr>
              <w:rPr>
                <w:b/>
                <w:bCs/>
                <w:sz w:val="28"/>
              </w:rPr>
            </w:pPr>
          </w:p>
        </w:tc>
        <w:tc>
          <w:tcPr>
            <w:tcW w:w="807" w:type="dxa"/>
          </w:tcPr>
          <w:p w14:paraId="2EEF688B">
            <w:pPr>
              <w:rPr>
                <w:b/>
                <w:bCs/>
                <w:sz w:val="28"/>
              </w:rPr>
            </w:pPr>
          </w:p>
        </w:tc>
        <w:tc>
          <w:tcPr>
            <w:tcW w:w="734" w:type="dxa"/>
          </w:tcPr>
          <w:p w14:paraId="318A5DE9">
            <w:pPr>
              <w:rPr>
                <w:b/>
                <w:bCs/>
                <w:sz w:val="28"/>
              </w:rPr>
            </w:pPr>
          </w:p>
        </w:tc>
      </w:tr>
      <w:tr w14:paraId="2E48F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7F681C0A">
            <w:pPr>
              <w:rPr>
                <w:b/>
                <w:bCs/>
                <w:sz w:val="28"/>
              </w:rPr>
            </w:pPr>
          </w:p>
        </w:tc>
        <w:tc>
          <w:tcPr>
            <w:tcW w:w="2350" w:type="dxa"/>
            <w:gridSpan w:val="2"/>
          </w:tcPr>
          <w:p w14:paraId="5808992D">
            <w:pPr>
              <w:rPr>
                <w:b/>
                <w:bCs/>
                <w:sz w:val="28"/>
              </w:rPr>
            </w:pPr>
          </w:p>
        </w:tc>
        <w:tc>
          <w:tcPr>
            <w:tcW w:w="710" w:type="dxa"/>
          </w:tcPr>
          <w:p w14:paraId="5CE942C4">
            <w:pPr>
              <w:rPr>
                <w:b/>
                <w:bCs/>
                <w:sz w:val="28"/>
              </w:rPr>
            </w:pPr>
          </w:p>
        </w:tc>
        <w:tc>
          <w:tcPr>
            <w:tcW w:w="848" w:type="dxa"/>
          </w:tcPr>
          <w:p w14:paraId="7BB336DC">
            <w:pPr>
              <w:rPr>
                <w:b/>
                <w:bCs/>
                <w:sz w:val="28"/>
              </w:rPr>
            </w:pPr>
          </w:p>
        </w:tc>
        <w:tc>
          <w:tcPr>
            <w:tcW w:w="710" w:type="dxa"/>
          </w:tcPr>
          <w:p w14:paraId="254C9813">
            <w:pPr>
              <w:rPr>
                <w:b/>
                <w:bCs/>
                <w:sz w:val="28"/>
              </w:rPr>
            </w:pPr>
          </w:p>
        </w:tc>
        <w:tc>
          <w:tcPr>
            <w:tcW w:w="807" w:type="dxa"/>
          </w:tcPr>
          <w:p w14:paraId="0672D803">
            <w:pPr>
              <w:rPr>
                <w:b/>
                <w:bCs/>
                <w:sz w:val="28"/>
              </w:rPr>
            </w:pPr>
          </w:p>
        </w:tc>
        <w:tc>
          <w:tcPr>
            <w:tcW w:w="911" w:type="dxa"/>
          </w:tcPr>
          <w:p w14:paraId="7ED5AD06">
            <w:pPr>
              <w:rPr>
                <w:b/>
                <w:bCs/>
                <w:sz w:val="28"/>
              </w:rPr>
            </w:pPr>
          </w:p>
        </w:tc>
        <w:tc>
          <w:tcPr>
            <w:tcW w:w="807" w:type="dxa"/>
          </w:tcPr>
          <w:p w14:paraId="665BB963">
            <w:pPr>
              <w:rPr>
                <w:b/>
                <w:bCs/>
                <w:sz w:val="28"/>
              </w:rPr>
            </w:pPr>
          </w:p>
        </w:tc>
        <w:tc>
          <w:tcPr>
            <w:tcW w:w="734" w:type="dxa"/>
          </w:tcPr>
          <w:p w14:paraId="67E3EEB1">
            <w:pPr>
              <w:rPr>
                <w:b/>
                <w:bCs/>
                <w:sz w:val="28"/>
              </w:rPr>
            </w:pPr>
          </w:p>
        </w:tc>
      </w:tr>
      <w:tr w14:paraId="3C943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453" w:type="dxa"/>
          </w:tcPr>
          <w:p w14:paraId="3FAFE22F">
            <w:pPr>
              <w:rPr>
                <w:b/>
                <w:bCs/>
                <w:sz w:val="28"/>
              </w:rPr>
            </w:pPr>
          </w:p>
        </w:tc>
        <w:tc>
          <w:tcPr>
            <w:tcW w:w="2350" w:type="dxa"/>
            <w:gridSpan w:val="2"/>
          </w:tcPr>
          <w:p w14:paraId="5984FE63">
            <w:pPr>
              <w:rPr>
                <w:b/>
                <w:bCs/>
                <w:sz w:val="28"/>
              </w:rPr>
            </w:pPr>
          </w:p>
        </w:tc>
        <w:tc>
          <w:tcPr>
            <w:tcW w:w="710" w:type="dxa"/>
          </w:tcPr>
          <w:p w14:paraId="5E200995">
            <w:pPr>
              <w:rPr>
                <w:b/>
                <w:bCs/>
                <w:sz w:val="28"/>
              </w:rPr>
            </w:pPr>
          </w:p>
        </w:tc>
        <w:tc>
          <w:tcPr>
            <w:tcW w:w="848" w:type="dxa"/>
          </w:tcPr>
          <w:p w14:paraId="0E1C8F5E">
            <w:pPr>
              <w:rPr>
                <w:b/>
                <w:bCs/>
                <w:sz w:val="28"/>
              </w:rPr>
            </w:pPr>
          </w:p>
        </w:tc>
        <w:tc>
          <w:tcPr>
            <w:tcW w:w="710" w:type="dxa"/>
          </w:tcPr>
          <w:p w14:paraId="78B4D4BF">
            <w:pPr>
              <w:rPr>
                <w:b/>
                <w:bCs/>
                <w:sz w:val="28"/>
              </w:rPr>
            </w:pPr>
          </w:p>
        </w:tc>
        <w:tc>
          <w:tcPr>
            <w:tcW w:w="807" w:type="dxa"/>
          </w:tcPr>
          <w:p w14:paraId="4C52AE27">
            <w:pPr>
              <w:rPr>
                <w:b/>
                <w:bCs/>
                <w:sz w:val="28"/>
              </w:rPr>
            </w:pPr>
          </w:p>
        </w:tc>
        <w:tc>
          <w:tcPr>
            <w:tcW w:w="911" w:type="dxa"/>
          </w:tcPr>
          <w:p w14:paraId="1AEFF74C">
            <w:pPr>
              <w:rPr>
                <w:b/>
                <w:bCs/>
                <w:sz w:val="28"/>
              </w:rPr>
            </w:pPr>
          </w:p>
        </w:tc>
        <w:tc>
          <w:tcPr>
            <w:tcW w:w="807" w:type="dxa"/>
          </w:tcPr>
          <w:p w14:paraId="02EECC05">
            <w:pPr>
              <w:rPr>
                <w:b/>
                <w:bCs/>
                <w:sz w:val="28"/>
              </w:rPr>
            </w:pPr>
          </w:p>
        </w:tc>
        <w:tc>
          <w:tcPr>
            <w:tcW w:w="734" w:type="dxa"/>
          </w:tcPr>
          <w:p w14:paraId="1E159224">
            <w:pPr>
              <w:rPr>
                <w:b/>
                <w:bCs/>
                <w:sz w:val="28"/>
              </w:rPr>
            </w:pPr>
          </w:p>
        </w:tc>
      </w:tr>
      <w:tr w14:paraId="66E63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1DF53C9C">
            <w:pPr>
              <w:spacing w:line="480" w:lineRule="auto"/>
              <w:rPr>
                <w:rFonts w:hint="eastAsia" w:hAnsi="宋体"/>
              </w:rPr>
            </w:pPr>
          </w:p>
        </w:tc>
        <w:tc>
          <w:tcPr>
            <w:tcW w:w="2350" w:type="dxa"/>
            <w:gridSpan w:val="2"/>
          </w:tcPr>
          <w:p w14:paraId="64230011">
            <w:pPr>
              <w:spacing w:line="480" w:lineRule="auto"/>
              <w:rPr>
                <w:rFonts w:hint="eastAsia" w:hAnsi="宋体"/>
              </w:rPr>
            </w:pPr>
          </w:p>
        </w:tc>
        <w:tc>
          <w:tcPr>
            <w:tcW w:w="710" w:type="dxa"/>
          </w:tcPr>
          <w:p w14:paraId="2DC66C63">
            <w:pPr>
              <w:spacing w:line="480" w:lineRule="auto"/>
              <w:rPr>
                <w:rFonts w:hint="eastAsia" w:hAnsi="宋体"/>
              </w:rPr>
            </w:pPr>
          </w:p>
        </w:tc>
        <w:tc>
          <w:tcPr>
            <w:tcW w:w="848" w:type="dxa"/>
          </w:tcPr>
          <w:p w14:paraId="3038CE22">
            <w:pPr>
              <w:spacing w:line="480" w:lineRule="auto"/>
              <w:rPr>
                <w:rFonts w:hint="eastAsia" w:hAnsi="宋体"/>
              </w:rPr>
            </w:pPr>
          </w:p>
        </w:tc>
        <w:tc>
          <w:tcPr>
            <w:tcW w:w="710" w:type="dxa"/>
          </w:tcPr>
          <w:p w14:paraId="0E48C2B9">
            <w:pPr>
              <w:spacing w:line="480" w:lineRule="auto"/>
              <w:rPr>
                <w:rFonts w:hint="eastAsia" w:hAnsi="宋体"/>
              </w:rPr>
            </w:pPr>
          </w:p>
        </w:tc>
        <w:tc>
          <w:tcPr>
            <w:tcW w:w="807" w:type="dxa"/>
          </w:tcPr>
          <w:p w14:paraId="1862FAEB">
            <w:pPr>
              <w:spacing w:line="480" w:lineRule="auto"/>
              <w:rPr>
                <w:rFonts w:hint="eastAsia" w:hAnsi="宋体"/>
              </w:rPr>
            </w:pPr>
          </w:p>
        </w:tc>
        <w:tc>
          <w:tcPr>
            <w:tcW w:w="911" w:type="dxa"/>
          </w:tcPr>
          <w:p w14:paraId="2840B654">
            <w:pPr>
              <w:spacing w:line="480" w:lineRule="auto"/>
              <w:rPr>
                <w:rFonts w:hint="eastAsia" w:hAnsi="宋体"/>
              </w:rPr>
            </w:pPr>
          </w:p>
        </w:tc>
        <w:tc>
          <w:tcPr>
            <w:tcW w:w="807" w:type="dxa"/>
          </w:tcPr>
          <w:p w14:paraId="559F8DC1">
            <w:pPr>
              <w:spacing w:line="480" w:lineRule="auto"/>
              <w:rPr>
                <w:rFonts w:hint="eastAsia" w:hAnsi="宋体"/>
              </w:rPr>
            </w:pPr>
          </w:p>
        </w:tc>
        <w:tc>
          <w:tcPr>
            <w:tcW w:w="734" w:type="dxa"/>
          </w:tcPr>
          <w:p w14:paraId="650E0BC3">
            <w:pPr>
              <w:spacing w:line="480" w:lineRule="auto"/>
              <w:rPr>
                <w:rFonts w:hint="eastAsia" w:hAnsi="宋体"/>
              </w:rPr>
            </w:pPr>
          </w:p>
        </w:tc>
      </w:tr>
      <w:tr w14:paraId="4A259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282099C2">
            <w:pPr>
              <w:spacing w:line="480" w:lineRule="auto"/>
              <w:rPr>
                <w:rFonts w:hint="eastAsia" w:hAnsi="宋体"/>
              </w:rPr>
            </w:pPr>
          </w:p>
        </w:tc>
        <w:tc>
          <w:tcPr>
            <w:tcW w:w="2350" w:type="dxa"/>
            <w:gridSpan w:val="2"/>
          </w:tcPr>
          <w:p w14:paraId="05B7690B">
            <w:pPr>
              <w:spacing w:line="480" w:lineRule="auto"/>
              <w:rPr>
                <w:rFonts w:hint="eastAsia" w:hAnsi="宋体"/>
              </w:rPr>
            </w:pPr>
          </w:p>
        </w:tc>
        <w:tc>
          <w:tcPr>
            <w:tcW w:w="710" w:type="dxa"/>
          </w:tcPr>
          <w:p w14:paraId="68457BFF">
            <w:pPr>
              <w:spacing w:line="480" w:lineRule="auto"/>
              <w:rPr>
                <w:rFonts w:hint="eastAsia" w:hAnsi="宋体"/>
              </w:rPr>
            </w:pPr>
          </w:p>
        </w:tc>
        <w:tc>
          <w:tcPr>
            <w:tcW w:w="848" w:type="dxa"/>
          </w:tcPr>
          <w:p w14:paraId="4CB2DDE5">
            <w:pPr>
              <w:spacing w:line="480" w:lineRule="auto"/>
              <w:rPr>
                <w:rFonts w:hint="eastAsia" w:hAnsi="宋体"/>
              </w:rPr>
            </w:pPr>
          </w:p>
        </w:tc>
        <w:tc>
          <w:tcPr>
            <w:tcW w:w="710" w:type="dxa"/>
          </w:tcPr>
          <w:p w14:paraId="04F7887D">
            <w:pPr>
              <w:spacing w:line="480" w:lineRule="auto"/>
              <w:rPr>
                <w:rFonts w:hint="eastAsia" w:hAnsi="宋体"/>
              </w:rPr>
            </w:pPr>
          </w:p>
        </w:tc>
        <w:tc>
          <w:tcPr>
            <w:tcW w:w="807" w:type="dxa"/>
          </w:tcPr>
          <w:p w14:paraId="273BE546">
            <w:pPr>
              <w:spacing w:line="480" w:lineRule="auto"/>
              <w:rPr>
                <w:rFonts w:hint="eastAsia" w:hAnsi="宋体"/>
              </w:rPr>
            </w:pPr>
          </w:p>
        </w:tc>
        <w:tc>
          <w:tcPr>
            <w:tcW w:w="911" w:type="dxa"/>
          </w:tcPr>
          <w:p w14:paraId="3FD77B4E">
            <w:pPr>
              <w:spacing w:line="480" w:lineRule="auto"/>
              <w:rPr>
                <w:rFonts w:hint="eastAsia" w:hAnsi="宋体"/>
              </w:rPr>
            </w:pPr>
          </w:p>
        </w:tc>
        <w:tc>
          <w:tcPr>
            <w:tcW w:w="807" w:type="dxa"/>
          </w:tcPr>
          <w:p w14:paraId="48A2471D">
            <w:pPr>
              <w:spacing w:line="480" w:lineRule="auto"/>
              <w:rPr>
                <w:rFonts w:hint="eastAsia" w:hAnsi="宋体"/>
              </w:rPr>
            </w:pPr>
          </w:p>
        </w:tc>
        <w:tc>
          <w:tcPr>
            <w:tcW w:w="734" w:type="dxa"/>
          </w:tcPr>
          <w:p w14:paraId="148EECF8">
            <w:pPr>
              <w:spacing w:line="480" w:lineRule="auto"/>
              <w:rPr>
                <w:rFonts w:hint="eastAsia" w:hAnsi="宋体"/>
              </w:rPr>
            </w:pPr>
          </w:p>
        </w:tc>
      </w:tr>
      <w:tr w14:paraId="20524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1F8CC732">
            <w:pPr>
              <w:spacing w:line="480" w:lineRule="auto"/>
              <w:rPr>
                <w:rFonts w:hint="eastAsia" w:hAnsi="宋体"/>
              </w:rPr>
            </w:pPr>
          </w:p>
        </w:tc>
        <w:tc>
          <w:tcPr>
            <w:tcW w:w="2350" w:type="dxa"/>
            <w:gridSpan w:val="2"/>
          </w:tcPr>
          <w:p w14:paraId="76C29211">
            <w:pPr>
              <w:spacing w:line="480" w:lineRule="auto"/>
              <w:rPr>
                <w:rFonts w:hint="eastAsia" w:hAnsi="宋体"/>
              </w:rPr>
            </w:pPr>
          </w:p>
        </w:tc>
        <w:tc>
          <w:tcPr>
            <w:tcW w:w="710" w:type="dxa"/>
          </w:tcPr>
          <w:p w14:paraId="216A8C44">
            <w:pPr>
              <w:spacing w:line="480" w:lineRule="auto"/>
              <w:rPr>
                <w:rFonts w:hint="eastAsia" w:hAnsi="宋体"/>
              </w:rPr>
            </w:pPr>
          </w:p>
        </w:tc>
        <w:tc>
          <w:tcPr>
            <w:tcW w:w="848" w:type="dxa"/>
          </w:tcPr>
          <w:p w14:paraId="0F93CA5F">
            <w:pPr>
              <w:spacing w:line="480" w:lineRule="auto"/>
              <w:rPr>
                <w:rFonts w:hint="eastAsia" w:hAnsi="宋体"/>
              </w:rPr>
            </w:pPr>
          </w:p>
        </w:tc>
        <w:tc>
          <w:tcPr>
            <w:tcW w:w="710" w:type="dxa"/>
          </w:tcPr>
          <w:p w14:paraId="33C764CC">
            <w:pPr>
              <w:spacing w:line="480" w:lineRule="auto"/>
              <w:rPr>
                <w:rFonts w:hint="eastAsia" w:hAnsi="宋体"/>
              </w:rPr>
            </w:pPr>
          </w:p>
        </w:tc>
        <w:tc>
          <w:tcPr>
            <w:tcW w:w="807" w:type="dxa"/>
          </w:tcPr>
          <w:p w14:paraId="0372A820">
            <w:pPr>
              <w:spacing w:line="480" w:lineRule="auto"/>
              <w:rPr>
                <w:rFonts w:hint="eastAsia" w:hAnsi="宋体"/>
              </w:rPr>
            </w:pPr>
          </w:p>
        </w:tc>
        <w:tc>
          <w:tcPr>
            <w:tcW w:w="911" w:type="dxa"/>
          </w:tcPr>
          <w:p w14:paraId="60A88813">
            <w:pPr>
              <w:spacing w:line="480" w:lineRule="auto"/>
              <w:rPr>
                <w:rFonts w:hint="eastAsia" w:hAnsi="宋体"/>
              </w:rPr>
            </w:pPr>
          </w:p>
        </w:tc>
        <w:tc>
          <w:tcPr>
            <w:tcW w:w="807" w:type="dxa"/>
          </w:tcPr>
          <w:p w14:paraId="3C792070">
            <w:pPr>
              <w:spacing w:line="480" w:lineRule="auto"/>
              <w:rPr>
                <w:rFonts w:hint="eastAsia" w:hAnsi="宋体"/>
              </w:rPr>
            </w:pPr>
          </w:p>
        </w:tc>
        <w:tc>
          <w:tcPr>
            <w:tcW w:w="734" w:type="dxa"/>
          </w:tcPr>
          <w:p w14:paraId="0DDE32DF">
            <w:pPr>
              <w:spacing w:line="480" w:lineRule="auto"/>
              <w:rPr>
                <w:rFonts w:hint="eastAsia" w:hAnsi="宋体"/>
              </w:rPr>
            </w:pPr>
          </w:p>
        </w:tc>
      </w:tr>
      <w:tr w14:paraId="565C6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0EB100BA">
            <w:pPr>
              <w:spacing w:line="480" w:lineRule="auto"/>
              <w:rPr>
                <w:rFonts w:hint="eastAsia" w:hAnsi="宋体"/>
              </w:rPr>
            </w:pPr>
          </w:p>
        </w:tc>
        <w:tc>
          <w:tcPr>
            <w:tcW w:w="2350" w:type="dxa"/>
            <w:gridSpan w:val="2"/>
          </w:tcPr>
          <w:p w14:paraId="377585DC">
            <w:pPr>
              <w:spacing w:line="480" w:lineRule="auto"/>
              <w:rPr>
                <w:rFonts w:hint="eastAsia" w:hAnsi="宋体"/>
              </w:rPr>
            </w:pPr>
          </w:p>
        </w:tc>
        <w:tc>
          <w:tcPr>
            <w:tcW w:w="710" w:type="dxa"/>
          </w:tcPr>
          <w:p w14:paraId="329D1BCB">
            <w:pPr>
              <w:spacing w:line="480" w:lineRule="auto"/>
              <w:rPr>
                <w:rFonts w:hint="eastAsia" w:hAnsi="宋体"/>
              </w:rPr>
            </w:pPr>
          </w:p>
        </w:tc>
        <w:tc>
          <w:tcPr>
            <w:tcW w:w="848" w:type="dxa"/>
          </w:tcPr>
          <w:p w14:paraId="5040108A">
            <w:pPr>
              <w:spacing w:line="480" w:lineRule="auto"/>
              <w:rPr>
                <w:rFonts w:hint="eastAsia" w:hAnsi="宋体"/>
              </w:rPr>
            </w:pPr>
          </w:p>
        </w:tc>
        <w:tc>
          <w:tcPr>
            <w:tcW w:w="710" w:type="dxa"/>
          </w:tcPr>
          <w:p w14:paraId="44C75726">
            <w:pPr>
              <w:spacing w:line="480" w:lineRule="auto"/>
              <w:rPr>
                <w:rFonts w:hint="eastAsia" w:hAnsi="宋体"/>
              </w:rPr>
            </w:pPr>
          </w:p>
        </w:tc>
        <w:tc>
          <w:tcPr>
            <w:tcW w:w="807" w:type="dxa"/>
          </w:tcPr>
          <w:p w14:paraId="2E671E8E">
            <w:pPr>
              <w:spacing w:line="480" w:lineRule="auto"/>
              <w:rPr>
                <w:rFonts w:hint="eastAsia" w:hAnsi="宋体"/>
              </w:rPr>
            </w:pPr>
          </w:p>
        </w:tc>
        <w:tc>
          <w:tcPr>
            <w:tcW w:w="911" w:type="dxa"/>
          </w:tcPr>
          <w:p w14:paraId="450BE795">
            <w:pPr>
              <w:spacing w:line="480" w:lineRule="auto"/>
              <w:rPr>
                <w:rFonts w:hint="eastAsia" w:hAnsi="宋体"/>
              </w:rPr>
            </w:pPr>
          </w:p>
        </w:tc>
        <w:tc>
          <w:tcPr>
            <w:tcW w:w="807" w:type="dxa"/>
          </w:tcPr>
          <w:p w14:paraId="74C0093B">
            <w:pPr>
              <w:spacing w:line="480" w:lineRule="auto"/>
              <w:rPr>
                <w:rFonts w:hint="eastAsia" w:hAnsi="宋体"/>
              </w:rPr>
            </w:pPr>
          </w:p>
        </w:tc>
        <w:tc>
          <w:tcPr>
            <w:tcW w:w="734" w:type="dxa"/>
          </w:tcPr>
          <w:p w14:paraId="062F0EEE">
            <w:pPr>
              <w:spacing w:line="480" w:lineRule="auto"/>
              <w:rPr>
                <w:rFonts w:hint="eastAsia" w:hAnsi="宋体"/>
              </w:rPr>
            </w:pPr>
          </w:p>
        </w:tc>
      </w:tr>
      <w:tr w14:paraId="6A92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313DADDD">
            <w:pPr>
              <w:spacing w:line="480" w:lineRule="auto"/>
              <w:rPr>
                <w:rFonts w:hint="eastAsia" w:hAnsi="宋体"/>
              </w:rPr>
            </w:pPr>
          </w:p>
        </w:tc>
        <w:tc>
          <w:tcPr>
            <w:tcW w:w="2350" w:type="dxa"/>
            <w:gridSpan w:val="2"/>
          </w:tcPr>
          <w:p w14:paraId="2643CDAE">
            <w:pPr>
              <w:spacing w:line="480" w:lineRule="auto"/>
              <w:rPr>
                <w:rFonts w:hint="eastAsia" w:hAnsi="宋体"/>
              </w:rPr>
            </w:pPr>
          </w:p>
        </w:tc>
        <w:tc>
          <w:tcPr>
            <w:tcW w:w="710" w:type="dxa"/>
          </w:tcPr>
          <w:p w14:paraId="12365040">
            <w:pPr>
              <w:spacing w:line="480" w:lineRule="auto"/>
              <w:rPr>
                <w:rFonts w:hint="eastAsia" w:hAnsi="宋体"/>
              </w:rPr>
            </w:pPr>
          </w:p>
        </w:tc>
        <w:tc>
          <w:tcPr>
            <w:tcW w:w="848" w:type="dxa"/>
          </w:tcPr>
          <w:p w14:paraId="48B15807">
            <w:pPr>
              <w:spacing w:line="480" w:lineRule="auto"/>
              <w:rPr>
                <w:rFonts w:hint="eastAsia" w:hAnsi="宋体"/>
              </w:rPr>
            </w:pPr>
          </w:p>
        </w:tc>
        <w:tc>
          <w:tcPr>
            <w:tcW w:w="710" w:type="dxa"/>
          </w:tcPr>
          <w:p w14:paraId="568AE7E6">
            <w:pPr>
              <w:spacing w:line="480" w:lineRule="auto"/>
              <w:rPr>
                <w:rFonts w:hint="eastAsia" w:hAnsi="宋体"/>
              </w:rPr>
            </w:pPr>
          </w:p>
        </w:tc>
        <w:tc>
          <w:tcPr>
            <w:tcW w:w="807" w:type="dxa"/>
          </w:tcPr>
          <w:p w14:paraId="29EF36DA">
            <w:pPr>
              <w:spacing w:line="480" w:lineRule="auto"/>
              <w:rPr>
                <w:rFonts w:hint="eastAsia" w:hAnsi="宋体"/>
              </w:rPr>
            </w:pPr>
          </w:p>
        </w:tc>
        <w:tc>
          <w:tcPr>
            <w:tcW w:w="911" w:type="dxa"/>
          </w:tcPr>
          <w:p w14:paraId="591809EF">
            <w:pPr>
              <w:spacing w:line="480" w:lineRule="auto"/>
              <w:rPr>
                <w:rFonts w:hint="eastAsia" w:hAnsi="宋体"/>
              </w:rPr>
            </w:pPr>
          </w:p>
        </w:tc>
        <w:tc>
          <w:tcPr>
            <w:tcW w:w="807" w:type="dxa"/>
          </w:tcPr>
          <w:p w14:paraId="0A41ED45">
            <w:pPr>
              <w:spacing w:line="480" w:lineRule="auto"/>
              <w:rPr>
                <w:rFonts w:hint="eastAsia" w:hAnsi="宋体"/>
              </w:rPr>
            </w:pPr>
          </w:p>
        </w:tc>
        <w:tc>
          <w:tcPr>
            <w:tcW w:w="734" w:type="dxa"/>
          </w:tcPr>
          <w:p w14:paraId="1E382292">
            <w:pPr>
              <w:spacing w:line="480" w:lineRule="auto"/>
              <w:rPr>
                <w:rFonts w:hint="eastAsia" w:hAnsi="宋体"/>
              </w:rPr>
            </w:pPr>
          </w:p>
        </w:tc>
      </w:tr>
      <w:tr w14:paraId="5D91B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453" w:type="dxa"/>
          </w:tcPr>
          <w:p w14:paraId="2447B36F">
            <w:pPr>
              <w:spacing w:line="480" w:lineRule="auto"/>
              <w:rPr>
                <w:rFonts w:hint="eastAsia" w:hAnsi="宋体"/>
              </w:rPr>
            </w:pPr>
          </w:p>
        </w:tc>
        <w:tc>
          <w:tcPr>
            <w:tcW w:w="2350" w:type="dxa"/>
            <w:gridSpan w:val="2"/>
          </w:tcPr>
          <w:p w14:paraId="6DBB72AD">
            <w:pPr>
              <w:spacing w:line="480" w:lineRule="auto"/>
              <w:rPr>
                <w:rFonts w:hint="eastAsia" w:hAnsi="宋体"/>
              </w:rPr>
            </w:pPr>
          </w:p>
        </w:tc>
        <w:tc>
          <w:tcPr>
            <w:tcW w:w="710" w:type="dxa"/>
          </w:tcPr>
          <w:p w14:paraId="4B2B5062">
            <w:pPr>
              <w:spacing w:line="480" w:lineRule="auto"/>
              <w:rPr>
                <w:rFonts w:hint="eastAsia" w:hAnsi="宋体"/>
              </w:rPr>
            </w:pPr>
          </w:p>
        </w:tc>
        <w:tc>
          <w:tcPr>
            <w:tcW w:w="848" w:type="dxa"/>
          </w:tcPr>
          <w:p w14:paraId="57B78B0E">
            <w:pPr>
              <w:spacing w:line="480" w:lineRule="auto"/>
              <w:rPr>
                <w:rFonts w:hint="eastAsia" w:hAnsi="宋体"/>
              </w:rPr>
            </w:pPr>
          </w:p>
        </w:tc>
        <w:tc>
          <w:tcPr>
            <w:tcW w:w="710" w:type="dxa"/>
          </w:tcPr>
          <w:p w14:paraId="375E6E8E">
            <w:pPr>
              <w:spacing w:line="480" w:lineRule="auto"/>
              <w:rPr>
                <w:rFonts w:hint="eastAsia" w:hAnsi="宋体"/>
              </w:rPr>
            </w:pPr>
          </w:p>
        </w:tc>
        <w:tc>
          <w:tcPr>
            <w:tcW w:w="807" w:type="dxa"/>
          </w:tcPr>
          <w:p w14:paraId="3CC40897">
            <w:pPr>
              <w:spacing w:line="480" w:lineRule="auto"/>
              <w:rPr>
                <w:rFonts w:hint="eastAsia" w:hAnsi="宋体"/>
              </w:rPr>
            </w:pPr>
          </w:p>
        </w:tc>
        <w:tc>
          <w:tcPr>
            <w:tcW w:w="911" w:type="dxa"/>
          </w:tcPr>
          <w:p w14:paraId="478A5BE0">
            <w:pPr>
              <w:spacing w:line="480" w:lineRule="auto"/>
              <w:rPr>
                <w:rFonts w:hint="eastAsia" w:hAnsi="宋体"/>
              </w:rPr>
            </w:pPr>
          </w:p>
        </w:tc>
        <w:tc>
          <w:tcPr>
            <w:tcW w:w="807" w:type="dxa"/>
          </w:tcPr>
          <w:p w14:paraId="21F3841B">
            <w:pPr>
              <w:spacing w:line="480" w:lineRule="auto"/>
              <w:rPr>
                <w:rFonts w:hint="eastAsia" w:hAnsi="宋体"/>
              </w:rPr>
            </w:pPr>
          </w:p>
        </w:tc>
        <w:tc>
          <w:tcPr>
            <w:tcW w:w="734" w:type="dxa"/>
          </w:tcPr>
          <w:p w14:paraId="161FD096">
            <w:pPr>
              <w:spacing w:line="480" w:lineRule="auto"/>
              <w:rPr>
                <w:rFonts w:hint="eastAsia" w:hAnsi="宋体"/>
              </w:rPr>
            </w:pPr>
          </w:p>
        </w:tc>
      </w:tr>
      <w:tr w14:paraId="5D013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3A17F171">
            <w:pPr>
              <w:spacing w:line="480" w:lineRule="auto"/>
              <w:rPr>
                <w:rFonts w:hint="eastAsia" w:hAnsi="宋体"/>
              </w:rPr>
            </w:pPr>
          </w:p>
        </w:tc>
        <w:tc>
          <w:tcPr>
            <w:tcW w:w="2350" w:type="dxa"/>
            <w:gridSpan w:val="2"/>
          </w:tcPr>
          <w:p w14:paraId="4396434F">
            <w:pPr>
              <w:spacing w:line="480" w:lineRule="auto"/>
              <w:rPr>
                <w:rFonts w:hint="eastAsia" w:hAnsi="宋体"/>
              </w:rPr>
            </w:pPr>
          </w:p>
        </w:tc>
        <w:tc>
          <w:tcPr>
            <w:tcW w:w="710" w:type="dxa"/>
          </w:tcPr>
          <w:p w14:paraId="76A0FD92">
            <w:pPr>
              <w:spacing w:line="480" w:lineRule="auto"/>
              <w:rPr>
                <w:rFonts w:hint="eastAsia" w:hAnsi="宋体"/>
              </w:rPr>
            </w:pPr>
          </w:p>
        </w:tc>
        <w:tc>
          <w:tcPr>
            <w:tcW w:w="848" w:type="dxa"/>
          </w:tcPr>
          <w:p w14:paraId="192CBC02">
            <w:pPr>
              <w:spacing w:line="480" w:lineRule="auto"/>
              <w:rPr>
                <w:rFonts w:hint="eastAsia" w:hAnsi="宋体"/>
              </w:rPr>
            </w:pPr>
          </w:p>
        </w:tc>
        <w:tc>
          <w:tcPr>
            <w:tcW w:w="710" w:type="dxa"/>
          </w:tcPr>
          <w:p w14:paraId="643556D7">
            <w:pPr>
              <w:spacing w:line="480" w:lineRule="auto"/>
              <w:rPr>
                <w:rFonts w:hint="eastAsia" w:hAnsi="宋体"/>
              </w:rPr>
            </w:pPr>
          </w:p>
        </w:tc>
        <w:tc>
          <w:tcPr>
            <w:tcW w:w="807" w:type="dxa"/>
          </w:tcPr>
          <w:p w14:paraId="6D516632">
            <w:pPr>
              <w:spacing w:line="480" w:lineRule="auto"/>
              <w:rPr>
                <w:rFonts w:hint="eastAsia" w:hAnsi="宋体"/>
              </w:rPr>
            </w:pPr>
          </w:p>
        </w:tc>
        <w:tc>
          <w:tcPr>
            <w:tcW w:w="911" w:type="dxa"/>
          </w:tcPr>
          <w:p w14:paraId="66CA822D">
            <w:pPr>
              <w:spacing w:line="480" w:lineRule="auto"/>
              <w:rPr>
                <w:rFonts w:hint="eastAsia" w:hAnsi="宋体"/>
              </w:rPr>
            </w:pPr>
          </w:p>
        </w:tc>
        <w:tc>
          <w:tcPr>
            <w:tcW w:w="807" w:type="dxa"/>
          </w:tcPr>
          <w:p w14:paraId="01F0D57D">
            <w:pPr>
              <w:spacing w:line="480" w:lineRule="auto"/>
              <w:rPr>
                <w:rFonts w:hint="eastAsia" w:hAnsi="宋体"/>
              </w:rPr>
            </w:pPr>
          </w:p>
        </w:tc>
        <w:tc>
          <w:tcPr>
            <w:tcW w:w="734" w:type="dxa"/>
          </w:tcPr>
          <w:p w14:paraId="0F3AC76C">
            <w:pPr>
              <w:spacing w:line="480" w:lineRule="auto"/>
              <w:rPr>
                <w:rFonts w:hint="eastAsia" w:hAnsi="宋体"/>
              </w:rPr>
            </w:pPr>
          </w:p>
        </w:tc>
      </w:tr>
      <w:tr w14:paraId="6AA23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12C4B677">
            <w:pPr>
              <w:spacing w:line="480" w:lineRule="auto"/>
              <w:rPr>
                <w:rFonts w:hint="eastAsia" w:hAnsi="宋体"/>
              </w:rPr>
            </w:pPr>
          </w:p>
        </w:tc>
        <w:tc>
          <w:tcPr>
            <w:tcW w:w="2350" w:type="dxa"/>
            <w:gridSpan w:val="2"/>
          </w:tcPr>
          <w:p w14:paraId="1F98B46C">
            <w:pPr>
              <w:spacing w:line="480" w:lineRule="auto"/>
              <w:rPr>
                <w:rFonts w:hint="eastAsia" w:hAnsi="宋体"/>
              </w:rPr>
            </w:pPr>
          </w:p>
        </w:tc>
        <w:tc>
          <w:tcPr>
            <w:tcW w:w="710" w:type="dxa"/>
          </w:tcPr>
          <w:p w14:paraId="404E47C2">
            <w:pPr>
              <w:spacing w:line="480" w:lineRule="auto"/>
              <w:rPr>
                <w:rFonts w:hint="eastAsia" w:hAnsi="宋体"/>
              </w:rPr>
            </w:pPr>
          </w:p>
        </w:tc>
        <w:tc>
          <w:tcPr>
            <w:tcW w:w="848" w:type="dxa"/>
          </w:tcPr>
          <w:p w14:paraId="1623C3FB">
            <w:pPr>
              <w:spacing w:line="480" w:lineRule="auto"/>
              <w:rPr>
                <w:rFonts w:hint="eastAsia" w:hAnsi="宋体"/>
              </w:rPr>
            </w:pPr>
          </w:p>
        </w:tc>
        <w:tc>
          <w:tcPr>
            <w:tcW w:w="710" w:type="dxa"/>
          </w:tcPr>
          <w:p w14:paraId="75223A3D">
            <w:pPr>
              <w:spacing w:line="480" w:lineRule="auto"/>
              <w:rPr>
                <w:rFonts w:hint="eastAsia" w:hAnsi="宋体"/>
              </w:rPr>
            </w:pPr>
          </w:p>
        </w:tc>
        <w:tc>
          <w:tcPr>
            <w:tcW w:w="807" w:type="dxa"/>
          </w:tcPr>
          <w:p w14:paraId="3D212FFE">
            <w:pPr>
              <w:spacing w:line="480" w:lineRule="auto"/>
              <w:rPr>
                <w:rFonts w:hint="eastAsia" w:hAnsi="宋体"/>
              </w:rPr>
            </w:pPr>
          </w:p>
        </w:tc>
        <w:tc>
          <w:tcPr>
            <w:tcW w:w="911" w:type="dxa"/>
          </w:tcPr>
          <w:p w14:paraId="3D3B0A9A">
            <w:pPr>
              <w:spacing w:line="480" w:lineRule="auto"/>
              <w:rPr>
                <w:rFonts w:hint="eastAsia" w:hAnsi="宋体"/>
              </w:rPr>
            </w:pPr>
          </w:p>
        </w:tc>
        <w:tc>
          <w:tcPr>
            <w:tcW w:w="807" w:type="dxa"/>
          </w:tcPr>
          <w:p w14:paraId="1D127BEE">
            <w:pPr>
              <w:spacing w:line="480" w:lineRule="auto"/>
              <w:rPr>
                <w:rFonts w:hint="eastAsia" w:hAnsi="宋体"/>
              </w:rPr>
            </w:pPr>
          </w:p>
        </w:tc>
        <w:tc>
          <w:tcPr>
            <w:tcW w:w="734" w:type="dxa"/>
          </w:tcPr>
          <w:p w14:paraId="692925F6">
            <w:pPr>
              <w:spacing w:line="480" w:lineRule="auto"/>
              <w:rPr>
                <w:rFonts w:hint="eastAsia" w:hAnsi="宋体"/>
              </w:rPr>
            </w:pPr>
          </w:p>
        </w:tc>
      </w:tr>
      <w:tr w14:paraId="0F15E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3" w:type="dxa"/>
          </w:tcPr>
          <w:p w14:paraId="6C8B0CCA">
            <w:pPr>
              <w:spacing w:line="480" w:lineRule="auto"/>
              <w:rPr>
                <w:rFonts w:hint="eastAsia" w:hAnsi="宋体"/>
              </w:rPr>
            </w:pPr>
          </w:p>
        </w:tc>
        <w:tc>
          <w:tcPr>
            <w:tcW w:w="2350" w:type="dxa"/>
            <w:gridSpan w:val="2"/>
          </w:tcPr>
          <w:p w14:paraId="2D76A003">
            <w:pPr>
              <w:spacing w:line="480" w:lineRule="auto"/>
              <w:rPr>
                <w:rFonts w:hint="eastAsia" w:hAnsi="宋体"/>
              </w:rPr>
            </w:pPr>
          </w:p>
        </w:tc>
        <w:tc>
          <w:tcPr>
            <w:tcW w:w="710" w:type="dxa"/>
          </w:tcPr>
          <w:p w14:paraId="3AE56C08">
            <w:pPr>
              <w:spacing w:line="480" w:lineRule="auto"/>
              <w:rPr>
                <w:rFonts w:hint="eastAsia" w:hAnsi="宋体"/>
              </w:rPr>
            </w:pPr>
          </w:p>
        </w:tc>
        <w:tc>
          <w:tcPr>
            <w:tcW w:w="848" w:type="dxa"/>
          </w:tcPr>
          <w:p w14:paraId="0E6E39B0">
            <w:pPr>
              <w:spacing w:line="480" w:lineRule="auto"/>
              <w:rPr>
                <w:rFonts w:hint="eastAsia" w:hAnsi="宋体"/>
              </w:rPr>
            </w:pPr>
          </w:p>
        </w:tc>
        <w:tc>
          <w:tcPr>
            <w:tcW w:w="710" w:type="dxa"/>
          </w:tcPr>
          <w:p w14:paraId="35A7D30E">
            <w:pPr>
              <w:spacing w:line="480" w:lineRule="auto"/>
              <w:rPr>
                <w:rFonts w:hint="eastAsia" w:hAnsi="宋体"/>
              </w:rPr>
            </w:pPr>
          </w:p>
        </w:tc>
        <w:tc>
          <w:tcPr>
            <w:tcW w:w="807" w:type="dxa"/>
          </w:tcPr>
          <w:p w14:paraId="025889D2">
            <w:pPr>
              <w:spacing w:line="480" w:lineRule="auto"/>
              <w:rPr>
                <w:rFonts w:hint="eastAsia" w:hAnsi="宋体"/>
              </w:rPr>
            </w:pPr>
          </w:p>
        </w:tc>
        <w:tc>
          <w:tcPr>
            <w:tcW w:w="911" w:type="dxa"/>
          </w:tcPr>
          <w:p w14:paraId="19ABE694">
            <w:pPr>
              <w:spacing w:line="480" w:lineRule="auto"/>
              <w:rPr>
                <w:rFonts w:hint="eastAsia" w:hAnsi="宋体"/>
              </w:rPr>
            </w:pPr>
          </w:p>
        </w:tc>
        <w:tc>
          <w:tcPr>
            <w:tcW w:w="807" w:type="dxa"/>
          </w:tcPr>
          <w:p w14:paraId="72B97276">
            <w:pPr>
              <w:spacing w:line="480" w:lineRule="auto"/>
              <w:rPr>
                <w:rFonts w:hint="eastAsia" w:hAnsi="宋体"/>
              </w:rPr>
            </w:pPr>
          </w:p>
        </w:tc>
        <w:tc>
          <w:tcPr>
            <w:tcW w:w="734" w:type="dxa"/>
          </w:tcPr>
          <w:p w14:paraId="4F6920A3">
            <w:pPr>
              <w:spacing w:line="480" w:lineRule="auto"/>
              <w:rPr>
                <w:rFonts w:hint="eastAsia" w:hAnsi="宋体"/>
              </w:rPr>
            </w:pPr>
          </w:p>
        </w:tc>
      </w:tr>
    </w:tbl>
    <w:p w14:paraId="57114CF6">
      <w:pPr>
        <w:pStyle w:val="691"/>
        <w:ind w:firstLine="480"/>
      </w:pPr>
    </w:p>
    <w:p w14:paraId="4DC26D6E">
      <w:pPr>
        <w:ind w:firstLine="105" w:firstLineChars="50"/>
        <w:rPr>
          <w:b/>
          <w:bCs/>
        </w:rPr>
      </w:pPr>
    </w:p>
    <w:p w14:paraId="36ECFCAA">
      <w:pPr>
        <w:ind w:firstLine="105" w:firstLineChars="50"/>
        <w:rPr>
          <w:b/>
          <w:bCs/>
        </w:rPr>
      </w:pPr>
    </w:p>
    <w:p w14:paraId="3CA5C838">
      <w:pPr>
        <w:ind w:firstLine="105" w:firstLineChars="50"/>
        <w:rPr>
          <w:b/>
          <w:bCs/>
        </w:rPr>
      </w:pPr>
    </w:p>
    <w:tbl>
      <w:tblPr>
        <w:tblStyle w:val="81"/>
        <w:tblpPr w:leftFromText="180" w:rightFromText="180" w:vertAnchor="page" w:horzAnchor="margin" w:tblpXSpec="center" w:tblpY="19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205"/>
        <w:gridCol w:w="740"/>
        <w:gridCol w:w="719"/>
        <w:gridCol w:w="694"/>
        <w:gridCol w:w="719"/>
        <w:gridCol w:w="816"/>
        <w:gridCol w:w="922"/>
        <w:gridCol w:w="816"/>
        <w:gridCol w:w="1178"/>
      </w:tblGrid>
      <w:tr w14:paraId="0E336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trPr>
        <w:tc>
          <w:tcPr>
            <w:tcW w:w="1884" w:type="dxa"/>
            <w:gridSpan w:val="2"/>
            <w:vAlign w:val="center"/>
          </w:tcPr>
          <w:p w14:paraId="3EFEEA9B">
            <w:r>
              <w:rPr>
                <w:rFonts w:hint="eastAsia"/>
              </w:rPr>
              <w:t>工程名称</w:t>
            </w:r>
          </w:p>
        </w:tc>
        <w:tc>
          <w:tcPr>
            <w:tcW w:w="6604" w:type="dxa"/>
            <w:gridSpan w:val="8"/>
            <w:vAlign w:val="center"/>
          </w:tcPr>
          <w:p w14:paraId="547B031D">
            <w:pPr>
              <w:jc w:val="center"/>
            </w:pPr>
          </w:p>
        </w:tc>
      </w:tr>
      <w:tr w14:paraId="72E4F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884" w:type="dxa"/>
            <w:gridSpan w:val="2"/>
          </w:tcPr>
          <w:p w14:paraId="644FEE7B">
            <w:r>
              <w:rPr>
                <w:rFonts w:hint="eastAsia"/>
              </w:rPr>
              <w:t>公司名称</w:t>
            </w:r>
          </w:p>
        </w:tc>
        <w:tc>
          <w:tcPr>
            <w:tcW w:w="6604" w:type="dxa"/>
            <w:gridSpan w:val="8"/>
          </w:tcPr>
          <w:p w14:paraId="697CC6D6">
            <w:pPr>
              <w:rPr>
                <w:b/>
                <w:bCs/>
                <w:sz w:val="28"/>
              </w:rPr>
            </w:pPr>
          </w:p>
        </w:tc>
      </w:tr>
      <w:tr w14:paraId="18FE6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8488" w:type="dxa"/>
            <w:gridSpan w:val="10"/>
            <w:vAlign w:val="center"/>
          </w:tcPr>
          <w:p w14:paraId="55F0FBF3">
            <w:pPr>
              <w:jc w:val="center"/>
              <w:rPr>
                <w:b/>
                <w:bCs/>
              </w:rPr>
            </w:pPr>
            <w:r>
              <w:rPr>
                <w:rFonts w:hint="eastAsia"/>
                <w:b/>
                <w:bCs/>
              </w:rPr>
              <w:t>拟投入施工机械设备表</w:t>
            </w:r>
          </w:p>
        </w:tc>
      </w:tr>
      <w:tr w14:paraId="1B4D1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9" w:type="dxa"/>
            <w:vAlign w:val="center"/>
          </w:tcPr>
          <w:p w14:paraId="7351260D">
            <w:pPr>
              <w:jc w:val="center"/>
            </w:pPr>
            <w:r>
              <w:rPr>
                <w:rFonts w:hint="eastAsia"/>
              </w:rPr>
              <w:t>序号</w:t>
            </w:r>
          </w:p>
        </w:tc>
        <w:tc>
          <w:tcPr>
            <w:tcW w:w="1945" w:type="dxa"/>
            <w:gridSpan w:val="2"/>
            <w:vAlign w:val="center"/>
          </w:tcPr>
          <w:p w14:paraId="0B2DC1AE">
            <w:pPr>
              <w:jc w:val="center"/>
            </w:pPr>
            <w:r>
              <w:rPr>
                <w:rFonts w:hint="eastAsia"/>
              </w:rPr>
              <w:t>机械或设备名称</w:t>
            </w:r>
          </w:p>
        </w:tc>
        <w:tc>
          <w:tcPr>
            <w:tcW w:w="719" w:type="dxa"/>
            <w:vAlign w:val="center"/>
          </w:tcPr>
          <w:p w14:paraId="756BD48C">
            <w:pPr>
              <w:jc w:val="center"/>
            </w:pPr>
            <w:r>
              <w:rPr>
                <w:rFonts w:hint="eastAsia"/>
              </w:rPr>
              <w:t>型号规格</w:t>
            </w:r>
          </w:p>
        </w:tc>
        <w:tc>
          <w:tcPr>
            <w:tcW w:w="694" w:type="dxa"/>
            <w:vAlign w:val="center"/>
          </w:tcPr>
          <w:p w14:paraId="44C602BC">
            <w:pPr>
              <w:jc w:val="center"/>
            </w:pPr>
            <w:r>
              <w:rPr>
                <w:rFonts w:hint="eastAsia"/>
              </w:rPr>
              <w:t>数量</w:t>
            </w:r>
          </w:p>
        </w:tc>
        <w:tc>
          <w:tcPr>
            <w:tcW w:w="719" w:type="dxa"/>
            <w:vAlign w:val="center"/>
          </w:tcPr>
          <w:p w14:paraId="7B63B425">
            <w:pPr>
              <w:jc w:val="center"/>
            </w:pPr>
            <w:r>
              <w:rPr>
                <w:rFonts w:hint="eastAsia"/>
              </w:rPr>
              <w:t>国别产地</w:t>
            </w:r>
          </w:p>
        </w:tc>
        <w:tc>
          <w:tcPr>
            <w:tcW w:w="816" w:type="dxa"/>
            <w:vAlign w:val="center"/>
          </w:tcPr>
          <w:p w14:paraId="3B02E514">
            <w:pPr>
              <w:jc w:val="center"/>
            </w:pPr>
            <w:r>
              <w:rPr>
                <w:rFonts w:hint="eastAsia"/>
              </w:rPr>
              <w:t>出厂日期</w:t>
            </w:r>
          </w:p>
        </w:tc>
        <w:tc>
          <w:tcPr>
            <w:tcW w:w="922" w:type="dxa"/>
            <w:vAlign w:val="center"/>
          </w:tcPr>
          <w:p w14:paraId="791B10FF">
            <w:pPr>
              <w:jc w:val="center"/>
            </w:pPr>
            <w:r>
              <w:rPr>
                <w:rFonts w:hint="eastAsia"/>
              </w:rPr>
              <w:t>额定功率</w:t>
            </w:r>
            <w:r>
              <w:t>kw</w:t>
            </w:r>
          </w:p>
        </w:tc>
        <w:tc>
          <w:tcPr>
            <w:tcW w:w="816" w:type="dxa"/>
            <w:vAlign w:val="center"/>
          </w:tcPr>
          <w:p w14:paraId="1E67F396">
            <w:pPr>
              <w:jc w:val="center"/>
            </w:pPr>
            <w:r>
              <w:rPr>
                <w:rFonts w:hint="eastAsia"/>
              </w:rPr>
              <w:t>生产能力</w:t>
            </w:r>
          </w:p>
        </w:tc>
        <w:tc>
          <w:tcPr>
            <w:tcW w:w="1178" w:type="dxa"/>
            <w:vAlign w:val="center"/>
          </w:tcPr>
          <w:p w14:paraId="14F8792B">
            <w:pPr>
              <w:jc w:val="center"/>
            </w:pPr>
            <w:r>
              <w:rPr>
                <w:rFonts w:hint="eastAsia"/>
              </w:rPr>
              <w:t>备注</w:t>
            </w:r>
          </w:p>
        </w:tc>
      </w:tr>
      <w:tr w14:paraId="65AA6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9" w:type="dxa"/>
          </w:tcPr>
          <w:p w14:paraId="77B2A577">
            <w:pPr>
              <w:rPr>
                <w:b/>
                <w:bCs/>
                <w:sz w:val="28"/>
              </w:rPr>
            </w:pPr>
          </w:p>
        </w:tc>
        <w:tc>
          <w:tcPr>
            <w:tcW w:w="1945" w:type="dxa"/>
            <w:gridSpan w:val="2"/>
          </w:tcPr>
          <w:p w14:paraId="1B82CFCD">
            <w:pPr>
              <w:rPr>
                <w:b/>
                <w:bCs/>
                <w:sz w:val="28"/>
              </w:rPr>
            </w:pPr>
          </w:p>
        </w:tc>
        <w:tc>
          <w:tcPr>
            <w:tcW w:w="719" w:type="dxa"/>
          </w:tcPr>
          <w:p w14:paraId="046AB1D6">
            <w:pPr>
              <w:rPr>
                <w:b/>
                <w:bCs/>
                <w:sz w:val="28"/>
              </w:rPr>
            </w:pPr>
          </w:p>
        </w:tc>
        <w:tc>
          <w:tcPr>
            <w:tcW w:w="694" w:type="dxa"/>
          </w:tcPr>
          <w:p w14:paraId="0C35015D">
            <w:pPr>
              <w:rPr>
                <w:b/>
                <w:bCs/>
                <w:sz w:val="28"/>
              </w:rPr>
            </w:pPr>
          </w:p>
        </w:tc>
        <w:tc>
          <w:tcPr>
            <w:tcW w:w="719" w:type="dxa"/>
          </w:tcPr>
          <w:p w14:paraId="6881FD1D">
            <w:pPr>
              <w:rPr>
                <w:b/>
                <w:bCs/>
                <w:sz w:val="28"/>
              </w:rPr>
            </w:pPr>
          </w:p>
        </w:tc>
        <w:tc>
          <w:tcPr>
            <w:tcW w:w="816" w:type="dxa"/>
          </w:tcPr>
          <w:p w14:paraId="5DD82171">
            <w:pPr>
              <w:rPr>
                <w:b/>
                <w:bCs/>
                <w:sz w:val="28"/>
              </w:rPr>
            </w:pPr>
          </w:p>
        </w:tc>
        <w:tc>
          <w:tcPr>
            <w:tcW w:w="922" w:type="dxa"/>
          </w:tcPr>
          <w:p w14:paraId="4787D912">
            <w:pPr>
              <w:rPr>
                <w:b/>
                <w:bCs/>
                <w:sz w:val="28"/>
              </w:rPr>
            </w:pPr>
          </w:p>
        </w:tc>
        <w:tc>
          <w:tcPr>
            <w:tcW w:w="816" w:type="dxa"/>
          </w:tcPr>
          <w:p w14:paraId="419F6C65">
            <w:pPr>
              <w:rPr>
                <w:b/>
                <w:bCs/>
                <w:sz w:val="28"/>
              </w:rPr>
            </w:pPr>
          </w:p>
        </w:tc>
        <w:tc>
          <w:tcPr>
            <w:tcW w:w="1178" w:type="dxa"/>
          </w:tcPr>
          <w:p w14:paraId="1C0E24E7">
            <w:pPr>
              <w:rPr>
                <w:b/>
                <w:bCs/>
                <w:sz w:val="28"/>
              </w:rPr>
            </w:pPr>
          </w:p>
        </w:tc>
      </w:tr>
      <w:tr w14:paraId="2BFFD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9" w:type="dxa"/>
          </w:tcPr>
          <w:p w14:paraId="5622F84D">
            <w:pPr>
              <w:rPr>
                <w:b/>
                <w:bCs/>
                <w:sz w:val="28"/>
              </w:rPr>
            </w:pPr>
          </w:p>
        </w:tc>
        <w:tc>
          <w:tcPr>
            <w:tcW w:w="1945" w:type="dxa"/>
            <w:gridSpan w:val="2"/>
          </w:tcPr>
          <w:p w14:paraId="169C8122">
            <w:pPr>
              <w:rPr>
                <w:b/>
                <w:bCs/>
                <w:sz w:val="28"/>
              </w:rPr>
            </w:pPr>
          </w:p>
        </w:tc>
        <w:tc>
          <w:tcPr>
            <w:tcW w:w="719" w:type="dxa"/>
          </w:tcPr>
          <w:p w14:paraId="0D12C30E">
            <w:pPr>
              <w:rPr>
                <w:b/>
                <w:bCs/>
                <w:sz w:val="28"/>
              </w:rPr>
            </w:pPr>
          </w:p>
        </w:tc>
        <w:tc>
          <w:tcPr>
            <w:tcW w:w="694" w:type="dxa"/>
          </w:tcPr>
          <w:p w14:paraId="23D1B16D">
            <w:pPr>
              <w:rPr>
                <w:b/>
                <w:bCs/>
                <w:sz w:val="28"/>
              </w:rPr>
            </w:pPr>
          </w:p>
        </w:tc>
        <w:tc>
          <w:tcPr>
            <w:tcW w:w="719" w:type="dxa"/>
          </w:tcPr>
          <w:p w14:paraId="3E90650F">
            <w:pPr>
              <w:rPr>
                <w:b/>
                <w:bCs/>
                <w:sz w:val="28"/>
              </w:rPr>
            </w:pPr>
          </w:p>
        </w:tc>
        <w:tc>
          <w:tcPr>
            <w:tcW w:w="816" w:type="dxa"/>
          </w:tcPr>
          <w:p w14:paraId="4481CEB6">
            <w:pPr>
              <w:rPr>
                <w:b/>
                <w:bCs/>
                <w:sz w:val="28"/>
              </w:rPr>
            </w:pPr>
          </w:p>
        </w:tc>
        <w:tc>
          <w:tcPr>
            <w:tcW w:w="922" w:type="dxa"/>
          </w:tcPr>
          <w:p w14:paraId="42E3E2ED">
            <w:pPr>
              <w:rPr>
                <w:b/>
                <w:bCs/>
                <w:sz w:val="28"/>
              </w:rPr>
            </w:pPr>
          </w:p>
        </w:tc>
        <w:tc>
          <w:tcPr>
            <w:tcW w:w="816" w:type="dxa"/>
          </w:tcPr>
          <w:p w14:paraId="3B856A86">
            <w:pPr>
              <w:rPr>
                <w:b/>
                <w:bCs/>
                <w:sz w:val="28"/>
              </w:rPr>
            </w:pPr>
          </w:p>
        </w:tc>
        <w:tc>
          <w:tcPr>
            <w:tcW w:w="1178" w:type="dxa"/>
          </w:tcPr>
          <w:p w14:paraId="08547B03">
            <w:pPr>
              <w:rPr>
                <w:b/>
                <w:bCs/>
                <w:sz w:val="28"/>
              </w:rPr>
            </w:pPr>
          </w:p>
        </w:tc>
      </w:tr>
      <w:tr w14:paraId="3B49D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9" w:type="dxa"/>
          </w:tcPr>
          <w:p w14:paraId="11EFFEFF">
            <w:pPr>
              <w:rPr>
                <w:b/>
                <w:bCs/>
                <w:sz w:val="28"/>
              </w:rPr>
            </w:pPr>
          </w:p>
        </w:tc>
        <w:tc>
          <w:tcPr>
            <w:tcW w:w="1945" w:type="dxa"/>
            <w:gridSpan w:val="2"/>
          </w:tcPr>
          <w:p w14:paraId="3F163296">
            <w:pPr>
              <w:rPr>
                <w:b/>
                <w:bCs/>
                <w:sz w:val="28"/>
              </w:rPr>
            </w:pPr>
          </w:p>
        </w:tc>
        <w:tc>
          <w:tcPr>
            <w:tcW w:w="719" w:type="dxa"/>
          </w:tcPr>
          <w:p w14:paraId="519F75F0">
            <w:pPr>
              <w:rPr>
                <w:b/>
                <w:bCs/>
                <w:sz w:val="28"/>
              </w:rPr>
            </w:pPr>
          </w:p>
        </w:tc>
        <w:tc>
          <w:tcPr>
            <w:tcW w:w="694" w:type="dxa"/>
          </w:tcPr>
          <w:p w14:paraId="6D7C6308">
            <w:pPr>
              <w:rPr>
                <w:b/>
                <w:bCs/>
                <w:sz w:val="28"/>
              </w:rPr>
            </w:pPr>
          </w:p>
        </w:tc>
        <w:tc>
          <w:tcPr>
            <w:tcW w:w="719" w:type="dxa"/>
          </w:tcPr>
          <w:p w14:paraId="57F02ADB">
            <w:pPr>
              <w:rPr>
                <w:b/>
                <w:bCs/>
                <w:sz w:val="28"/>
              </w:rPr>
            </w:pPr>
          </w:p>
        </w:tc>
        <w:tc>
          <w:tcPr>
            <w:tcW w:w="816" w:type="dxa"/>
          </w:tcPr>
          <w:p w14:paraId="33A904A0">
            <w:pPr>
              <w:rPr>
                <w:b/>
                <w:bCs/>
                <w:sz w:val="28"/>
              </w:rPr>
            </w:pPr>
          </w:p>
        </w:tc>
        <w:tc>
          <w:tcPr>
            <w:tcW w:w="922" w:type="dxa"/>
          </w:tcPr>
          <w:p w14:paraId="76234BA2">
            <w:pPr>
              <w:rPr>
                <w:b/>
                <w:bCs/>
                <w:sz w:val="28"/>
              </w:rPr>
            </w:pPr>
          </w:p>
        </w:tc>
        <w:tc>
          <w:tcPr>
            <w:tcW w:w="816" w:type="dxa"/>
          </w:tcPr>
          <w:p w14:paraId="43197A11">
            <w:pPr>
              <w:rPr>
                <w:b/>
                <w:bCs/>
                <w:sz w:val="28"/>
              </w:rPr>
            </w:pPr>
          </w:p>
        </w:tc>
        <w:tc>
          <w:tcPr>
            <w:tcW w:w="1178" w:type="dxa"/>
          </w:tcPr>
          <w:p w14:paraId="436CAD86">
            <w:pPr>
              <w:rPr>
                <w:b/>
                <w:bCs/>
                <w:sz w:val="28"/>
              </w:rPr>
            </w:pPr>
          </w:p>
        </w:tc>
      </w:tr>
      <w:tr w14:paraId="45F5F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9" w:type="dxa"/>
          </w:tcPr>
          <w:p w14:paraId="1A861353">
            <w:pPr>
              <w:rPr>
                <w:b/>
                <w:bCs/>
                <w:sz w:val="28"/>
              </w:rPr>
            </w:pPr>
          </w:p>
        </w:tc>
        <w:tc>
          <w:tcPr>
            <w:tcW w:w="1945" w:type="dxa"/>
            <w:gridSpan w:val="2"/>
          </w:tcPr>
          <w:p w14:paraId="24A0174B">
            <w:pPr>
              <w:rPr>
                <w:b/>
                <w:bCs/>
                <w:sz w:val="28"/>
              </w:rPr>
            </w:pPr>
          </w:p>
        </w:tc>
        <w:tc>
          <w:tcPr>
            <w:tcW w:w="719" w:type="dxa"/>
          </w:tcPr>
          <w:p w14:paraId="2CAA5E4E">
            <w:pPr>
              <w:rPr>
                <w:b/>
                <w:bCs/>
                <w:sz w:val="28"/>
              </w:rPr>
            </w:pPr>
          </w:p>
        </w:tc>
        <w:tc>
          <w:tcPr>
            <w:tcW w:w="694" w:type="dxa"/>
          </w:tcPr>
          <w:p w14:paraId="1EF0A9CF">
            <w:pPr>
              <w:rPr>
                <w:b/>
                <w:bCs/>
                <w:sz w:val="28"/>
              </w:rPr>
            </w:pPr>
          </w:p>
        </w:tc>
        <w:tc>
          <w:tcPr>
            <w:tcW w:w="719" w:type="dxa"/>
          </w:tcPr>
          <w:p w14:paraId="11AF2B04">
            <w:pPr>
              <w:rPr>
                <w:b/>
                <w:bCs/>
                <w:sz w:val="28"/>
              </w:rPr>
            </w:pPr>
          </w:p>
        </w:tc>
        <w:tc>
          <w:tcPr>
            <w:tcW w:w="816" w:type="dxa"/>
          </w:tcPr>
          <w:p w14:paraId="0811F081">
            <w:pPr>
              <w:rPr>
                <w:b/>
                <w:bCs/>
                <w:sz w:val="28"/>
              </w:rPr>
            </w:pPr>
          </w:p>
        </w:tc>
        <w:tc>
          <w:tcPr>
            <w:tcW w:w="922" w:type="dxa"/>
          </w:tcPr>
          <w:p w14:paraId="3344333F">
            <w:pPr>
              <w:rPr>
                <w:b/>
                <w:bCs/>
                <w:sz w:val="28"/>
              </w:rPr>
            </w:pPr>
          </w:p>
        </w:tc>
        <w:tc>
          <w:tcPr>
            <w:tcW w:w="816" w:type="dxa"/>
          </w:tcPr>
          <w:p w14:paraId="5A6EBC12">
            <w:pPr>
              <w:rPr>
                <w:b/>
                <w:bCs/>
                <w:sz w:val="28"/>
              </w:rPr>
            </w:pPr>
          </w:p>
        </w:tc>
        <w:tc>
          <w:tcPr>
            <w:tcW w:w="1178" w:type="dxa"/>
          </w:tcPr>
          <w:p w14:paraId="6531E39E">
            <w:pPr>
              <w:rPr>
                <w:b/>
                <w:bCs/>
                <w:sz w:val="28"/>
              </w:rPr>
            </w:pPr>
          </w:p>
        </w:tc>
      </w:tr>
      <w:tr w14:paraId="2B5FA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9" w:type="dxa"/>
          </w:tcPr>
          <w:p w14:paraId="095819A3">
            <w:pPr>
              <w:rPr>
                <w:b/>
                <w:bCs/>
                <w:sz w:val="28"/>
              </w:rPr>
            </w:pPr>
          </w:p>
        </w:tc>
        <w:tc>
          <w:tcPr>
            <w:tcW w:w="1945" w:type="dxa"/>
            <w:gridSpan w:val="2"/>
          </w:tcPr>
          <w:p w14:paraId="13DC3BEA">
            <w:pPr>
              <w:rPr>
                <w:b/>
                <w:bCs/>
                <w:sz w:val="28"/>
              </w:rPr>
            </w:pPr>
          </w:p>
        </w:tc>
        <w:tc>
          <w:tcPr>
            <w:tcW w:w="719" w:type="dxa"/>
          </w:tcPr>
          <w:p w14:paraId="02F32E3E">
            <w:pPr>
              <w:rPr>
                <w:b/>
                <w:bCs/>
                <w:sz w:val="28"/>
              </w:rPr>
            </w:pPr>
          </w:p>
        </w:tc>
        <w:tc>
          <w:tcPr>
            <w:tcW w:w="694" w:type="dxa"/>
          </w:tcPr>
          <w:p w14:paraId="4641B6C5">
            <w:pPr>
              <w:rPr>
                <w:b/>
                <w:bCs/>
                <w:sz w:val="28"/>
              </w:rPr>
            </w:pPr>
          </w:p>
        </w:tc>
        <w:tc>
          <w:tcPr>
            <w:tcW w:w="719" w:type="dxa"/>
          </w:tcPr>
          <w:p w14:paraId="620D90E3">
            <w:pPr>
              <w:rPr>
                <w:b/>
                <w:bCs/>
                <w:sz w:val="28"/>
              </w:rPr>
            </w:pPr>
          </w:p>
        </w:tc>
        <w:tc>
          <w:tcPr>
            <w:tcW w:w="816" w:type="dxa"/>
          </w:tcPr>
          <w:p w14:paraId="3D7C45D5">
            <w:pPr>
              <w:rPr>
                <w:b/>
                <w:bCs/>
                <w:sz w:val="28"/>
              </w:rPr>
            </w:pPr>
          </w:p>
        </w:tc>
        <w:tc>
          <w:tcPr>
            <w:tcW w:w="922" w:type="dxa"/>
          </w:tcPr>
          <w:p w14:paraId="638FCF66">
            <w:pPr>
              <w:rPr>
                <w:b/>
                <w:bCs/>
                <w:sz w:val="28"/>
              </w:rPr>
            </w:pPr>
          </w:p>
        </w:tc>
        <w:tc>
          <w:tcPr>
            <w:tcW w:w="816" w:type="dxa"/>
          </w:tcPr>
          <w:p w14:paraId="1F145FC9">
            <w:pPr>
              <w:rPr>
                <w:b/>
                <w:bCs/>
                <w:sz w:val="28"/>
              </w:rPr>
            </w:pPr>
          </w:p>
        </w:tc>
        <w:tc>
          <w:tcPr>
            <w:tcW w:w="1178" w:type="dxa"/>
          </w:tcPr>
          <w:p w14:paraId="6BAB72CA">
            <w:pPr>
              <w:rPr>
                <w:b/>
                <w:bCs/>
                <w:sz w:val="28"/>
              </w:rPr>
            </w:pPr>
          </w:p>
        </w:tc>
      </w:tr>
      <w:tr w14:paraId="17D1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9" w:type="dxa"/>
          </w:tcPr>
          <w:p w14:paraId="0FC62BEB">
            <w:pPr>
              <w:rPr>
                <w:b/>
                <w:bCs/>
                <w:sz w:val="28"/>
              </w:rPr>
            </w:pPr>
          </w:p>
        </w:tc>
        <w:tc>
          <w:tcPr>
            <w:tcW w:w="1945" w:type="dxa"/>
            <w:gridSpan w:val="2"/>
          </w:tcPr>
          <w:p w14:paraId="408F7E3C">
            <w:pPr>
              <w:rPr>
                <w:b/>
                <w:bCs/>
                <w:sz w:val="28"/>
              </w:rPr>
            </w:pPr>
          </w:p>
        </w:tc>
        <w:tc>
          <w:tcPr>
            <w:tcW w:w="719" w:type="dxa"/>
          </w:tcPr>
          <w:p w14:paraId="5BEA8F8C">
            <w:pPr>
              <w:rPr>
                <w:b/>
                <w:bCs/>
                <w:sz w:val="28"/>
              </w:rPr>
            </w:pPr>
          </w:p>
        </w:tc>
        <w:tc>
          <w:tcPr>
            <w:tcW w:w="694" w:type="dxa"/>
          </w:tcPr>
          <w:p w14:paraId="5091E033">
            <w:pPr>
              <w:rPr>
                <w:b/>
                <w:bCs/>
                <w:sz w:val="28"/>
              </w:rPr>
            </w:pPr>
          </w:p>
        </w:tc>
        <w:tc>
          <w:tcPr>
            <w:tcW w:w="719" w:type="dxa"/>
          </w:tcPr>
          <w:p w14:paraId="0752E56A">
            <w:pPr>
              <w:rPr>
                <w:b/>
                <w:bCs/>
                <w:sz w:val="28"/>
              </w:rPr>
            </w:pPr>
          </w:p>
        </w:tc>
        <w:tc>
          <w:tcPr>
            <w:tcW w:w="816" w:type="dxa"/>
          </w:tcPr>
          <w:p w14:paraId="1237C1AB">
            <w:pPr>
              <w:rPr>
                <w:b/>
                <w:bCs/>
                <w:sz w:val="28"/>
              </w:rPr>
            </w:pPr>
          </w:p>
        </w:tc>
        <w:tc>
          <w:tcPr>
            <w:tcW w:w="922" w:type="dxa"/>
          </w:tcPr>
          <w:p w14:paraId="000D6C68">
            <w:pPr>
              <w:rPr>
                <w:b/>
                <w:bCs/>
                <w:sz w:val="28"/>
              </w:rPr>
            </w:pPr>
          </w:p>
        </w:tc>
        <w:tc>
          <w:tcPr>
            <w:tcW w:w="816" w:type="dxa"/>
          </w:tcPr>
          <w:p w14:paraId="1E047680">
            <w:pPr>
              <w:rPr>
                <w:b/>
                <w:bCs/>
                <w:sz w:val="28"/>
              </w:rPr>
            </w:pPr>
          </w:p>
        </w:tc>
        <w:tc>
          <w:tcPr>
            <w:tcW w:w="1178" w:type="dxa"/>
          </w:tcPr>
          <w:p w14:paraId="2C42C021">
            <w:pPr>
              <w:rPr>
                <w:b/>
                <w:bCs/>
                <w:sz w:val="28"/>
              </w:rPr>
            </w:pPr>
          </w:p>
        </w:tc>
      </w:tr>
      <w:tr w14:paraId="6E3D7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9" w:type="dxa"/>
          </w:tcPr>
          <w:p w14:paraId="5A16D668">
            <w:pPr>
              <w:rPr>
                <w:b/>
                <w:bCs/>
                <w:sz w:val="28"/>
              </w:rPr>
            </w:pPr>
          </w:p>
        </w:tc>
        <w:tc>
          <w:tcPr>
            <w:tcW w:w="1945" w:type="dxa"/>
            <w:gridSpan w:val="2"/>
          </w:tcPr>
          <w:p w14:paraId="392C33FD">
            <w:pPr>
              <w:rPr>
                <w:b/>
                <w:bCs/>
                <w:sz w:val="28"/>
              </w:rPr>
            </w:pPr>
          </w:p>
        </w:tc>
        <w:tc>
          <w:tcPr>
            <w:tcW w:w="719" w:type="dxa"/>
          </w:tcPr>
          <w:p w14:paraId="6FD35370">
            <w:pPr>
              <w:rPr>
                <w:b/>
                <w:bCs/>
                <w:sz w:val="28"/>
              </w:rPr>
            </w:pPr>
          </w:p>
        </w:tc>
        <w:tc>
          <w:tcPr>
            <w:tcW w:w="694" w:type="dxa"/>
          </w:tcPr>
          <w:p w14:paraId="1934EA6C">
            <w:pPr>
              <w:rPr>
                <w:b/>
                <w:bCs/>
                <w:sz w:val="28"/>
              </w:rPr>
            </w:pPr>
          </w:p>
        </w:tc>
        <w:tc>
          <w:tcPr>
            <w:tcW w:w="719" w:type="dxa"/>
          </w:tcPr>
          <w:p w14:paraId="1E11F918">
            <w:pPr>
              <w:rPr>
                <w:b/>
                <w:bCs/>
                <w:sz w:val="28"/>
              </w:rPr>
            </w:pPr>
          </w:p>
        </w:tc>
        <w:tc>
          <w:tcPr>
            <w:tcW w:w="816" w:type="dxa"/>
          </w:tcPr>
          <w:p w14:paraId="328DC89D">
            <w:pPr>
              <w:rPr>
                <w:b/>
                <w:bCs/>
                <w:sz w:val="28"/>
              </w:rPr>
            </w:pPr>
          </w:p>
        </w:tc>
        <w:tc>
          <w:tcPr>
            <w:tcW w:w="922" w:type="dxa"/>
          </w:tcPr>
          <w:p w14:paraId="04560009">
            <w:pPr>
              <w:rPr>
                <w:b/>
                <w:bCs/>
                <w:sz w:val="28"/>
              </w:rPr>
            </w:pPr>
          </w:p>
        </w:tc>
        <w:tc>
          <w:tcPr>
            <w:tcW w:w="816" w:type="dxa"/>
          </w:tcPr>
          <w:p w14:paraId="724C1A4E">
            <w:pPr>
              <w:rPr>
                <w:b/>
                <w:bCs/>
                <w:sz w:val="28"/>
              </w:rPr>
            </w:pPr>
          </w:p>
        </w:tc>
        <w:tc>
          <w:tcPr>
            <w:tcW w:w="1178" w:type="dxa"/>
          </w:tcPr>
          <w:p w14:paraId="6C9A15A6">
            <w:pPr>
              <w:rPr>
                <w:b/>
                <w:bCs/>
                <w:sz w:val="28"/>
              </w:rPr>
            </w:pPr>
          </w:p>
        </w:tc>
      </w:tr>
      <w:tr w14:paraId="7EABD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679" w:type="dxa"/>
          </w:tcPr>
          <w:p w14:paraId="460347FA">
            <w:pPr>
              <w:rPr>
                <w:b/>
                <w:bCs/>
                <w:sz w:val="28"/>
              </w:rPr>
            </w:pPr>
          </w:p>
        </w:tc>
        <w:tc>
          <w:tcPr>
            <w:tcW w:w="1945" w:type="dxa"/>
            <w:gridSpan w:val="2"/>
          </w:tcPr>
          <w:p w14:paraId="06ED1F42">
            <w:pPr>
              <w:rPr>
                <w:b/>
                <w:bCs/>
                <w:sz w:val="28"/>
              </w:rPr>
            </w:pPr>
          </w:p>
        </w:tc>
        <w:tc>
          <w:tcPr>
            <w:tcW w:w="719" w:type="dxa"/>
          </w:tcPr>
          <w:p w14:paraId="51D4EDDC">
            <w:pPr>
              <w:rPr>
                <w:b/>
                <w:bCs/>
                <w:sz w:val="28"/>
              </w:rPr>
            </w:pPr>
          </w:p>
        </w:tc>
        <w:tc>
          <w:tcPr>
            <w:tcW w:w="694" w:type="dxa"/>
          </w:tcPr>
          <w:p w14:paraId="70B5E450">
            <w:pPr>
              <w:rPr>
                <w:b/>
                <w:bCs/>
                <w:sz w:val="28"/>
              </w:rPr>
            </w:pPr>
          </w:p>
        </w:tc>
        <w:tc>
          <w:tcPr>
            <w:tcW w:w="719" w:type="dxa"/>
          </w:tcPr>
          <w:p w14:paraId="0D04D7A3">
            <w:pPr>
              <w:rPr>
                <w:b/>
                <w:bCs/>
                <w:sz w:val="28"/>
              </w:rPr>
            </w:pPr>
          </w:p>
        </w:tc>
        <w:tc>
          <w:tcPr>
            <w:tcW w:w="816" w:type="dxa"/>
          </w:tcPr>
          <w:p w14:paraId="0DD14463">
            <w:pPr>
              <w:rPr>
                <w:b/>
                <w:bCs/>
                <w:sz w:val="28"/>
              </w:rPr>
            </w:pPr>
          </w:p>
        </w:tc>
        <w:tc>
          <w:tcPr>
            <w:tcW w:w="922" w:type="dxa"/>
          </w:tcPr>
          <w:p w14:paraId="303937F9">
            <w:pPr>
              <w:rPr>
                <w:b/>
                <w:bCs/>
                <w:sz w:val="28"/>
              </w:rPr>
            </w:pPr>
          </w:p>
        </w:tc>
        <w:tc>
          <w:tcPr>
            <w:tcW w:w="816" w:type="dxa"/>
          </w:tcPr>
          <w:p w14:paraId="1E25132A">
            <w:pPr>
              <w:rPr>
                <w:b/>
                <w:bCs/>
                <w:sz w:val="28"/>
              </w:rPr>
            </w:pPr>
          </w:p>
        </w:tc>
        <w:tc>
          <w:tcPr>
            <w:tcW w:w="1178" w:type="dxa"/>
          </w:tcPr>
          <w:p w14:paraId="0F5D0595">
            <w:pPr>
              <w:rPr>
                <w:b/>
                <w:bCs/>
                <w:sz w:val="28"/>
              </w:rPr>
            </w:pPr>
          </w:p>
        </w:tc>
      </w:tr>
    </w:tbl>
    <w:p w14:paraId="218A8504">
      <w:pPr>
        <w:pStyle w:val="4"/>
        <w:jc w:val="both"/>
        <w:rPr>
          <w:rFonts w:hint="eastAsia" w:ascii="宋体" w:hAnsi="宋体"/>
          <w:sz w:val="24"/>
        </w:rPr>
      </w:pPr>
      <w:r>
        <w:rPr>
          <w:rFonts w:ascii="宋体" w:hAnsi="宋体"/>
          <w:sz w:val="24"/>
          <w:u w:val="single"/>
        </w:rPr>
        <w:br w:type="page"/>
      </w:r>
      <w:bookmarkStart w:id="2759" w:name="_Toc518992193"/>
      <w:bookmarkStart w:id="2760" w:name="_Toc130920629"/>
      <w:bookmarkStart w:id="2761" w:name="_Toc142385812"/>
      <w:r>
        <w:rPr>
          <w:rFonts w:hint="eastAsia" w:ascii="宋体" w:hAnsi="宋体" w:eastAsia="宋体"/>
          <w:sz w:val="24"/>
          <w:szCs w:val="24"/>
        </w:rPr>
        <w:t>5、施工组织设计（格式自拟）</w:t>
      </w:r>
      <w:bookmarkEnd w:id="2759"/>
      <w:bookmarkEnd w:id="2760"/>
      <w:bookmarkEnd w:id="2761"/>
    </w:p>
    <w:p w14:paraId="5A1DBE99">
      <w:pPr>
        <w:tabs>
          <w:tab w:val="left" w:pos="720"/>
        </w:tabs>
        <w:autoSpaceDE w:val="0"/>
        <w:autoSpaceDN w:val="0"/>
        <w:adjustRightInd w:val="0"/>
        <w:spacing w:line="360" w:lineRule="auto"/>
        <w:ind w:right="17"/>
        <w:jc w:val="left"/>
        <w:rPr>
          <w:rFonts w:hint="eastAsia" w:ascii="宋体" w:hAnsi="宋体"/>
          <w:sz w:val="24"/>
        </w:rPr>
      </w:pPr>
    </w:p>
    <w:p w14:paraId="4225CCBF">
      <w:pPr>
        <w:tabs>
          <w:tab w:val="left" w:pos="720"/>
        </w:tabs>
        <w:autoSpaceDE w:val="0"/>
        <w:autoSpaceDN w:val="0"/>
        <w:adjustRightInd w:val="0"/>
        <w:spacing w:line="360" w:lineRule="auto"/>
        <w:ind w:right="17"/>
        <w:jc w:val="left"/>
        <w:rPr>
          <w:rFonts w:hint="eastAsia" w:ascii="宋体" w:hAnsi="宋体"/>
          <w:sz w:val="24"/>
        </w:rPr>
      </w:pPr>
    </w:p>
    <w:p w14:paraId="3F2C9B12">
      <w:pPr>
        <w:tabs>
          <w:tab w:val="left" w:pos="720"/>
        </w:tabs>
        <w:autoSpaceDE w:val="0"/>
        <w:autoSpaceDN w:val="0"/>
        <w:adjustRightInd w:val="0"/>
        <w:spacing w:line="360" w:lineRule="auto"/>
        <w:ind w:right="17"/>
        <w:jc w:val="left"/>
        <w:rPr>
          <w:rFonts w:hint="eastAsia" w:ascii="宋体" w:hAnsi="宋体"/>
          <w:sz w:val="24"/>
        </w:rPr>
      </w:pPr>
    </w:p>
    <w:p w14:paraId="2D45D9A8">
      <w:pPr>
        <w:tabs>
          <w:tab w:val="left" w:pos="720"/>
        </w:tabs>
        <w:autoSpaceDE w:val="0"/>
        <w:autoSpaceDN w:val="0"/>
        <w:adjustRightInd w:val="0"/>
        <w:spacing w:line="360" w:lineRule="auto"/>
        <w:ind w:right="17"/>
        <w:jc w:val="left"/>
        <w:rPr>
          <w:rFonts w:hint="eastAsia" w:ascii="宋体" w:hAnsi="宋体"/>
          <w:sz w:val="24"/>
        </w:rPr>
      </w:pPr>
    </w:p>
    <w:p w14:paraId="6BBBCCE2">
      <w:pPr>
        <w:tabs>
          <w:tab w:val="left" w:pos="720"/>
        </w:tabs>
        <w:autoSpaceDE w:val="0"/>
        <w:autoSpaceDN w:val="0"/>
        <w:adjustRightInd w:val="0"/>
        <w:spacing w:line="360" w:lineRule="auto"/>
        <w:ind w:right="17"/>
        <w:jc w:val="left"/>
        <w:rPr>
          <w:rFonts w:hint="eastAsia" w:ascii="宋体" w:hAnsi="宋体"/>
          <w:sz w:val="24"/>
        </w:rPr>
      </w:pPr>
    </w:p>
    <w:p w14:paraId="1EAFE58D">
      <w:pPr>
        <w:tabs>
          <w:tab w:val="left" w:pos="720"/>
        </w:tabs>
        <w:autoSpaceDE w:val="0"/>
        <w:autoSpaceDN w:val="0"/>
        <w:adjustRightInd w:val="0"/>
        <w:spacing w:line="360" w:lineRule="auto"/>
        <w:ind w:right="17"/>
        <w:jc w:val="left"/>
        <w:rPr>
          <w:rFonts w:hint="eastAsia" w:ascii="宋体" w:hAnsi="宋体"/>
          <w:sz w:val="24"/>
        </w:rPr>
      </w:pPr>
    </w:p>
    <w:p w14:paraId="5D0617FB">
      <w:pPr>
        <w:tabs>
          <w:tab w:val="left" w:pos="720"/>
        </w:tabs>
        <w:autoSpaceDE w:val="0"/>
        <w:autoSpaceDN w:val="0"/>
        <w:adjustRightInd w:val="0"/>
        <w:spacing w:line="360" w:lineRule="auto"/>
        <w:ind w:right="17"/>
        <w:jc w:val="left"/>
        <w:rPr>
          <w:rFonts w:hint="eastAsia" w:ascii="宋体" w:hAnsi="宋体"/>
          <w:sz w:val="24"/>
        </w:rPr>
      </w:pPr>
    </w:p>
    <w:p w14:paraId="4DD2D625">
      <w:pPr>
        <w:tabs>
          <w:tab w:val="left" w:pos="720"/>
        </w:tabs>
        <w:autoSpaceDE w:val="0"/>
        <w:autoSpaceDN w:val="0"/>
        <w:adjustRightInd w:val="0"/>
        <w:spacing w:line="360" w:lineRule="auto"/>
        <w:ind w:right="17"/>
        <w:jc w:val="left"/>
        <w:rPr>
          <w:rFonts w:hint="eastAsia" w:ascii="宋体" w:hAnsi="宋体"/>
          <w:sz w:val="24"/>
        </w:rPr>
      </w:pPr>
    </w:p>
    <w:p w14:paraId="2C6E1ABD">
      <w:pPr>
        <w:tabs>
          <w:tab w:val="left" w:pos="720"/>
        </w:tabs>
        <w:autoSpaceDE w:val="0"/>
        <w:autoSpaceDN w:val="0"/>
        <w:adjustRightInd w:val="0"/>
        <w:spacing w:line="360" w:lineRule="auto"/>
        <w:ind w:right="17"/>
        <w:jc w:val="left"/>
        <w:rPr>
          <w:rFonts w:hint="eastAsia" w:ascii="宋体" w:hAnsi="宋体"/>
          <w:sz w:val="24"/>
        </w:rPr>
      </w:pPr>
    </w:p>
    <w:p w14:paraId="1704A193">
      <w:pPr>
        <w:pStyle w:val="4"/>
        <w:jc w:val="both"/>
        <w:rPr>
          <w:rFonts w:hint="eastAsia" w:ascii="宋体" w:hAnsi="宋体" w:eastAsia="宋体"/>
          <w:sz w:val="24"/>
          <w:szCs w:val="24"/>
        </w:rPr>
      </w:pPr>
      <w:bookmarkStart w:id="2762" w:name="_Toc130920630"/>
      <w:bookmarkStart w:id="2763" w:name="_Toc518992194"/>
      <w:bookmarkStart w:id="2764" w:name="_Toc142385813"/>
      <w:r>
        <w:rPr>
          <w:rFonts w:hint="eastAsia" w:ascii="宋体" w:hAnsi="宋体" w:eastAsia="宋体"/>
          <w:sz w:val="24"/>
          <w:szCs w:val="24"/>
        </w:rPr>
        <w:t>6、采购文件要求的其它文件及供应商认为有必要提供的其它文件</w:t>
      </w:r>
      <w:bookmarkEnd w:id="2762"/>
      <w:bookmarkEnd w:id="2763"/>
      <w:bookmarkEnd w:id="2764"/>
    </w:p>
    <w:p w14:paraId="27B740DF">
      <w:pPr>
        <w:spacing w:line="360" w:lineRule="auto"/>
        <w:ind w:right="480"/>
        <w:jc w:val="left"/>
        <w:rPr>
          <w:rFonts w:hint="eastAsia" w:ascii="宋体" w:hAnsi="宋体"/>
          <w:sz w:val="24"/>
        </w:rPr>
      </w:pPr>
      <w:r>
        <w:rPr>
          <w:rFonts w:hint="eastAsia" w:ascii="宋体" w:hAnsi="宋体"/>
          <w:sz w:val="24"/>
        </w:rPr>
        <w:t>（请供应商仔细阅读采购文件，并提供相关文件）</w:t>
      </w:r>
      <w:r>
        <w:rPr>
          <w:rFonts w:ascii="宋体" w:hAnsi="宋体"/>
          <w:sz w:val="24"/>
        </w:rPr>
        <w:t>。</w:t>
      </w:r>
    </w:p>
    <w:p w14:paraId="74FC6CD7">
      <w:pPr>
        <w:spacing w:line="360" w:lineRule="auto"/>
        <w:ind w:right="480"/>
        <w:rPr>
          <w:rFonts w:hint="eastAsia" w:ascii="宋体" w:hAnsi="宋体"/>
          <w:b/>
          <w:sz w:val="24"/>
        </w:rPr>
        <w:sectPr>
          <w:headerReference r:id="rId23" w:type="default"/>
          <w:pgSz w:w="11906" w:h="16838"/>
          <w:pgMar w:top="1440" w:right="1797" w:bottom="1440" w:left="1797" w:header="851" w:footer="992" w:gutter="0"/>
          <w:cols w:space="720" w:num="1"/>
          <w:docGrid w:linePitch="312" w:charSpace="0"/>
        </w:sectPr>
      </w:pPr>
    </w:p>
    <w:p w14:paraId="0FD12C6B">
      <w:pPr>
        <w:spacing w:line="360" w:lineRule="auto"/>
        <w:rPr>
          <w:rFonts w:hint="eastAsia" w:ascii="宋体" w:hAnsi="宋体"/>
          <w:b/>
          <w:sz w:val="24"/>
        </w:rPr>
      </w:pPr>
      <w:r>
        <w:rPr>
          <w:rFonts w:hint="eastAsia" w:ascii="宋体" w:hAnsi="宋体"/>
          <w:b/>
          <w:sz w:val="24"/>
        </w:rPr>
        <w:t>附件1（本附件为</w:t>
      </w:r>
      <w:r>
        <w:rPr>
          <w:rFonts w:ascii="宋体" w:hAnsi="宋体"/>
          <w:b/>
          <w:sz w:val="24"/>
        </w:rPr>
        <w:t>关于中小企业的相关规定</w:t>
      </w:r>
      <w:r>
        <w:rPr>
          <w:rFonts w:hint="eastAsia" w:ascii="宋体" w:hAnsi="宋体"/>
          <w:b/>
          <w:sz w:val="24"/>
        </w:rPr>
        <w:t>，不用列入响应文件）</w:t>
      </w:r>
    </w:p>
    <w:p w14:paraId="66A1B353">
      <w:pPr>
        <w:spacing w:line="288" w:lineRule="auto"/>
        <w:jc w:val="center"/>
        <w:rPr>
          <w:rFonts w:hint="eastAsia" w:ascii="宋体" w:hAnsi="宋体"/>
          <w:b/>
          <w:sz w:val="24"/>
        </w:rPr>
      </w:pPr>
      <w:r>
        <w:rPr>
          <w:rFonts w:hint="eastAsia" w:ascii="宋体" w:hAnsi="宋体"/>
          <w:b/>
          <w:sz w:val="24"/>
        </w:rPr>
        <w:t>政府采购促进中小企业发展管理办法</w:t>
      </w:r>
    </w:p>
    <w:p w14:paraId="646968AB">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第一条　为了发挥政府采购的政策功能，促进中小企业健康发展，根据《中华人民共和国政府采购法》、《中华人民共和国中小企业促进法》等有关法律法规，制定本办法。</w:t>
      </w:r>
    </w:p>
    <w:p w14:paraId="3AE14914">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14:paraId="6FBD5FC0">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符合中小企业划分标准的个体工商户，在政府采购活动中视同中小企业。</w:t>
      </w:r>
    </w:p>
    <w:p w14:paraId="4F0F40A2">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第三条　采购人在政府采购活动中应当通过加强采购需求管理，落实预留采购份额、价格评审优惠、优先采购等措施，提高中小企业在政府采购中的份额，支持中小企业发展。</w:t>
      </w:r>
    </w:p>
    <w:p w14:paraId="172F78AC">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第四条　在政府采购活动中，供应商提供的货物、工程或者服务符合下列情形的，享受本办法规定的中小企业扶持政策：</w:t>
      </w:r>
    </w:p>
    <w:p w14:paraId="13350E97">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（一）在货物采购项目中，货物由中小企业制造，即货物由中小企业生产且使用该中小企业商号或者注册商标；</w:t>
      </w:r>
    </w:p>
    <w:p w14:paraId="757D81DB">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（二）在工程采购项目中，工程由中小企业承建，即工程施工单位为中小企业；</w:t>
      </w:r>
    </w:p>
    <w:p w14:paraId="6AEBA7F1">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（三）在服务采购项目中，服务由中小企业承接，即提供服务的人员为中小企业依照《中华人民共和国劳动合同法》订立劳动合同的从业人员。</w:t>
      </w:r>
    </w:p>
    <w:p w14:paraId="6D96AC47">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在货物采购项目中，供应商提供的货物既有中小企业制造货物，也有大型企业制造货物的，不享受本办法规定的中小企业扶持政策。</w:t>
      </w:r>
    </w:p>
    <w:p w14:paraId="485C1701">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以联合体形式参加政府采购活动，联合体各方均为中小企业的，联合体视同中小企业。其中，联合体各方均为小微企业的，联合体视同小微企业。</w:t>
      </w:r>
    </w:p>
    <w:p w14:paraId="0FEB5AE8">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 xml:space="preserve">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 </w:t>
      </w:r>
    </w:p>
    <w:p w14:paraId="530B2C14">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14:paraId="6EA6E523">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符合下列情形之一的，可不专门面向中小企业预留采购份额：</w:t>
      </w:r>
    </w:p>
    <w:p w14:paraId="13B162CF">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（一）法律法规和国家有关政策明确规定优先或者应当面向事业单位、社会组织等非企业主体采购的；</w:t>
      </w:r>
    </w:p>
    <w:p w14:paraId="172852AE">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（二）因确需使用不可替代的专利、专有技术，基础设施限制，或者提供特定公共服务等原因，只能从中小企业之外的供应商处采购的；</w:t>
      </w:r>
    </w:p>
    <w:p w14:paraId="00F88886">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（三）按照本办法规定预留采购份额无法确保充分供应、充分竞争，或者存在可能影响政府采购目标实现的情形；</w:t>
      </w:r>
    </w:p>
    <w:p w14:paraId="599A2FB4">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（四）框架协议采购项目；</w:t>
      </w:r>
    </w:p>
    <w:p w14:paraId="0B2500FC">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（五）省级以上人民政府财政部门规定的其他情形。</w:t>
      </w:r>
    </w:p>
    <w:p w14:paraId="25A37467">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除上述情形外，其他均为适宜由中小企业提供的情形。</w:t>
      </w:r>
    </w:p>
    <w:p w14:paraId="0AB55762">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第七条　采购限额标准以上，200万元以下的货物和服务采购项目、400万元以下的工程采购项目，适宜由中小企业提供的，采购人应当专门面向中小企业采购。</w:t>
      </w:r>
    </w:p>
    <w:p w14:paraId="69E5F469">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 xml:space="preserve">第八条　超过200万元的货物和服务采购项目、超过400万元的工程采购项目中适宜由中小企业提供的，预留该部分采购项目预算总额的30%以上专门面向中小企业采购，其中预留给小微企业的比例不低于60%。预留份额通过下列措施进行： </w:t>
      </w:r>
    </w:p>
    <w:p w14:paraId="35DE479F">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（一）将采购项目整体或者设置采购包专门面向中小企业采购；</w:t>
      </w:r>
    </w:p>
    <w:p w14:paraId="2B6E72AF">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（二）要求供应商以联合体形式参加采购活动，且联合体中中小企业承担的部分达到一定比例；</w:t>
      </w:r>
    </w:p>
    <w:p w14:paraId="473267D5">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（三）要求获得采购合同的供应商将采购项目中的一定比例分包给一家或者多家中小企业。</w:t>
      </w:r>
    </w:p>
    <w:p w14:paraId="73C6426C">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组成联合体或者接受分包合同的中小企业与联合体内其他企业、分包企业之间不得存在直接控股、管理关系。</w:t>
      </w:r>
    </w:p>
    <w:p w14:paraId="17EF2698">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第九条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4CA84459">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14:paraId="6E52EDD6">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14:paraId="7E7B0CF8">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第十条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14:paraId="51AD8B64">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第十一条　中小企业参加政府采购活动，应当出具本办法规定的《中小企业声明函》（附1），否则不得享受相关中小企业扶持政策。任何单位和个人不得要求供应商提供《中小企业声明函》之外的中小企业身份证明文件。</w:t>
      </w:r>
    </w:p>
    <w:p w14:paraId="09C95A91">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第十二条　采购项目涉及中小企业采购的，采购文件应当明确以下内容：</w:t>
      </w:r>
    </w:p>
    <w:p w14:paraId="0CA41AFC">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（一）预留份额的采购项目或者采购包，明确该项目或相关采购包专门面向中小企业采购，以及相关标的及预算金额；</w:t>
      </w:r>
    </w:p>
    <w:p w14:paraId="0EABF2C4">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（二）要求以联合体形式参加或者合同分包的，明确联合协议或者分包意向协议中中小企业合同金额应当达到的比例，并作为供应商资格条件；</w:t>
      </w:r>
    </w:p>
    <w:p w14:paraId="758D0C09">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（三）非预留份额的采购项目或者采购包，明确有关价格扣除比例或者价格分加分比例；</w:t>
      </w:r>
    </w:p>
    <w:p w14:paraId="3F13B65F">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（四）规定依据本办法规定享受扶持政策获得政府采购合同的，小微企业不得将合同分包给大中型企业，中型企业不得将合同分包给大型企业；</w:t>
      </w:r>
    </w:p>
    <w:p w14:paraId="72483326">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（五）采购人认为具备相关条件的，明确对中小企业在资金支付期限、预付款比例等方面的优惠措施；</w:t>
      </w:r>
    </w:p>
    <w:p w14:paraId="56DF346F">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（六）明确采购标的对应的中小企业划分标准所属行业；</w:t>
      </w:r>
    </w:p>
    <w:p w14:paraId="4BEB7B70">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（七）法律法规和省级以上人民政府财政部门规定的其他事项。</w:t>
      </w:r>
    </w:p>
    <w:p w14:paraId="23EB4DDB">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第十三条　中标、成交供应商享受本办法规定的中小企业扶持政策的，采购人、采购代理机构应当随中标、成交结果公开中标、成交供应商的《中小企业声明函》。</w:t>
      </w:r>
    </w:p>
    <w:p w14:paraId="1516A00E">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适用招标投标法的政府采购工程建设项目，应当在公示中标候选人时公开中标候选人的《中小企业声明函》。</w:t>
      </w:r>
    </w:p>
    <w:p w14:paraId="2006F63B">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第十四　条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4620F14D">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第十五条　鼓励各地区、各部门在采购活动中允许中小企业引入信用担保手段，为中小企业在投标（响应）保证、履约保证等方面提供专业化服务。鼓励中小企业依法合规通过政府采购合同融资。</w:t>
      </w:r>
    </w:p>
    <w:p w14:paraId="78D5F5D4">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第十六条　政府采购监督检查、投诉处理及政府采购行政处罚中对中小企业的认定，由货物制造商或者工程、服务供应商注册登记所在地的县级以上人民政府中小企业主管部门负责。</w:t>
      </w:r>
    </w:p>
    <w:p w14:paraId="4344C492">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中小企业主管部门应当在收到财政部门或者有关招标投标行政监督部门关于协助开展中小企业认定函后10个工作日内做出书面答复。</w:t>
      </w:r>
    </w:p>
    <w:p w14:paraId="4035E6F0">
      <w:pPr>
        <w:tabs>
          <w:tab w:val="left" w:pos="720"/>
        </w:tabs>
        <w:spacing w:line="288" w:lineRule="auto"/>
        <w:ind w:firstLine="604" w:firstLineChars="240"/>
        <w:rPr>
          <w:rFonts w:hint="eastAsia" w:ascii="宋体" w:hAnsi="宋体"/>
          <w:spacing w:val="6"/>
          <w:sz w:val="24"/>
        </w:rPr>
      </w:pPr>
    </w:p>
    <w:p w14:paraId="6EE94D1E">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第十七条　各地区、各部门应当对涉及中小企业采购的预算项目实施全过程绩效管理，合理设置绩效目标和指标，落实扶持中小企业有关政策要求，定期开展绩效监控和评价，强化绩效评价结果应用。</w:t>
      </w:r>
    </w:p>
    <w:p w14:paraId="07406021">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第十八条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14:paraId="4BB47893">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14:paraId="65828E25">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第二十条　供应商按照本办法规定提供声明函内容不实的，属于提供虚假材料谋取中标、成交，依照《中华人民共和国政府采购法》等国家有关规定追究相应责任。</w:t>
      </w:r>
    </w:p>
    <w:p w14:paraId="5C940D1D">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适用招标投标法的政府采购工程建设项目，投标人按照本办法规定提供声明函内容不实的，属于弄虚作假骗取中标，依照《中华人民共和国招标投标法》等国家有关规定追究相应责任。</w:t>
      </w:r>
    </w:p>
    <w:p w14:paraId="36C7EC0D">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14:paraId="2EB77262">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第二十二条　对外援助项目、国家相关资格或者资质管理制度另有规定的项目，不适用本办法。</w:t>
      </w:r>
    </w:p>
    <w:p w14:paraId="4EABF444">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第二十三条　关于视同中小企业的其他主体的政府采购扶持政策，由财政部会同有关部门另行规定。</w:t>
      </w:r>
    </w:p>
    <w:p w14:paraId="35C6A64D">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第二十四条　省级财政部门可以会同中小企业主管部门根据本办法的规定制定具体实施办法。</w:t>
      </w:r>
    </w:p>
    <w:p w14:paraId="20E6AA65">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第二十五条　本办法自2021年1月1日起施行。《财政部工业和信息化部关于印发〈政府采购促进中小企业发展暂行办法〉的通知》（财库﹝2011﹞181号）同时废止。</w:t>
      </w:r>
    </w:p>
    <w:p w14:paraId="4C23B70A">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附：</w:t>
      </w:r>
    </w:p>
    <w:p w14:paraId="1131C604">
      <w:pPr>
        <w:tabs>
          <w:tab w:val="left" w:pos="720"/>
        </w:tabs>
        <w:spacing w:line="288" w:lineRule="auto"/>
        <w:ind w:firstLine="604" w:firstLineChars="240"/>
        <w:rPr>
          <w:rFonts w:hint="eastAsia" w:ascii="宋体" w:hAnsi="宋体"/>
          <w:spacing w:val="6"/>
          <w:sz w:val="24"/>
        </w:rPr>
      </w:pPr>
      <w:r>
        <w:rPr>
          <w:rFonts w:hint="eastAsia" w:ascii="宋体" w:hAnsi="宋体"/>
          <w:spacing w:val="6"/>
          <w:sz w:val="24"/>
        </w:rPr>
        <w:t>1.中小企业声明函</w:t>
      </w:r>
    </w:p>
    <w:p w14:paraId="3D863097">
      <w:pPr>
        <w:spacing w:line="288" w:lineRule="auto"/>
        <w:rPr>
          <w:rFonts w:hint="eastAsia" w:ascii="宋体" w:hAnsi="宋体"/>
          <w:b/>
          <w:sz w:val="24"/>
        </w:rPr>
      </w:pPr>
    </w:p>
    <w:p w14:paraId="6002DFFA">
      <w:pPr>
        <w:spacing w:line="288" w:lineRule="auto"/>
        <w:ind w:left="750" w:leftChars="357" w:firstLine="4080" w:firstLineChars="1700"/>
        <w:rPr>
          <w:rFonts w:hint="eastAsia" w:ascii="宋体" w:hAnsi="宋体"/>
          <w:spacing w:val="6"/>
          <w:sz w:val="24"/>
        </w:rPr>
      </w:pPr>
      <w:r>
        <w:rPr>
          <w:rFonts w:ascii="宋体" w:hAnsi="宋体"/>
          <w:kern w:val="0"/>
          <w:sz w:val="24"/>
        </w:rPr>
        <w:t>财政部 工业和信息化部</w:t>
      </w:r>
    </w:p>
    <w:p w14:paraId="695772D4">
      <w:pPr>
        <w:spacing w:line="288" w:lineRule="auto"/>
        <w:ind w:right="480" w:firstLine="4800" w:firstLineChars="2000"/>
        <w:rPr>
          <w:rFonts w:hint="eastAsia" w:ascii="宋体" w:hAnsi="宋体"/>
          <w:kern w:val="0"/>
          <w:sz w:val="24"/>
        </w:rPr>
      </w:pPr>
      <w:r>
        <w:rPr>
          <w:rFonts w:ascii="宋体" w:hAnsi="宋体"/>
          <w:kern w:val="0"/>
          <w:sz w:val="24"/>
        </w:rPr>
        <w:t>二○二○年十二月</w:t>
      </w:r>
      <w:r>
        <w:rPr>
          <w:rFonts w:hint="eastAsia" w:ascii="宋体" w:hAnsi="宋体"/>
          <w:kern w:val="0"/>
          <w:sz w:val="24"/>
        </w:rPr>
        <w:t>十八</w:t>
      </w:r>
      <w:r>
        <w:rPr>
          <w:rFonts w:ascii="宋体" w:hAnsi="宋体"/>
          <w:kern w:val="0"/>
          <w:sz w:val="24"/>
        </w:rPr>
        <w:t>日</w:t>
      </w:r>
    </w:p>
    <w:p w14:paraId="5ADD1644">
      <w:pPr>
        <w:spacing w:line="360" w:lineRule="auto"/>
        <w:rPr>
          <w:rFonts w:hint="eastAsia" w:ascii="宋体" w:hAnsi="宋体"/>
          <w:spacing w:val="6"/>
          <w:sz w:val="24"/>
        </w:rPr>
      </w:pPr>
      <w:r>
        <w:rPr>
          <w:rFonts w:ascii="宋体" w:hAnsi="宋体"/>
          <w:kern w:val="0"/>
          <w:sz w:val="24"/>
        </w:rPr>
        <w:br w:type="page"/>
      </w:r>
      <w:r>
        <w:rPr>
          <w:rFonts w:ascii="宋体" w:hAnsi="宋体"/>
          <w:spacing w:val="6"/>
          <w:sz w:val="24"/>
        </w:rPr>
        <w:t>附：</w:t>
      </w:r>
    </w:p>
    <w:p w14:paraId="6EAC1414">
      <w:pPr>
        <w:spacing w:line="360" w:lineRule="auto"/>
        <w:jc w:val="center"/>
        <w:rPr>
          <w:rFonts w:hint="eastAsia" w:ascii="宋体" w:hAnsi="宋体"/>
          <w:b/>
          <w:spacing w:val="6"/>
          <w:sz w:val="24"/>
        </w:rPr>
      </w:pPr>
      <w:r>
        <w:rPr>
          <w:rFonts w:ascii="宋体" w:hAnsi="宋体"/>
          <w:b/>
          <w:spacing w:val="6"/>
          <w:sz w:val="24"/>
        </w:rPr>
        <w:t>中小企业声明函</w:t>
      </w:r>
    </w:p>
    <w:p w14:paraId="5A8B3A40">
      <w:pPr>
        <w:spacing w:line="360" w:lineRule="auto"/>
        <w:rPr>
          <w:rFonts w:hint="eastAsia" w:ascii="宋体" w:hAnsi="宋体"/>
          <w:b/>
          <w:spacing w:val="6"/>
          <w:sz w:val="24"/>
        </w:rPr>
      </w:pPr>
    </w:p>
    <w:p w14:paraId="2A46942D">
      <w:pPr>
        <w:autoSpaceDE w:val="0"/>
        <w:autoSpaceDN w:val="0"/>
        <w:adjustRightInd w:val="0"/>
        <w:spacing w:line="360" w:lineRule="auto"/>
        <w:ind w:firstLine="424" w:firstLineChars="177"/>
        <w:jc w:val="left"/>
        <w:rPr>
          <w:rFonts w:hint="eastAsia" w:ascii="宋体" w:hAnsi="宋体" w:cs="仿宋"/>
          <w:kern w:val="0"/>
          <w:sz w:val="24"/>
        </w:rPr>
      </w:pPr>
      <w:r>
        <w:rPr>
          <w:rFonts w:hint="eastAsia" w:ascii="宋体" w:hAnsi="宋体" w:cs="仿宋"/>
          <w:kern w:val="0"/>
          <w:sz w:val="24"/>
        </w:rPr>
        <w:t>本公司（联合体）郑重声明，根据《政府采购促进中小企业发展管理办法》（财库</w:t>
      </w:r>
      <w:r>
        <w:rPr>
          <w:rFonts w:hint="eastAsia" w:ascii="宋体" w:hAnsi="宋体" w:cs="宋体"/>
          <w:kern w:val="0"/>
          <w:sz w:val="24"/>
        </w:rPr>
        <w:t>﹝</w:t>
      </w:r>
      <w:r>
        <w:rPr>
          <w:rFonts w:ascii="宋体" w:hAnsi="宋体" w:cs="仿宋"/>
          <w:kern w:val="0"/>
          <w:sz w:val="24"/>
        </w:rPr>
        <w:t>2020</w:t>
      </w:r>
      <w:r>
        <w:rPr>
          <w:rFonts w:hint="eastAsia" w:ascii="宋体" w:hAnsi="宋体" w:cs="宋体"/>
          <w:kern w:val="0"/>
          <w:sz w:val="24"/>
        </w:rPr>
        <w:t>﹞</w:t>
      </w:r>
      <w:r>
        <w:rPr>
          <w:rFonts w:ascii="宋体" w:hAnsi="宋体" w:cs="仿宋"/>
          <w:kern w:val="0"/>
          <w:sz w:val="24"/>
        </w:rPr>
        <w:t xml:space="preserve">46 </w:t>
      </w:r>
      <w:r>
        <w:rPr>
          <w:rFonts w:hint="eastAsia" w:ascii="宋体" w:hAnsi="宋体" w:cs="仿宋"/>
          <w:kern w:val="0"/>
          <w:sz w:val="24"/>
        </w:rPr>
        <w:t>号）的规定，本公司（联合体）参加</w:t>
      </w:r>
      <w:r>
        <w:rPr>
          <w:rFonts w:hint="eastAsia" w:ascii="宋体" w:hAnsi="宋体" w:cs="仿宋"/>
          <w:i/>
          <w:iCs/>
          <w:kern w:val="0"/>
          <w:sz w:val="24"/>
          <w:u w:val="single"/>
        </w:rPr>
        <w:t>（单位名称）</w:t>
      </w:r>
      <w:r>
        <w:rPr>
          <w:rFonts w:hint="eastAsia" w:ascii="宋体" w:hAnsi="宋体" w:cs="仿宋"/>
          <w:kern w:val="0"/>
          <w:sz w:val="24"/>
        </w:rPr>
        <w:t>的</w:t>
      </w:r>
      <w:r>
        <w:rPr>
          <w:rFonts w:hint="eastAsia" w:ascii="宋体" w:hAnsi="宋体" w:cs="仿宋"/>
          <w:i/>
          <w:iCs/>
          <w:kern w:val="0"/>
          <w:sz w:val="24"/>
          <w:u w:val="single"/>
        </w:rPr>
        <w:t>（项目名称）</w:t>
      </w:r>
      <w:r>
        <w:rPr>
          <w:rFonts w:hint="eastAsia" w:ascii="宋体" w:hAnsi="宋体" w:cs="仿宋"/>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70AF3D8A">
      <w:pPr>
        <w:autoSpaceDE w:val="0"/>
        <w:autoSpaceDN w:val="0"/>
        <w:adjustRightInd w:val="0"/>
        <w:spacing w:line="360" w:lineRule="auto"/>
        <w:ind w:firstLine="424" w:firstLineChars="177"/>
        <w:jc w:val="left"/>
        <w:rPr>
          <w:rFonts w:hint="eastAsia" w:ascii="宋体" w:hAnsi="宋体" w:cs="仿宋"/>
          <w:kern w:val="0"/>
          <w:sz w:val="24"/>
        </w:rPr>
      </w:pPr>
      <w:r>
        <w:rPr>
          <w:rFonts w:ascii="宋体" w:hAnsi="宋体" w:cs="仿宋"/>
          <w:kern w:val="0"/>
          <w:sz w:val="24"/>
        </w:rPr>
        <w:t>1.</w:t>
      </w:r>
      <w:r>
        <w:rPr>
          <w:rFonts w:ascii="宋体" w:hAnsi="宋体" w:cs="仿宋"/>
          <w:kern w:val="0"/>
          <w:sz w:val="24"/>
          <w:u w:val="single"/>
        </w:rPr>
        <w:t xml:space="preserve"> </w:t>
      </w:r>
      <w:r>
        <w:rPr>
          <w:rFonts w:hint="eastAsia" w:ascii="宋体" w:hAnsi="宋体" w:cs="仿宋"/>
          <w:i/>
          <w:iCs/>
          <w:kern w:val="0"/>
          <w:sz w:val="24"/>
          <w:u w:val="single"/>
        </w:rPr>
        <w:t>（标的名称）</w:t>
      </w:r>
      <w:r>
        <w:rPr>
          <w:rFonts w:ascii="宋体" w:hAnsi="宋体" w:cs="仿宋"/>
          <w:kern w:val="0"/>
          <w:sz w:val="24"/>
          <w:u w:val="single"/>
        </w:rPr>
        <w:t xml:space="preserve"> </w:t>
      </w:r>
      <w:r>
        <w:rPr>
          <w:rFonts w:hint="eastAsia" w:ascii="宋体" w:hAnsi="宋体" w:cs="仿宋"/>
          <w:kern w:val="0"/>
          <w:sz w:val="24"/>
        </w:rPr>
        <w:t>，属于</w:t>
      </w:r>
      <w:r>
        <w:rPr>
          <w:rFonts w:hint="eastAsia" w:ascii="宋体" w:hAnsi="宋体" w:cs="仿宋"/>
          <w:i/>
          <w:iCs/>
          <w:kern w:val="0"/>
          <w:sz w:val="24"/>
          <w:u w:val="single"/>
        </w:rPr>
        <w:t>（采购文件中明确的所属行业）</w:t>
      </w:r>
      <w:r>
        <w:rPr>
          <w:rFonts w:hint="eastAsia" w:ascii="宋体" w:hAnsi="宋体" w:cs="仿宋"/>
          <w:kern w:val="0"/>
          <w:sz w:val="24"/>
        </w:rPr>
        <w:t>；承建（承接）企业为</w:t>
      </w:r>
      <w:r>
        <w:rPr>
          <w:rFonts w:hint="eastAsia" w:ascii="宋体" w:hAnsi="宋体" w:cs="仿宋"/>
          <w:i/>
          <w:iCs/>
          <w:kern w:val="0"/>
          <w:sz w:val="24"/>
          <w:u w:val="single"/>
        </w:rPr>
        <w:t>（企业名称）</w:t>
      </w:r>
      <w:r>
        <w:rPr>
          <w:rFonts w:hint="eastAsia" w:ascii="宋体" w:hAnsi="宋体" w:cs="仿宋"/>
          <w:kern w:val="0"/>
          <w:sz w:val="24"/>
        </w:rPr>
        <w:t>，从业人员</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人，营业收入为</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万元，资产总额为</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万元</w:t>
      </w:r>
      <w:r>
        <w:rPr>
          <w:rFonts w:ascii="宋体" w:hAnsi="宋体" w:cs="仿宋"/>
          <w:kern w:val="0"/>
          <w:sz w:val="24"/>
          <w:vertAlign w:val="superscript"/>
        </w:rPr>
        <w:t>1</w:t>
      </w:r>
      <w:r>
        <w:rPr>
          <w:rFonts w:hint="eastAsia" w:ascii="宋体" w:hAnsi="宋体" w:cs="仿宋"/>
          <w:kern w:val="0"/>
          <w:sz w:val="24"/>
        </w:rPr>
        <w:t>，属于</w:t>
      </w:r>
      <w:r>
        <w:rPr>
          <w:rFonts w:hint="eastAsia" w:ascii="宋体" w:hAnsi="宋体" w:cs="仿宋"/>
          <w:i/>
          <w:iCs/>
          <w:kern w:val="0"/>
          <w:sz w:val="24"/>
          <w:u w:val="single"/>
        </w:rPr>
        <w:t>（中型企业、小型企业、微型企业）</w:t>
      </w:r>
      <w:r>
        <w:rPr>
          <w:rFonts w:hint="eastAsia" w:ascii="宋体" w:hAnsi="宋体" w:cs="仿宋"/>
          <w:kern w:val="0"/>
          <w:sz w:val="24"/>
        </w:rPr>
        <w:t>；</w:t>
      </w:r>
    </w:p>
    <w:p w14:paraId="0DD8C402">
      <w:pPr>
        <w:autoSpaceDE w:val="0"/>
        <w:autoSpaceDN w:val="0"/>
        <w:adjustRightInd w:val="0"/>
        <w:spacing w:line="360" w:lineRule="auto"/>
        <w:ind w:firstLine="424" w:firstLineChars="177"/>
        <w:jc w:val="left"/>
        <w:rPr>
          <w:rFonts w:hint="eastAsia" w:ascii="宋体" w:hAnsi="宋体" w:cs="仿宋"/>
          <w:kern w:val="0"/>
          <w:sz w:val="24"/>
        </w:rPr>
      </w:pPr>
      <w:r>
        <w:rPr>
          <w:rFonts w:ascii="宋体" w:hAnsi="宋体" w:cs="仿宋"/>
          <w:kern w:val="0"/>
          <w:sz w:val="24"/>
        </w:rPr>
        <w:t>2.</w:t>
      </w:r>
      <w:r>
        <w:rPr>
          <w:rFonts w:ascii="宋体" w:hAnsi="宋体" w:cs="仿宋"/>
          <w:kern w:val="0"/>
          <w:sz w:val="24"/>
          <w:u w:val="single"/>
        </w:rPr>
        <w:t xml:space="preserve"> </w:t>
      </w:r>
      <w:r>
        <w:rPr>
          <w:rFonts w:hint="eastAsia" w:ascii="宋体" w:hAnsi="宋体" w:cs="仿宋"/>
          <w:i/>
          <w:iCs/>
          <w:kern w:val="0"/>
          <w:sz w:val="24"/>
          <w:u w:val="single"/>
        </w:rPr>
        <w:t>（标的名称）</w:t>
      </w:r>
      <w:r>
        <w:rPr>
          <w:rFonts w:ascii="宋体" w:hAnsi="宋体" w:cs="仿宋"/>
          <w:i/>
          <w:iCs/>
          <w:kern w:val="0"/>
          <w:sz w:val="24"/>
          <w:u w:val="single"/>
        </w:rPr>
        <w:t xml:space="preserve"> </w:t>
      </w:r>
      <w:r>
        <w:rPr>
          <w:rFonts w:hint="eastAsia" w:ascii="宋体" w:hAnsi="宋体" w:cs="仿宋"/>
          <w:kern w:val="0"/>
          <w:sz w:val="24"/>
        </w:rPr>
        <w:t>，属于</w:t>
      </w:r>
      <w:r>
        <w:rPr>
          <w:rFonts w:hint="eastAsia" w:ascii="宋体" w:hAnsi="宋体" w:cs="仿宋"/>
          <w:i/>
          <w:iCs/>
          <w:kern w:val="0"/>
          <w:sz w:val="24"/>
          <w:u w:val="single"/>
        </w:rPr>
        <w:t>（采购文件中明确的所属行业）</w:t>
      </w:r>
      <w:r>
        <w:rPr>
          <w:rFonts w:hint="eastAsia" w:ascii="宋体" w:hAnsi="宋体" w:cs="仿宋"/>
          <w:kern w:val="0"/>
          <w:sz w:val="24"/>
        </w:rPr>
        <w:t>；承建（承接）企业为</w:t>
      </w:r>
      <w:r>
        <w:rPr>
          <w:rFonts w:hint="eastAsia" w:ascii="宋体" w:hAnsi="宋体" w:cs="仿宋"/>
          <w:i/>
          <w:iCs/>
          <w:kern w:val="0"/>
          <w:sz w:val="24"/>
          <w:u w:val="single"/>
        </w:rPr>
        <w:t>（企业名称）</w:t>
      </w:r>
      <w:r>
        <w:rPr>
          <w:rFonts w:hint="eastAsia" w:ascii="宋体" w:hAnsi="宋体" w:cs="仿宋"/>
          <w:kern w:val="0"/>
          <w:sz w:val="24"/>
        </w:rPr>
        <w:t>，从业人员</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人，营业收入为</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万元，资产总额为</w:t>
      </w:r>
      <w:r>
        <w:rPr>
          <w:rFonts w:hint="eastAsia" w:ascii="宋体" w:hAnsi="宋体" w:cs="仿宋"/>
          <w:kern w:val="0"/>
          <w:sz w:val="24"/>
          <w:u w:val="single"/>
        </w:rPr>
        <w:t xml:space="preserve"> </w:t>
      </w:r>
      <w:r>
        <w:rPr>
          <w:rFonts w:ascii="宋体" w:hAnsi="宋体" w:cs="仿宋"/>
          <w:kern w:val="0"/>
          <w:sz w:val="24"/>
          <w:u w:val="single"/>
        </w:rPr>
        <w:t xml:space="preserve">  </w:t>
      </w:r>
      <w:r>
        <w:rPr>
          <w:rFonts w:hint="eastAsia" w:ascii="宋体" w:hAnsi="宋体" w:cs="仿宋"/>
          <w:kern w:val="0"/>
          <w:sz w:val="24"/>
        </w:rPr>
        <w:t>万元，属于</w:t>
      </w:r>
      <w:r>
        <w:rPr>
          <w:rFonts w:hint="eastAsia" w:ascii="宋体" w:hAnsi="宋体" w:cs="仿宋"/>
          <w:i/>
          <w:iCs/>
          <w:kern w:val="0"/>
          <w:sz w:val="24"/>
          <w:u w:val="single"/>
        </w:rPr>
        <w:t>（中型企业、小型企业、微型企业）</w:t>
      </w:r>
      <w:r>
        <w:rPr>
          <w:rFonts w:hint="eastAsia" w:ascii="宋体" w:hAnsi="宋体" w:cs="仿宋"/>
          <w:kern w:val="0"/>
          <w:sz w:val="24"/>
        </w:rPr>
        <w:t>；</w:t>
      </w:r>
    </w:p>
    <w:p w14:paraId="4FE4315B">
      <w:pPr>
        <w:autoSpaceDE w:val="0"/>
        <w:autoSpaceDN w:val="0"/>
        <w:adjustRightInd w:val="0"/>
        <w:spacing w:line="360" w:lineRule="auto"/>
        <w:ind w:firstLine="424" w:firstLineChars="177"/>
        <w:jc w:val="left"/>
        <w:rPr>
          <w:rFonts w:hint="eastAsia" w:ascii="宋体" w:hAnsi="宋体" w:cs="仿宋"/>
          <w:kern w:val="0"/>
          <w:sz w:val="24"/>
        </w:rPr>
      </w:pPr>
      <w:r>
        <w:rPr>
          <w:rFonts w:hint="eastAsia" w:ascii="宋体" w:hAnsi="宋体" w:cs="仿宋"/>
          <w:kern w:val="0"/>
          <w:sz w:val="24"/>
        </w:rPr>
        <w:t>……</w:t>
      </w:r>
    </w:p>
    <w:p w14:paraId="0046457B">
      <w:pPr>
        <w:autoSpaceDE w:val="0"/>
        <w:autoSpaceDN w:val="0"/>
        <w:adjustRightInd w:val="0"/>
        <w:spacing w:line="360" w:lineRule="auto"/>
        <w:ind w:firstLine="424" w:firstLineChars="177"/>
        <w:jc w:val="left"/>
        <w:rPr>
          <w:rFonts w:hint="eastAsia" w:ascii="宋体" w:hAnsi="宋体" w:cs="仿宋"/>
          <w:kern w:val="0"/>
          <w:sz w:val="24"/>
        </w:rPr>
      </w:pPr>
    </w:p>
    <w:p w14:paraId="22E435DC">
      <w:pPr>
        <w:autoSpaceDE w:val="0"/>
        <w:autoSpaceDN w:val="0"/>
        <w:adjustRightInd w:val="0"/>
        <w:spacing w:line="360" w:lineRule="auto"/>
        <w:ind w:firstLine="424" w:firstLineChars="177"/>
        <w:jc w:val="left"/>
        <w:rPr>
          <w:rFonts w:hint="eastAsia" w:ascii="宋体" w:hAnsi="宋体" w:cs="仿宋"/>
          <w:kern w:val="0"/>
          <w:sz w:val="24"/>
        </w:rPr>
      </w:pPr>
      <w:r>
        <w:rPr>
          <w:rFonts w:hint="eastAsia" w:ascii="宋体" w:hAnsi="宋体" w:cs="仿宋"/>
          <w:kern w:val="0"/>
          <w:sz w:val="24"/>
        </w:rPr>
        <w:t>以上企业，不属于大企业的分支机构，不存在控股股东为大企业的情形，也不存在与大企业的负责人为同一人的情形。</w:t>
      </w:r>
    </w:p>
    <w:p w14:paraId="27F2F8EA">
      <w:pPr>
        <w:autoSpaceDE w:val="0"/>
        <w:autoSpaceDN w:val="0"/>
        <w:adjustRightInd w:val="0"/>
        <w:spacing w:line="360" w:lineRule="auto"/>
        <w:ind w:firstLine="424" w:firstLineChars="177"/>
        <w:jc w:val="left"/>
        <w:rPr>
          <w:rFonts w:hint="eastAsia" w:ascii="宋体" w:hAnsi="宋体" w:cs="仿宋"/>
          <w:kern w:val="0"/>
          <w:sz w:val="24"/>
        </w:rPr>
      </w:pPr>
      <w:r>
        <w:rPr>
          <w:rFonts w:hint="eastAsia" w:ascii="宋体" w:hAnsi="宋体" w:cs="仿宋"/>
          <w:kern w:val="0"/>
          <w:sz w:val="24"/>
        </w:rPr>
        <w:t>本企业对上述声明内容的真实性负责。如有虚假，将依法承担相应责任。</w:t>
      </w:r>
    </w:p>
    <w:p w14:paraId="2F43EF84">
      <w:pPr>
        <w:autoSpaceDE w:val="0"/>
        <w:autoSpaceDN w:val="0"/>
        <w:adjustRightInd w:val="0"/>
        <w:spacing w:line="360" w:lineRule="auto"/>
        <w:ind w:firstLine="4677" w:firstLineChars="1949"/>
        <w:jc w:val="left"/>
        <w:rPr>
          <w:rFonts w:hint="eastAsia" w:ascii="宋体" w:hAnsi="宋体" w:cs="仿宋"/>
          <w:kern w:val="0"/>
          <w:sz w:val="24"/>
        </w:rPr>
      </w:pPr>
    </w:p>
    <w:p w14:paraId="5C4871DE">
      <w:pPr>
        <w:autoSpaceDE w:val="0"/>
        <w:autoSpaceDN w:val="0"/>
        <w:adjustRightInd w:val="0"/>
        <w:spacing w:line="360" w:lineRule="auto"/>
        <w:ind w:firstLine="4677" w:firstLineChars="1949"/>
        <w:jc w:val="left"/>
        <w:rPr>
          <w:rFonts w:hint="eastAsia" w:ascii="宋体" w:hAnsi="宋体" w:cs="仿宋"/>
          <w:kern w:val="0"/>
          <w:sz w:val="24"/>
        </w:rPr>
      </w:pPr>
      <w:r>
        <w:rPr>
          <w:rFonts w:hint="eastAsia" w:ascii="宋体" w:hAnsi="宋体" w:cs="仿宋"/>
          <w:kern w:val="0"/>
          <w:sz w:val="24"/>
        </w:rPr>
        <w:t>企业名称（盖章）：</w:t>
      </w:r>
    </w:p>
    <w:p w14:paraId="62454676">
      <w:pPr>
        <w:autoSpaceDE w:val="0"/>
        <w:autoSpaceDN w:val="0"/>
        <w:adjustRightInd w:val="0"/>
        <w:spacing w:line="360" w:lineRule="auto"/>
        <w:ind w:firstLine="4677" w:firstLineChars="1949"/>
        <w:jc w:val="left"/>
        <w:rPr>
          <w:rFonts w:hint="eastAsia" w:ascii="宋体" w:hAnsi="宋体" w:cs="仿宋"/>
          <w:kern w:val="0"/>
          <w:sz w:val="24"/>
        </w:rPr>
      </w:pPr>
      <w:r>
        <w:rPr>
          <w:rFonts w:hint="eastAsia" w:ascii="宋体" w:hAnsi="宋体" w:cs="仿宋"/>
          <w:kern w:val="0"/>
          <w:sz w:val="24"/>
        </w:rPr>
        <w:t>日期：</w:t>
      </w:r>
    </w:p>
    <w:p w14:paraId="16ACFD87">
      <w:pPr>
        <w:spacing w:line="588" w:lineRule="exact"/>
        <w:jc w:val="center"/>
        <w:rPr>
          <w:rFonts w:ascii="TimesNewRomanPSMT" w:eastAsia="TimesNewRomanPSMT" w:cs="TimesNewRomanPSMT"/>
          <w:kern w:val="0"/>
          <w:sz w:val="12"/>
          <w:szCs w:val="12"/>
        </w:rPr>
      </w:pPr>
      <w:r>
        <w:rPr>
          <w:rFonts w:ascii="TimesNewRomanPSMT" w:eastAsia="TimesNewRomanPSMT" w:cs="TimesNewRomanPSMT"/>
          <w:kern w:val="0"/>
          <w:sz w:val="12"/>
          <w:szCs w:val="12"/>
        </w:rPr>
        <w:pict>
          <v:rect id="_x0000_i1027" o:spt="1" style="height:1pt;width:166.55pt;" fillcolor="#A0A0A0" filled="t" stroked="f" coordsize="21600,21600" o:hr="t" o:hrstd="t" o:hrpct="401">
            <v:path/>
            <v:fill on="t" focussize="0,0"/>
            <v:stroke on="f"/>
            <v:imagedata o:title=""/>
            <o:lock v:ext="edit"/>
            <w10:wrap type="none"/>
            <w10:anchorlock/>
          </v:rect>
        </w:pict>
      </w:r>
    </w:p>
    <w:p w14:paraId="0586E3A9">
      <w:pPr>
        <w:jc w:val="left"/>
        <w:rPr>
          <w:rFonts w:hint="eastAsia" w:ascii="宋体" w:hAnsi="宋体" w:cs="宋体"/>
          <w:b/>
          <w:bCs/>
          <w:sz w:val="18"/>
          <w:szCs w:val="18"/>
        </w:rPr>
      </w:pPr>
      <w:r>
        <w:rPr>
          <w:rFonts w:ascii="TimesNewRomanPSMT" w:eastAsia="TimesNewRomanPSMT" w:cs="TimesNewRomanPSMT"/>
          <w:kern w:val="0"/>
          <w:sz w:val="18"/>
          <w:szCs w:val="18"/>
          <w:vertAlign w:val="superscript"/>
        </w:rPr>
        <w:t xml:space="preserve">1 </w:t>
      </w:r>
      <w:r>
        <w:rPr>
          <w:rFonts w:hint="eastAsia" w:ascii="宋体" w:cs="宋体"/>
          <w:kern w:val="0"/>
          <w:sz w:val="18"/>
          <w:szCs w:val="18"/>
        </w:rPr>
        <w:t>从业人员、营业收入、资产总额填报上一年度数据，无上一年度数据的新成立企业可不填报。</w:t>
      </w:r>
    </w:p>
    <w:p w14:paraId="22D8860A">
      <w:pPr>
        <w:pStyle w:val="75"/>
        <w:spacing w:line="360" w:lineRule="auto"/>
        <w:jc w:val="center"/>
        <w:rPr>
          <w:rFonts w:hint="eastAsia" w:ascii="宋体" w:hAnsi="宋体"/>
        </w:rPr>
      </w:pPr>
      <w:r>
        <w:rPr>
          <w:rFonts w:ascii="宋体" w:hAnsi="宋体"/>
          <w:spacing w:val="6"/>
        </w:rPr>
        <w:br w:type="page"/>
      </w:r>
      <w:r>
        <w:rPr>
          <w:rStyle w:val="84"/>
          <w:rFonts w:ascii="宋体" w:hAnsi="宋体"/>
        </w:rPr>
        <w:t>中小企业划型标准规定</w:t>
      </w:r>
    </w:p>
    <w:p w14:paraId="679AF796">
      <w:pPr>
        <w:pStyle w:val="75"/>
        <w:spacing w:line="288" w:lineRule="auto"/>
        <w:rPr>
          <w:rFonts w:hint="eastAsia" w:ascii="宋体" w:hAnsi="宋体"/>
        </w:rPr>
      </w:pPr>
      <w:r>
        <w:rPr>
          <w:rFonts w:ascii="宋体" w:hAnsi="宋体"/>
        </w:rPr>
        <w:t> 　一、根据《中华人民共和国中小企业促进法》和《国务院关于进一步促进中小企业发展的若干意见》(国发〔2009〕36号)，制定本规定。</w:t>
      </w:r>
    </w:p>
    <w:p w14:paraId="3F191A0C">
      <w:pPr>
        <w:pStyle w:val="75"/>
        <w:spacing w:line="288" w:lineRule="auto"/>
        <w:rPr>
          <w:rFonts w:hint="eastAsia" w:ascii="宋体" w:hAnsi="宋体"/>
        </w:rPr>
      </w:pPr>
      <w:r>
        <w:rPr>
          <w:rFonts w:ascii="宋体" w:hAnsi="宋体"/>
        </w:rPr>
        <w:t>　　二、中小企业划分为中型、小型、微型三种类型，具体标准根据企业从业人员、营业收入、资产总额等指标，结合行业特点制定。</w:t>
      </w:r>
    </w:p>
    <w:p w14:paraId="41090F0F">
      <w:pPr>
        <w:pStyle w:val="75"/>
        <w:spacing w:line="288" w:lineRule="auto"/>
        <w:rPr>
          <w:rFonts w:hint="eastAsia" w:ascii="宋体" w:hAnsi="宋体"/>
        </w:rPr>
      </w:pPr>
      <w:r>
        <w:rPr>
          <w:rFonts w:ascii="宋体" w:hAnsi="宋体"/>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13937DFB">
      <w:pPr>
        <w:pStyle w:val="75"/>
        <w:spacing w:line="288" w:lineRule="auto"/>
        <w:rPr>
          <w:rFonts w:hint="eastAsia" w:ascii="宋体" w:hAnsi="宋体"/>
        </w:rPr>
      </w:pPr>
      <w:r>
        <w:rPr>
          <w:rFonts w:ascii="宋体" w:hAnsi="宋体"/>
        </w:rPr>
        <w:t>　　四、各行业划型标准为：</w:t>
      </w:r>
    </w:p>
    <w:p w14:paraId="1C54BD42">
      <w:pPr>
        <w:pStyle w:val="75"/>
        <w:spacing w:line="288" w:lineRule="auto"/>
        <w:rPr>
          <w:rFonts w:hint="eastAsia" w:ascii="宋体" w:hAnsi="宋体"/>
        </w:rPr>
      </w:pPr>
      <w:r>
        <w:rPr>
          <w:rFonts w:ascii="宋体" w:hAnsi="宋体"/>
        </w:rPr>
        <w:t>　　（一）农、林、牧、渔业。营业收入20000万元以下的为中小微型企业。其中，营业收入500万元及以上的为中型企业，营业收入50万元及以上的为小型企业，营业收入50万元以下的为微型企业。</w:t>
      </w:r>
    </w:p>
    <w:p w14:paraId="79ED53DB">
      <w:pPr>
        <w:pStyle w:val="75"/>
        <w:spacing w:line="288" w:lineRule="auto"/>
        <w:rPr>
          <w:rFonts w:hint="eastAsia" w:ascii="宋体" w:hAnsi="宋体"/>
        </w:rPr>
      </w:pPr>
      <w:r>
        <w:rPr>
          <w:rFonts w:ascii="宋体" w:hAnsi="宋体"/>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20B6F252">
      <w:pPr>
        <w:pStyle w:val="75"/>
        <w:spacing w:line="288" w:lineRule="auto"/>
        <w:rPr>
          <w:rFonts w:hint="eastAsia" w:ascii="宋体" w:hAnsi="宋体"/>
        </w:rPr>
      </w:pPr>
      <w:r>
        <w:rPr>
          <w:rFonts w:ascii="宋体" w:hAnsi="宋体"/>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57AEDB6">
      <w:pPr>
        <w:pStyle w:val="75"/>
        <w:spacing w:line="288" w:lineRule="auto"/>
        <w:rPr>
          <w:rFonts w:hint="eastAsia" w:ascii="宋体" w:hAnsi="宋体"/>
        </w:rPr>
      </w:pPr>
      <w:r>
        <w:rPr>
          <w:rFonts w:ascii="宋体" w:hAnsi="宋体"/>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77FE2240">
      <w:pPr>
        <w:pStyle w:val="75"/>
        <w:spacing w:line="288" w:lineRule="auto"/>
        <w:rPr>
          <w:rFonts w:hint="eastAsia" w:ascii="宋体" w:hAnsi="宋体"/>
        </w:rPr>
      </w:pPr>
      <w:r>
        <w:rPr>
          <w:rFonts w:ascii="宋体" w:hAnsi="宋体"/>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6B74E7DC">
      <w:pPr>
        <w:pStyle w:val="75"/>
        <w:spacing w:line="288" w:lineRule="auto"/>
        <w:rPr>
          <w:rFonts w:hint="eastAsia" w:ascii="宋体" w:hAnsi="宋体"/>
        </w:rPr>
      </w:pPr>
      <w:r>
        <w:rPr>
          <w:rFonts w:ascii="宋体" w:hAnsi="宋体"/>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7EEFD170">
      <w:pPr>
        <w:pStyle w:val="75"/>
        <w:spacing w:line="288" w:lineRule="auto"/>
        <w:rPr>
          <w:rFonts w:hint="eastAsia" w:ascii="宋体" w:hAnsi="宋体"/>
        </w:rPr>
      </w:pPr>
      <w:r>
        <w:rPr>
          <w:rFonts w:ascii="宋体" w:hAnsi="宋体"/>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5142B2E4">
      <w:pPr>
        <w:pStyle w:val="75"/>
        <w:spacing w:line="288" w:lineRule="auto"/>
        <w:rPr>
          <w:rFonts w:hint="eastAsia" w:ascii="宋体" w:hAnsi="宋体"/>
        </w:rPr>
      </w:pPr>
      <w:r>
        <w:rPr>
          <w:rFonts w:ascii="宋体" w:hAnsi="宋体"/>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06D5C2C0">
      <w:pPr>
        <w:pStyle w:val="75"/>
        <w:spacing w:line="288" w:lineRule="auto"/>
        <w:rPr>
          <w:rFonts w:hint="eastAsia" w:ascii="宋体" w:hAnsi="宋体"/>
        </w:rPr>
      </w:pPr>
      <w:r>
        <w:rPr>
          <w:rFonts w:ascii="宋体" w:hAnsi="宋体"/>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519D0522">
      <w:pPr>
        <w:pStyle w:val="75"/>
        <w:spacing w:line="288" w:lineRule="auto"/>
        <w:rPr>
          <w:rFonts w:hint="eastAsia" w:ascii="宋体" w:hAnsi="宋体"/>
        </w:rPr>
      </w:pPr>
      <w:r>
        <w:rPr>
          <w:rFonts w:ascii="宋体" w:hAnsi="宋体"/>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FDACAD6">
      <w:pPr>
        <w:pStyle w:val="75"/>
        <w:spacing w:line="288" w:lineRule="auto"/>
        <w:rPr>
          <w:rFonts w:hint="eastAsia" w:ascii="宋体" w:hAnsi="宋体"/>
        </w:rPr>
      </w:pPr>
      <w:r>
        <w:rPr>
          <w:rFonts w:ascii="宋体" w:hAnsi="宋体"/>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57A43348">
      <w:pPr>
        <w:pStyle w:val="75"/>
        <w:spacing w:line="288" w:lineRule="auto"/>
        <w:rPr>
          <w:rFonts w:hint="eastAsia" w:ascii="宋体" w:hAnsi="宋体"/>
        </w:rPr>
      </w:pPr>
      <w:r>
        <w:rPr>
          <w:rFonts w:ascii="宋体" w:hAnsi="宋体"/>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1502C32">
      <w:pPr>
        <w:pStyle w:val="75"/>
        <w:spacing w:line="288" w:lineRule="auto"/>
        <w:rPr>
          <w:rFonts w:hint="eastAsia" w:ascii="宋体" w:hAnsi="宋体"/>
        </w:rPr>
      </w:pPr>
      <w:r>
        <w:rPr>
          <w:rFonts w:ascii="宋体" w:hAnsi="宋体"/>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0BBC483E">
      <w:pPr>
        <w:pStyle w:val="75"/>
        <w:spacing w:line="288" w:lineRule="auto"/>
        <w:rPr>
          <w:rFonts w:hint="eastAsia" w:ascii="宋体" w:hAnsi="宋体"/>
        </w:rPr>
      </w:pPr>
      <w:r>
        <w:rPr>
          <w:rFonts w:ascii="宋体" w:hAnsi="宋体"/>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512C3057">
      <w:pPr>
        <w:pStyle w:val="75"/>
        <w:spacing w:line="288" w:lineRule="auto"/>
        <w:rPr>
          <w:rFonts w:hint="eastAsia" w:ascii="宋体" w:hAnsi="宋体"/>
        </w:rPr>
      </w:pPr>
      <w:r>
        <w:rPr>
          <w:rFonts w:ascii="宋体" w:hAnsi="宋体"/>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27474DD4">
      <w:pPr>
        <w:pStyle w:val="75"/>
        <w:spacing w:line="288" w:lineRule="auto"/>
        <w:rPr>
          <w:rFonts w:hint="eastAsia" w:ascii="宋体" w:hAnsi="宋体"/>
        </w:rPr>
      </w:pPr>
      <w:r>
        <w:rPr>
          <w:rFonts w:ascii="宋体" w:hAnsi="宋体"/>
        </w:rPr>
        <w:t>　　（十六）其他未列明行业。从业人员300人以下的为中小微型企业。其中，从业人员100人及以上的为中型企业；从业人员10人及以上的为小型企业；从业人员10人以下的为微型企业。</w:t>
      </w:r>
    </w:p>
    <w:p w14:paraId="758177C8">
      <w:pPr>
        <w:pStyle w:val="75"/>
        <w:spacing w:line="288" w:lineRule="auto"/>
        <w:rPr>
          <w:rFonts w:hint="eastAsia" w:ascii="宋体" w:hAnsi="宋体"/>
        </w:rPr>
      </w:pPr>
      <w:r>
        <w:rPr>
          <w:rFonts w:ascii="宋体" w:hAnsi="宋体"/>
        </w:rPr>
        <w:t>　　五、企业类型的划分以统计部门的统计数据为依据。</w:t>
      </w:r>
    </w:p>
    <w:p w14:paraId="02DD3596">
      <w:pPr>
        <w:pStyle w:val="75"/>
        <w:spacing w:line="288" w:lineRule="auto"/>
        <w:rPr>
          <w:rFonts w:hint="eastAsia" w:ascii="宋体" w:hAnsi="宋体"/>
        </w:rPr>
      </w:pPr>
      <w:r>
        <w:rPr>
          <w:rFonts w:ascii="宋体" w:hAnsi="宋体"/>
        </w:rPr>
        <w:t>　　六、本规定适用于在中华人民共和国境内依法设立的各类所有制和各种组织形式的企业。个体工商户和本规定以外的行业，参照本规定进行划型。</w:t>
      </w:r>
    </w:p>
    <w:p w14:paraId="7B5D6DC4">
      <w:pPr>
        <w:pStyle w:val="75"/>
        <w:spacing w:line="288" w:lineRule="auto"/>
        <w:rPr>
          <w:rFonts w:hint="eastAsia" w:ascii="宋体" w:hAnsi="宋体"/>
        </w:rPr>
      </w:pPr>
      <w:r>
        <w:rPr>
          <w:rFonts w:ascii="宋体" w:hAnsi="宋体"/>
        </w:rPr>
        <w:t>　　七、本规定的中型企业标准上限即为大型企业标准的下限，国家统计部门据此制定大中小微型企业的统计分类。国务院有关部门据此进行相关数据分析，不得制定与本规定不一致的企业划型标准。</w:t>
      </w:r>
    </w:p>
    <w:p w14:paraId="4A48F3D6">
      <w:pPr>
        <w:pStyle w:val="75"/>
        <w:spacing w:line="288" w:lineRule="auto"/>
        <w:rPr>
          <w:rFonts w:hint="eastAsia" w:ascii="宋体" w:hAnsi="宋体"/>
        </w:rPr>
      </w:pPr>
      <w:r>
        <w:rPr>
          <w:rFonts w:ascii="宋体" w:hAnsi="宋体"/>
        </w:rPr>
        <w:t>　　八、本规定由工业和信息化部、国家统计局会同有关部门根据《国民经济行业分类》修订情况和企业发展变化情况适时修订。</w:t>
      </w:r>
    </w:p>
    <w:p w14:paraId="6BBF3E6B">
      <w:pPr>
        <w:pStyle w:val="75"/>
        <w:spacing w:line="288" w:lineRule="auto"/>
        <w:rPr>
          <w:rFonts w:hint="eastAsia" w:ascii="宋体" w:hAnsi="宋体"/>
        </w:rPr>
      </w:pPr>
      <w:r>
        <w:rPr>
          <w:rFonts w:ascii="宋体" w:hAnsi="宋体"/>
        </w:rPr>
        <w:t>　　九、本规定由工业和信息化部、国家统计局会同有关部门负责解释。</w:t>
      </w:r>
    </w:p>
    <w:p w14:paraId="22CA7B5F">
      <w:pPr>
        <w:pStyle w:val="75"/>
        <w:spacing w:line="288" w:lineRule="auto"/>
        <w:rPr>
          <w:rFonts w:hint="eastAsia" w:ascii="宋体" w:hAnsi="宋体"/>
        </w:rPr>
      </w:pPr>
      <w:r>
        <w:rPr>
          <w:rFonts w:ascii="宋体" w:hAnsi="宋体"/>
        </w:rPr>
        <w:t>　　十、本规定自发布之日起执行，原国家经贸委、原国家计委、财政部和国家统计局2003年颁布的《中小企业标准暂行规定》同时废止。</w:t>
      </w:r>
    </w:p>
    <w:p w14:paraId="4CEB9F96">
      <w:pPr>
        <w:spacing w:line="288" w:lineRule="auto"/>
        <w:rPr>
          <w:rFonts w:hint="eastAsia" w:ascii="宋体" w:hAnsi="宋体"/>
          <w:sz w:val="24"/>
        </w:rPr>
      </w:pPr>
    </w:p>
    <w:p w14:paraId="0656208D">
      <w:pPr>
        <w:spacing w:line="288" w:lineRule="auto"/>
        <w:jc w:val="right"/>
        <w:rPr>
          <w:rFonts w:hint="eastAsia" w:ascii="宋体" w:hAnsi="宋体"/>
          <w:sz w:val="24"/>
        </w:rPr>
      </w:pPr>
      <w:r>
        <w:rPr>
          <w:rFonts w:ascii="宋体" w:hAnsi="宋体"/>
          <w:sz w:val="24"/>
        </w:rPr>
        <w:t>工业和信息化部   国家统计局</w:t>
      </w:r>
    </w:p>
    <w:p w14:paraId="312B79A5">
      <w:pPr>
        <w:tabs>
          <w:tab w:val="left" w:pos="8280"/>
        </w:tabs>
        <w:spacing w:line="288" w:lineRule="auto"/>
        <w:jc w:val="right"/>
        <w:rPr>
          <w:rFonts w:hint="eastAsia" w:ascii="宋体" w:hAnsi="宋体"/>
          <w:sz w:val="24"/>
        </w:rPr>
      </w:pPr>
      <w:r>
        <w:rPr>
          <w:rFonts w:ascii="宋体" w:hAnsi="宋体"/>
          <w:sz w:val="24"/>
        </w:rPr>
        <w:t>国家发展和改革委员会  财政部</w:t>
      </w:r>
    </w:p>
    <w:p w14:paraId="6BE68029">
      <w:pPr>
        <w:spacing w:line="360" w:lineRule="auto"/>
        <w:jc w:val="right"/>
        <w:rPr>
          <w:rFonts w:hint="eastAsia" w:ascii="宋体" w:hAnsi="宋体"/>
          <w:sz w:val="24"/>
        </w:rPr>
      </w:pPr>
      <w:r>
        <w:rPr>
          <w:rFonts w:ascii="宋体" w:hAnsi="宋体"/>
          <w:sz w:val="24"/>
        </w:rPr>
        <w:t>二〇一一年六月十八日</w:t>
      </w:r>
    </w:p>
    <w:p w14:paraId="04CFA134">
      <w:pPr>
        <w:spacing w:line="360" w:lineRule="auto"/>
        <w:jc w:val="right"/>
        <w:rPr>
          <w:rFonts w:hint="eastAsia" w:ascii="宋体" w:hAnsi="宋体"/>
          <w:sz w:val="24"/>
        </w:rPr>
      </w:pPr>
    </w:p>
    <w:p w14:paraId="2C68088E">
      <w:pPr>
        <w:spacing w:line="360" w:lineRule="auto"/>
        <w:jc w:val="right"/>
        <w:rPr>
          <w:rFonts w:hint="eastAsia" w:ascii="宋体" w:hAnsi="宋体"/>
          <w:sz w:val="24"/>
        </w:rPr>
      </w:pPr>
    </w:p>
    <w:p w14:paraId="2E1D000F">
      <w:pPr>
        <w:spacing w:line="360" w:lineRule="auto"/>
        <w:jc w:val="right"/>
        <w:rPr>
          <w:rFonts w:hint="eastAsia" w:ascii="宋体" w:hAnsi="宋体"/>
          <w:sz w:val="24"/>
        </w:rPr>
      </w:pPr>
    </w:p>
    <w:p w14:paraId="29981C70">
      <w:pPr>
        <w:spacing w:line="360" w:lineRule="auto"/>
        <w:jc w:val="right"/>
        <w:rPr>
          <w:rFonts w:hint="eastAsia" w:ascii="宋体" w:hAnsi="宋体"/>
          <w:sz w:val="24"/>
        </w:rPr>
      </w:pPr>
    </w:p>
    <w:p w14:paraId="4B87B81F">
      <w:pPr>
        <w:spacing w:line="360" w:lineRule="auto"/>
        <w:jc w:val="right"/>
        <w:rPr>
          <w:rFonts w:hint="eastAsia" w:ascii="宋体" w:hAnsi="宋体"/>
          <w:sz w:val="24"/>
        </w:rPr>
      </w:pPr>
    </w:p>
    <w:p w14:paraId="30AF6962">
      <w:pPr>
        <w:spacing w:line="360" w:lineRule="auto"/>
        <w:jc w:val="right"/>
        <w:rPr>
          <w:rFonts w:hint="eastAsia" w:ascii="宋体" w:hAnsi="宋体"/>
          <w:sz w:val="24"/>
        </w:rPr>
      </w:pPr>
    </w:p>
    <w:p w14:paraId="546AB290">
      <w:pPr>
        <w:spacing w:line="360" w:lineRule="auto"/>
        <w:jc w:val="right"/>
        <w:rPr>
          <w:rFonts w:hint="eastAsia" w:ascii="宋体" w:hAnsi="宋体"/>
          <w:sz w:val="24"/>
        </w:rPr>
      </w:pPr>
    </w:p>
    <w:p w14:paraId="1C510F9D">
      <w:pPr>
        <w:spacing w:line="360" w:lineRule="auto"/>
        <w:jc w:val="right"/>
        <w:rPr>
          <w:rFonts w:hint="eastAsia" w:ascii="宋体" w:hAnsi="宋体"/>
          <w:sz w:val="24"/>
        </w:rPr>
      </w:pPr>
    </w:p>
    <w:p w14:paraId="6CD0B095">
      <w:pPr>
        <w:spacing w:line="360" w:lineRule="auto"/>
        <w:jc w:val="right"/>
        <w:rPr>
          <w:rFonts w:hint="eastAsia" w:ascii="宋体" w:hAnsi="宋体"/>
          <w:sz w:val="24"/>
        </w:rPr>
      </w:pPr>
    </w:p>
    <w:p w14:paraId="1D1326F6">
      <w:pPr>
        <w:spacing w:line="360" w:lineRule="auto"/>
        <w:jc w:val="right"/>
        <w:rPr>
          <w:rFonts w:hint="eastAsia" w:ascii="宋体" w:hAnsi="宋体"/>
          <w:sz w:val="24"/>
        </w:rPr>
      </w:pPr>
    </w:p>
    <w:p w14:paraId="02CA7553">
      <w:pPr>
        <w:spacing w:line="360" w:lineRule="auto"/>
        <w:jc w:val="right"/>
        <w:rPr>
          <w:rFonts w:hint="eastAsia" w:ascii="宋体" w:hAnsi="宋体"/>
          <w:sz w:val="24"/>
        </w:rPr>
      </w:pPr>
    </w:p>
    <w:p w14:paraId="2C03AF58">
      <w:pPr>
        <w:spacing w:line="360" w:lineRule="auto"/>
        <w:jc w:val="right"/>
        <w:rPr>
          <w:rFonts w:hint="eastAsia" w:ascii="宋体" w:hAnsi="宋体"/>
          <w:sz w:val="24"/>
        </w:rPr>
      </w:pPr>
    </w:p>
    <w:p w14:paraId="246A93AC">
      <w:pPr>
        <w:spacing w:line="360" w:lineRule="auto"/>
        <w:jc w:val="right"/>
        <w:rPr>
          <w:rFonts w:hint="eastAsia" w:ascii="宋体" w:hAnsi="宋体"/>
          <w:sz w:val="24"/>
        </w:rPr>
      </w:pPr>
    </w:p>
    <w:sectPr>
      <w:headerReference r:id="rId24" w:type="default"/>
      <w:footerReference r:id="rId25" w:type="default"/>
      <w:pgSz w:w="11907" w:h="16840"/>
      <w:pgMar w:top="1440" w:right="1469" w:bottom="1440" w:left="1622"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Times New Roman"/>
    <w:panose1 w:val="00000000000000000000"/>
    <w:charset w:val="00"/>
    <w:family w:val="auto"/>
    <w:pitch w:val="default"/>
    <w:sig w:usb0="00000000" w:usb1="00000000" w:usb2="00000000"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华文细黑">
    <w:altName w:val="微软雅黑"/>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Plotter">
    <w:altName w:val="宋体"/>
    <w:panose1 w:val="00000000000000000000"/>
    <w:charset w:val="00"/>
    <w:family w:val="roman"/>
    <w:pitch w:val="default"/>
    <w:sig w:usb0="00000000" w:usb1="00000000" w:usb2="00000000" w:usb3="00000000" w:csb0="00000001" w:csb1="00000000"/>
  </w:font>
  <w:font w:name="Arial Narrow">
    <w:altName w:val="Arial"/>
    <w:panose1 w:val="020B0606020202030204"/>
    <w:charset w:val="00"/>
    <w:family w:val="swiss"/>
    <w:pitch w:val="default"/>
    <w:sig w:usb0="00000000" w:usb1="00000000" w:usb2="00000000" w:usb3="00000000" w:csb0="0000009F" w:csb1="00000000"/>
  </w:font>
  <w:font w:name="仿宋">
    <w:panose1 w:val="02010609060101010101"/>
    <w:charset w:val="86"/>
    <w:family w:val="modern"/>
    <w:pitch w:val="default"/>
    <w:sig w:usb0="800002BF" w:usb1="38CF7CFA" w:usb2="00000016" w:usb3="00000000" w:csb0="00040001" w:csb1="00000000"/>
  </w:font>
  <w:font w:name="Arial Black">
    <w:panose1 w:val="020B0A04020102020204"/>
    <w:charset w:val="00"/>
    <w:family w:val="swiss"/>
    <w:pitch w:val="default"/>
    <w:sig w:usb0="A00002AF" w:usb1="400078FB" w:usb2="00000000" w:usb3="00000000" w:csb0="6000009F" w:csb1="DFD7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Garamond">
    <w:altName w:val="PMingLiU-ExtB"/>
    <w:panose1 w:val="02020404030301010803"/>
    <w:charset w:val="00"/>
    <w:family w:val="roman"/>
    <w:pitch w:val="default"/>
    <w:sig w:usb0="00000000" w:usb1="00000000" w:usb2="00000000" w:usb3="00000000" w:csb0="0000009F" w:csb1="00000000"/>
  </w:font>
  <w:font w:name="Verdana">
    <w:panose1 w:val="020B0604030504040204"/>
    <w:charset w:val="00"/>
    <w:family w:val="swiss"/>
    <w:pitch w:val="default"/>
    <w:sig w:usb0="A00006FF" w:usb1="4000205B" w:usb2="00000010" w:usb3="00000000" w:csb0="2000019F" w:csb1="00000000"/>
  </w:font>
  <w:font w:name="Helvetica-Condensed-Bold">
    <w:altName w:val="黑体"/>
    <w:panose1 w:val="00000000000000000000"/>
    <w:charset w:val="86"/>
    <w:family w:val="auto"/>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Palatino Linotype">
    <w:panose1 w:val="02040502050505030304"/>
    <w:charset w:val="00"/>
    <w:family w:val="roman"/>
    <w:pitch w:val="default"/>
    <w:sig w:usb0="E0000287" w:usb1="40000013" w:usb2="00000000" w:usb3="00000000" w:csb0="2000019F" w:csb1="00000000"/>
  </w:font>
  <w:font w:name="Angsana New">
    <w:altName w:val="Microsoft Sans Serif"/>
    <w:panose1 w:val="02020603050405020304"/>
    <w:charset w:val="DE"/>
    <w:family w:val="roman"/>
    <w:pitch w:val="default"/>
    <w:sig w:usb0="00000000" w:usb1="00000000" w:usb2="00000000" w:usb3="00000000" w:csb0="00010001" w:csb1="00000000"/>
  </w:font>
  <w:font w:name="Batang">
    <w:altName w:val="Malgun Gothic"/>
    <w:panose1 w:val="02030600000101010101"/>
    <w:charset w:val="81"/>
    <w:family w:val="roman"/>
    <w:pitch w:val="default"/>
    <w:sig w:usb0="00000000" w:usb1="00000000" w:usb2="00000030" w:usb3="00000000" w:csb0="0008009F" w:csb1="00000000"/>
  </w:font>
  <w:font w:name="Futura Bk">
    <w:altName w:val="Segoe Print"/>
    <w:panose1 w:val="00000000000000000000"/>
    <w:charset w:val="00"/>
    <w:family w:val="auto"/>
    <w:pitch w:val="default"/>
    <w:sig w:usb0="00000000" w:usb1="00000000" w:usb2="00000000" w:usb3="00000000" w:csb0="000001FB" w:csb1="00000000"/>
  </w:font>
  <w:font w:name="Microsoft Sans Serif">
    <w:panose1 w:val="020B0604020202020204"/>
    <w:charset w:val="00"/>
    <w:family w:val="swiss"/>
    <w:pitch w:val="default"/>
    <w:sig w:usb0="E5002EFF" w:usb1="C000605B" w:usb2="00000029" w:usb3="00000000" w:csb0="200101FF" w:csb1="20280000"/>
  </w:font>
  <w:font w:name="Comic Sans MS">
    <w:panose1 w:val="030F0702030302020204"/>
    <w:charset w:val="00"/>
    <w:family w:val="script"/>
    <w:pitch w:val="default"/>
    <w:sig w:usb0="00000287" w:usb1="00000013" w:usb2="00000000" w:usb3="00000000" w:csb0="2000009F" w:csb1="00000000"/>
  </w:font>
  <w:font w:name="PMingLiU">
    <w:altName w:val="Microsoft JhengHei UI"/>
    <w:panose1 w:val="02010601000101010101"/>
    <w:charset w:val="88"/>
    <w:family w:val="roman"/>
    <w:pitch w:val="default"/>
    <w:sig w:usb0="00000000" w:usb1="00000000" w:usb2="00000016" w:usb3="00000000" w:csb0="00100001" w:csb1="00000000"/>
  </w:font>
  <w:font w:name="文鼎粗黑">
    <w:altName w:val="黑体"/>
    <w:panose1 w:val="00000000000000000000"/>
    <w:charset w:val="86"/>
    <w:family w:val="moder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TimesNewRomanPSMT">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5392770"/>
      <w:docPartObj>
        <w:docPartGallery w:val="autotext"/>
      </w:docPartObj>
    </w:sdtPr>
    <w:sdtContent>
      <w:p w14:paraId="1D02970B">
        <w:pPr>
          <w:pStyle w:val="51"/>
          <w:jc w:val="center"/>
        </w:pPr>
        <w:r>
          <w:fldChar w:fldCharType="begin"/>
        </w:r>
        <w:r>
          <w:instrText xml:space="preserve">PAGE   \* MERGEFORMAT</w:instrText>
        </w:r>
        <w:r>
          <w:fldChar w:fldCharType="separate"/>
        </w:r>
        <w:r>
          <w:rPr>
            <w:lang w:val="zh-CN"/>
          </w:rPr>
          <w:t>2</w:t>
        </w:r>
        <w:r>
          <w:fldChar w:fldCharType="end"/>
        </w:r>
      </w:p>
    </w:sdtContent>
  </w:sdt>
  <w:p w14:paraId="21D708DE">
    <w:pPr>
      <w:pStyle w:val="51"/>
      <w:ind w:right="360"/>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7564B">
    <w:pPr>
      <w:jc w:val="center"/>
    </w:pPr>
    <w:r>
      <w:fldChar w:fldCharType="begin"/>
    </w:r>
    <w:r>
      <w:instrText xml:space="preserve"> PAGE  \* MERGEFORMAT </w:instrText>
    </w:r>
    <w:r>
      <w:fldChar w:fldCharType="separate"/>
    </w:r>
    <w:r>
      <w:t>85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BA85A">
    <w:pPr>
      <w:pStyle w:val="51"/>
      <w:jc w:val="center"/>
    </w:pPr>
    <w:r>
      <w:fldChar w:fldCharType="begin"/>
    </w:r>
    <w:r>
      <w:rPr>
        <w:rStyle w:val="86"/>
      </w:rPr>
      <w:instrText xml:space="preserve"> PAGE </w:instrText>
    </w:r>
    <w:r>
      <w:fldChar w:fldCharType="separate"/>
    </w:r>
    <w:r>
      <w:rPr>
        <w:rStyle w:val="86"/>
      </w:rPr>
      <w:t>137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906AB">
    <w:pPr>
      <w:pStyle w:val="51"/>
      <w:jc w:val="center"/>
    </w:pPr>
    <w:r>
      <w:fldChar w:fldCharType="begin"/>
    </w:r>
    <w:r>
      <w:instrText xml:space="preserve">PAGE   \* MERGEFORMAT</w:instrText>
    </w:r>
    <w:r>
      <w:fldChar w:fldCharType="separate"/>
    </w:r>
    <w:r>
      <w:rPr>
        <w:lang w:val="zh-CN"/>
      </w:rPr>
      <w:t>31</w:t>
    </w:r>
    <w:r>
      <w:fldChar w:fldCharType="end"/>
    </w:r>
  </w:p>
  <w:p w14:paraId="7E9188DD">
    <w:pPr>
      <w:pStyle w:val="5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5086B">
    <w:pPr>
      <w:pStyle w:val="51"/>
      <w:jc w:val="center"/>
    </w:pPr>
    <w:r>
      <w:fldChar w:fldCharType="begin"/>
    </w:r>
    <w:r>
      <w:instrText xml:space="preserve">PAGE   \* MERGEFORMAT</w:instrText>
    </w:r>
    <w:r>
      <w:fldChar w:fldCharType="separate"/>
    </w:r>
    <w:r>
      <w:rPr>
        <w:lang w:val="zh-CN"/>
      </w:rPr>
      <w:t>11</w:t>
    </w:r>
    <w:r>
      <w:fldChar w:fldCharType="end"/>
    </w:r>
  </w:p>
  <w:p w14:paraId="0FB0CACA">
    <w:pPr>
      <w:pStyle w:val="51"/>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C7DA9">
    <w:pPr>
      <w:pStyle w:val="51"/>
      <w:jc w:val="center"/>
    </w:pPr>
    <w:r>
      <w:fldChar w:fldCharType="begin"/>
    </w:r>
    <w:r>
      <w:instrText xml:space="preserve">PAGE   \* MERGEFORMAT</w:instrText>
    </w:r>
    <w:r>
      <w:fldChar w:fldCharType="separate"/>
    </w:r>
    <w:r>
      <w:rPr>
        <w:lang w:val="zh-CN"/>
      </w:rPr>
      <w:t>30</w:t>
    </w:r>
    <w:r>
      <w:fldChar w:fldCharType="end"/>
    </w:r>
  </w:p>
  <w:p w14:paraId="624DB15B">
    <w:pPr>
      <w:pStyle w:val="5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7488687"/>
      <w:docPartObj>
        <w:docPartGallery w:val="autotext"/>
      </w:docPartObj>
    </w:sdtPr>
    <w:sdtContent>
      <w:p w14:paraId="4920CC7A">
        <w:pPr>
          <w:pStyle w:val="51"/>
          <w:jc w:val="center"/>
        </w:pPr>
        <w:r>
          <w:fldChar w:fldCharType="begin"/>
        </w:r>
        <w:r>
          <w:instrText xml:space="preserve">PAGE   \* MERGEFORMAT</w:instrText>
        </w:r>
        <w:r>
          <w:fldChar w:fldCharType="separate"/>
        </w:r>
        <w:r>
          <w:rPr>
            <w:lang w:val="zh-CN"/>
          </w:rPr>
          <w:t>2</w:t>
        </w:r>
        <w:r>
          <w:fldChar w:fldCharType="end"/>
        </w:r>
      </w:p>
    </w:sdtContent>
  </w:sdt>
  <w:p w14:paraId="0A5135B2">
    <w:pPr>
      <w:pStyle w:val="51"/>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6627A">
    <w:pPr>
      <w:pStyle w:val="51"/>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33</w:t>
    </w:r>
    <w:r>
      <w:rPr>
        <w:rFonts w:eastAsia="仿宋_GB2312"/>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BB04A">
    <w:pPr>
      <w:pStyle w:val="51"/>
      <w:ind w:right="360"/>
      <w:jc w:val="center"/>
    </w:pPr>
    <w:r>
      <w:fldChar w:fldCharType="begin"/>
    </w:r>
    <w:r>
      <w:rPr>
        <w:rStyle w:val="86"/>
      </w:rPr>
      <w:instrText xml:space="preserve"> PAGE </w:instrText>
    </w:r>
    <w:r>
      <w:fldChar w:fldCharType="separate"/>
    </w:r>
    <w:r>
      <w:rPr>
        <w:rStyle w:val="86"/>
      </w:rPr>
      <w:t>32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8B99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8CC31">
    <w:pPr>
      <w:pStyle w:val="51"/>
      <w:jc w:val="center"/>
    </w:pPr>
    <w:r>
      <w:fldChar w:fldCharType="begin"/>
    </w:r>
    <w:r>
      <w:instrText xml:space="preserve">PAGE   \* MERGEFORMAT</w:instrText>
    </w:r>
    <w:r>
      <w:fldChar w:fldCharType="separate"/>
    </w:r>
    <w:r>
      <w:rPr>
        <w:lang w:val="zh-CN"/>
      </w:rPr>
      <w:t>173</w:t>
    </w:r>
    <w:r>
      <w:fldChar w:fldCharType="end"/>
    </w:r>
  </w:p>
  <w:p w14:paraId="529E6099">
    <w:pPr>
      <w:pStyle w:val="5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C4BAE">
    <w:pPr>
      <w:pStyle w:val="53"/>
      <w:jc w:val="right"/>
    </w:pPr>
    <w:r>
      <w:rPr>
        <w:rFonts w:hint="eastAsia" w:hAnsi="宋体"/>
      </w:rPr>
      <w:t xml:space="preserve">                                                             竞争性磋商文件</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04A86">
    <w:pPr>
      <w:pStyle w:val="53"/>
      <w:jc w:val="right"/>
    </w:pPr>
    <w:r>
      <w:rPr>
        <w:rFonts w:hint="eastAsia" w:hAnsi="宋体"/>
      </w:rPr>
      <w:t xml:space="preserve"> 竞争性磋商</w:t>
    </w:r>
    <w:r>
      <w:rPr>
        <w:rFonts w:hAnsi="宋体"/>
      </w:rPr>
      <w:t>文件</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90571">
    <w:pPr>
      <w:pStyle w:val="53"/>
      <w:jc w:val="right"/>
    </w:pPr>
    <w:r>
      <w:rPr>
        <w:rFonts w:hint="eastAsia" w:hAnsi="宋体"/>
      </w:rPr>
      <w:t xml:space="preserve"> 竞争性磋商</w:t>
    </w:r>
    <w:r>
      <w:rPr>
        <w:rFonts w:hAnsi="宋体"/>
      </w:rPr>
      <w:t>文件</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E48E9">
    <w:pPr>
      <w:spacing w:line="360" w:lineRule="auto"/>
      <w:ind w:left="-178" w:leftChars="-85" w:right="-183" w:rightChars="-87"/>
      <w:rPr>
        <w:rFonts w:hint="eastAsia" w:ascii="宋体" w:hAnsi="宋体"/>
        <w:bCs/>
        <w:color w:val="000000"/>
        <w:kern w:val="0"/>
        <w:szCs w:val="21"/>
        <w:u w:val="single"/>
      </w:rPr>
    </w:pPr>
    <w:r>
      <w:rPr>
        <w:rFonts w:hint="eastAsia" w:ascii="宋体" w:hAnsi="宋体"/>
        <w:szCs w:val="21"/>
        <w:u w:val="single"/>
      </w:rPr>
      <w:t xml:space="preserve">  </w:t>
    </w:r>
    <w:r>
      <w:rPr>
        <w:rFonts w:hint="eastAsia" w:hAnsi="宋体"/>
        <w:u w:val="single"/>
      </w:rPr>
      <w:t xml:space="preserve">                                                    </w:t>
    </w:r>
    <w:r>
      <w:rPr>
        <w:rFonts w:hAnsi="宋体"/>
        <w:u w:val="single"/>
      </w:rPr>
      <w:t xml:space="preserve">                 </w:t>
    </w:r>
    <w:r>
      <w:rPr>
        <w:rFonts w:hint="eastAsia" w:hAnsi="宋体"/>
        <w:u w:val="single"/>
      </w:rPr>
      <w:t>竞争性磋商</w:t>
    </w:r>
    <w:r>
      <w:rPr>
        <w:rFonts w:hAnsi="宋体"/>
        <w:u w:val="single"/>
      </w:rPr>
      <w:t>文件</w:t>
    </w:r>
    <w:r>
      <w:rPr>
        <w:rFonts w:hint="eastAsia" w:hAnsi="宋体"/>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6BCC0">
    <w:pPr>
      <w:pStyle w:val="53"/>
      <w:jc w:val="right"/>
    </w:pPr>
    <w:r>
      <w:rPr>
        <w:rFonts w:hint="eastAsia" w:hAnsi="宋体"/>
      </w:rPr>
      <w:t xml:space="preserve">                                                             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A5A7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A8D4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40DB9">
    <w:pPr>
      <w:pStyle w:val="53"/>
      <w:pBdr>
        <w:bottom w:val="none" w:color="auto" w:sz="0" w:space="1"/>
      </w:pBdr>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3CFA">
    <w:pPr>
      <w:pStyle w:val="53"/>
      <w:pBdr>
        <w:bottom w:val="thinThickSmallGap" w:color="auto" w:sz="12" w:space="1"/>
      </w:pBdr>
      <w:jc w:val="left"/>
    </w:pPr>
    <w:r>
      <w:t>.</w:t>
    </w:r>
    <w:r>
      <w:fldChar w:fldCharType="begin"/>
    </w:r>
    <w:r>
      <w:instrText xml:space="preserve">PAGE   \* MERGEFORMAT</w:instrText>
    </w:r>
    <w:r>
      <w:fldChar w:fldCharType="separate"/>
    </w:r>
    <w:r>
      <w:rPr>
        <w:bCs/>
      </w:rPr>
      <w:t>132</w:t>
    </w:r>
    <w:r>
      <w:rPr>
        <w:bCs/>
      </w:rPr>
      <w:fldChar w:fldCharType="end"/>
    </w:r>
    <w:r>
      <w:t>.</w:t>
    </w:r>
    <w:r>
      <w:rPr>
        <w:b/>
      </w:rPr>
      <w:t xml:space="preserve"> </w:t>
    </w:r>
    <w:r>
      <w:rPr>
        <w:rFonts w:hint="eastAsia"/>
      </w:rPr>
      <w:t>北京市房屋建筑和市政工程施工招标文件标准文本（2017版）</w:t>
    </w:r>
    <w:r>
      <w:t xml:space="preserve"> </w:t>
    </w:r>
    <w:r>
      <w:rPr>
        <w:rFonts w:hint="eastAsia"/>
      </w:rPr>
      <w:t>专用部分</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385F2">
    <w:pPr>
      <w:pStyle w:val="53"/>
      <w:pBdr>
        <w:bottom w:val="thinThickSmallGap" w:color="auto" w:sz="12" w:space="1"/>
      </w:pBdr>
      <w:jc w:val="right"/>
    </w:pPr>
    <w:r>
      <w:rPr>
        <w:rFonts w:hint="eastAsia"/>
      </w:rPr>
      <w:t>第六章</w:t>
    </w:r>
    <w:r>
      <w:t xml:space="preserve"> </w:t>
    </w:r>
    <w:r>
      <w:rPr>
        <w:rFonts w:hint="eastAsia"/>
      </w:rPr>
      <w:t>工程量清单专用部分</w:t>
    </w:r>
    <w:r>
      <w:rPr>
        <w:b/>
      </w:rPr>
      <w:t xml:space="preserve"> </w:t>
    </w:r>
    <w:r>
      <w:t>.</w:t>
    </w:r>
    <w:r>
      <w:fldChar w:fldCharType="begin"/>
    </w:r>
    <w:r>
      <w:instrText xml:space="preserve">PAGE   \* MERGEFORMAT</w:instrText>
    </w:r>
    <w:r>
      <w:fldChar w:fldCharType="separate"/>
    </w:r>
    <w:r>
      <w:rPr>
        <w:bCs/>
      </w:rPr>
      <w:t>136</w:t>
    </w:r>
    <w:r>
      <w:rPr>
        <w:bCs/>
      </w:rPr>
      <w:fldChar w:fldCharType="end"/>
    </w:r>
    <w:r>
      <w:t>.</w:t>
    </w:r>
  </w:p>
  <w:p w14:paraId="1176652A">
    <w:pPr>
      <w:pStyle w:val="53"/>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664AE5">
    <w:pPr>
      <w:pStyle w:val="53"/>
      <w:jc w:val="right"/>
    </w:pPr>
    <w:r>
      <w:rPr>
        <w:rFonts w:hint="eastAsia" w:hAnsi="宋体"/>
      </w:rPr>
      <w:t xml:space="preserve"> 竞争性磋商</w:t>
    </w:r>
    <w:r>
      <w:rPr>
        <w:rFonts w:hAnsi="宋体"/>
      </w:rPr>
      <w:t>文件</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51F00">
    <w:pPr>
      <w:pStyle w:val="53"/>
      <w:jc w:val="right"/>
    </w:pPr>
    <w:r>
      <w:rPr>
        <w:rFonts w:hint="eastAsia" w:hAnsi="宋体"/>
      </w:rPr>
      <w:t xml:space="preserve"> 竞争性磋商</w:t>
    </w:r>
    <w:r>
      <w:rPr>
        <w:rFonts w:hAnsi="宋体"/>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77F08"/>
    <w:multiLevelType w:val="singleLevel"/>
    <w:tmpl w:val="A0F77F08"/>
    <w:lvl w:ilvl="0" w:tentative="0">
      <w:start w:val="1"/>
      <w:numFmt w:val="chineseCounting"/>
      <w:suff w:val="nothing"/>
      <w:lvlText w:val="%1、"/>
      <w:lvlJc w:val="left"/>
      <w:rPr>
        <w:rFonts w:hint="eastAsia"/>
      </w:rPr>
    </w:lvl>
  </w:abstractNum>
  <w:abstractNum w:abstractNumId="1">
    <w:nsid w:val="001C68B1"/>
    <w:multiLevelType w:val="multilevel"/>
    <w:tmpl w:val="001C68B1"/>
    <w:lvl w:ilvl="0" w:tentative="0">
      <w:start w:val="1"/>
      <w:numFmt w:val="decimal"/>
      <w:lvlText w:val="%1."/>
      <w:lvlJc w:val="left"/>
      <w:pPr>
        <w:tabs>
          <w:tab w:val="left" w:pos="1066"/>
        </w:tabs>
        <w:ind w:left="1066" w:hanging="420"/>
      </w:pPr>
    </w:lvl>
    <w:lvl w:ilvl="1" w:tentative="0">
      <w:start w:val="1"/>
      <w:numFmt w:val="lowerLetter"/>
      <w:lvlText w:val="%2)"/>
      <w:lvlJc w:val="left"/>
      <w:pPr>
        <w:tabs>
          <w:tab w:val="left" w:pos="1486"/>
        </w:tabs>
        <w:ind w:left="1486" w:hanging="420"/>
      </w:pPr>
    </w:lvl>
    <w:lvl w:ilvl="2" w:tentative="0">
      <w:start w:val="1"/>
      <w:numFmt w:val="lowerRoman"/>
      <w:lvlText w:val="%3."/>
      <w:lvlJc w:val="right"/>
      <w:pPr>
        <w:tabs>
          <w:tab w:val="left" w:pos="1906"/>
        </w:tabs>
        <w:ind w:left="1906" w:hanging="420"/>
      </w:pPr>
    </w:lvl>
    <w:lvl w:ilvl="3" w:tentative="0">
      <w:start w:val="1"/>
      <w:numFmt w:val="decimal"/>
      <w:lvlText w:val="%4."/>
      <w:lvlJc w:val="left"/>
      <w:pPr>
        <w:tabs>
          <w:tab w:val="left" w:pos="2326"/>
        </w:tabs>
        <w:ind w:left="2326" w:hanging="420"/>
      </w:pPr>
    </w:lvl>
    <w:lvl w:ilvl="4" w:tentative="0">
      <w:start w:val="1"/>
      <w:numFmt w:val="lowerLetter"/>
      <w:lvlText w:val="%5)"/>
      <w:lvlJc w:val="left"/>
      <w:pPr>
        <w:tabs>
          <w:tab w:val="left" w:pos="2746"/>
        </w:tabs>
        <w:ind w:left="2746" w:hanging="420"/>
      </w:pPr>
    </w:lvl>
    <w:lvl w:ilvl="5" w:tentative="0">
      <w:start w:val="1"/>
      <w:numFmt w:val="lowerRoman"/>
      <w:lvlText w:val="%6."/>
      <w:lvlJc w:val="right"/>
      <w:pPr>
        <w:tabs>
          <w:tab w:val="left" w:pos="3166"/>
        </w:tabs>
        <w:ind w:left="3166" w:hanging="420"/>
      </w:pPr>
    </w:lvl>
    <w:lvl w:ilvl="6" w:tentative="0">
      <w:start w:val="1"/>
      <w:numFmt w:val="decimal"/>
      <w:lvlText w:val="%7."/>
      <w:lvlJc w:val="left"/>
      <w:pPr>
        <w:tabs>
          <w:tab w:val="left" w:pos="3586"/>
        </w:tabs>
        <w:ind w:left="3586" w:hanging="420"/>
      </w:pPr>
    </w:lvl>
    <w:lvl w:ilvl="7" w:tentative="0">
      <w:start w:val="1"/>
      <w:numFmt w:val="lowerLetter"/>
      <w:lvlText w:val="%8)"/>
      <w:lvlJc w:val="left"/>
      <w:pPr>
        <w:tabs>
          <w:tab w:val="left" w:pos="4006"/>
        </w:tabs>
        <w:ind w:left="4006" w:hanging="420"/>
      </w:pPr>
    </w:lvl>
    <w:lvl w:ilvl="8" w:tentative="0">
      <w:start w:val="1"/>
      <w:numFmt w:val="lowerRoman"/>
      <w:lvlText w:val="%9."/>
      <w:lvlJc w:val="right"/>
      <w:pPr>
        <w:tabs>
          <w:tab w:val="left" w:pos="4426"/>
        </w:tabs>
        <w:ind w:left="4426" w:hanging="420"/>
      </w:pPr>
    </w:lvl>
  </w:abstractNum>
  <w:abstractNum w:abstractNumId="2">
    <w:nsid w:val="041D02BC"/>
    <w:multiLevelType w:val="multilevel"/>
    <w:tmpl w:val="041D02BC"/>
    <w:lvl w:ilvl="0" w:tentative="0">
      <w:start w:val="14"/>
      <w:numFmt w:val="decimal"/>
      <w:lvlText w:val="%1"/>
      <w:lvlJc w:val="left"/>
      <w:pPr>
        <w:tabs>
          <w:tab w:val="left" w:pos="480"/>
        </w:tabs>
        <w:ind w:left="480" w:hanging="480"/>
      </w:pPr>
      <w:rPr>
        <w:rFonts w:hint="default"/>
      </w:rPr>
    </w:lvl>
    <w:lvl w:ilvl="1" w:tentative="0">
      <w:start w:val="1"/>
      <w:numFmt w:val="decimal"/>
      <w:lvlText w:val="%1.%2"/>
      <w:lvlJc w:val="left"/>
      <w:pPr>
        <w:tabs>
          <w:tab w:val="left" w:pos="480"/>
        </w:tabs>
        <w:ind w:left="480" w:hanging="48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abstractNum w:abstractNumId="3">
    <w:nsid w:val="155E6A8F"/>
    <w:multiLevelType w:val="multilevel"/>
    <w:tmpl w:val="155E6A8F"/>
    <w:lvl w:ilvl="0" w:tentative="0">
      <w:start w:val="1"/>
      <w:numFmt w:val="decimal"/>
      <w:lvlText w:val="（%1）"/>
      <w:lvlJc w:val="left"/>
      <w:pPr>
        <w:tabs>
          <w:tab w:val="left" w:pos="2280"/>
        </w:tabs>
        <w:ind w:left="2280" w:hanging="720"/>
      </w:pPr>
      <w:rPr>
        <w:rFonts w:hint="eastAsia"/>
      </w:rPr>
    </w:lvl>
    <w:lvl w:ilvl="1" w:tentative="0">
      <w:start w:val="1"/>
      <w:numFmt w:val="lowerLetter"/>
      <w:lvlText w:val="%2)"/>
      <w:lvlJc w:val="left"/>
      <w:pPr>
        <w:tabs>
          <w:tab w:val="left" w:pos="1739"/>
        </w:tabs>
        <w:ind w:left="1739" w:hanging="420"/>
      </w:pPr>
    </w:lvl>
    <w:lvl w:ilvl="2" w:tentative="0">
      <w:start w:val="1"/>
      <w:numFmt w:val="lowerRoman"/>
      <w:lvlText w:val="%3."/>
      <w:lvlJc w:val="right"/>
      <w:pPr>
        <w:tabs>
          <w:tab w:val="left" w:pos="2159"/>
        </w:tabs>
        <w:ind w:left="2159" w:hanging="420"/>
      </w:pPr>
    </w:lvl>
    <w:lvl w:ilvl="3" w:tentative="0">
      <w:start w:val="1"/>
      <w:numFmt w:val="decimal"/>
      <w:lvlText w:val="%4."/>
      <w:lvlJc w:val="left"/>
      <w:pPr>
        <w:tabs>
          <w:tab w:val="left" w:pos="2579"/>
        </w:tabs>
        <w:ind w:left="2579" w:hanging="420"/>
      </w:pPr>
    </w:lvl>
    <w:lvl w:ilvl="4" w:tentative="0">
      <w:start w:val="1"/>
      <w:numFmt w:val="lowerLetter"/>
      <w:lvlText w:val="%5)"/>
      <w:lvlJc w:val="left"/>
      <w:pPr>
        <w:tabs>
          <w:tab w:val="left" w:pos="2999"/>
        </w:tabs>
        <w:ind w:left="2999" w:hanging="420"/>
      </w:pPr>
    </w:lvl>
    <w:lvl w:ilvl="5" w:tentative="0">
      <w:start w:val="1"/>
      <w:numFmt w:val="lowerRoman"/>
      <w:lvlText w:val="%6."/>
      <w:lvlJc w:val="right"/>
      <w:pPr>
        <w:tabs>
          <w:tab w:val="left" w:pos="3419"/>
        </w:tabs>
        <w:ind w:left="3419" w:hanging="420"/>
      </w:pPr>
    </w:lvl>
    <w:lvl w:ilvl="6" w:tentative="0">
      <w:start w:val="1"/>
      <w:numFmt w:val="decimal"/>
      <w:lvlText w:val="%7."/>
      <w:lvlJc w:val="left"/>
      <w:pPr>
        <w:tabs>
          <w:tab w:val="left" w:pos="3839"/>
        </w:tabs>
        <w:ind w:left="3839" w:hanging="420"/>
      </w:pPr>
    </w:lvl>
    <w:lvl w:ilvl="7" w:tentative="0">
      <w:start w:val="1"/>
      <w:numFmt w:val="lowerLetter"/>
      <w:lvlText w:val="%8)"/>
      <w:lvlJc w:val="left"/>
      <w:pPr>
        <w:tabs>
          <w:tab w:val="left" w:pos="4259"/>
        </w:tabs>
        <w:ind w:left="4259" w:hanging="420"/>
      </w:pPr>
    </w:lvl>
    <w:lvl w:ilvl="8" w:tentative="0">
      <w:start w:val="1"/>
      <w:numFmt w:val="lowerRoman"/>
      <w:lvlText w:val="%9."/>
      <w:lvlJc w:val="right"/>
      <w:pPr>
        <w:tabs>
          <w:tab w:val="left" w:pos="4679"/>
        </w:tabs>
        <w:ind w:left="4679" w:hanging="420"/>
      </w:pPr>
    </w:lvl>
  </w:abstractNum>
  <w:abstractNum w:abstractNumId="4">
    <w:nsid w:val="1A335866"/>
    <w:multiLevelType w:val="multilevel"/>
    <w:tmpl w:val="1A335866"/>
    <w:lvl w:ilvl="0" w:tentative="0">
      <w:start w:val="25"/>
      <w:numFmt w:val="decimal"/>
      <w:lvlText w:val="%1"/>
      <w:lvlJc w:val="left"/>
      <w:pPr>
        <w:ind w:left="480" w:hanging="480"/>
      </w:pPr>
      <w:rPr>
        <w:rFonts w:hint="default"/>
      </w:rPr>
    </w:lvl>
    <w:lvl w:ilvl="1" w:tentative="0">
      <w:start w:val="1"/>
      <w:numFmt w:val="decimal"/>
      <w:lvlText w:val="%1.%2"/>
      <w:lvlJc w:val="left"/>
      <w:pPr>
        <w:ind w:left="480" w:hanging="48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5">
    <w:nsid w:val="201A48D8"/>
    <w:multiLevelType w:val="multilevel"/>
    <w:tmpl w:val="201A48D8"/>
    <w:lvl w:ilvl="0" w:tentative="0">
      <w:start w:val="19"/>
      <w:numFmt w:val="decimal"/>
      <w:lvlText w:val="%1"/>
      <w:lvlJc w:val="left"/>
      <w:pPr>
        <w:tabs>
          <w:tab w:val="left" w:pos="720"/>
        </w:tabs>
        <w:ind w:left="720" w:hanging="720"/>
      </w:pPr>
      <w:rPr>
        <w:rFonts w:hint="eastAsia"/>
      </w:rPr>
    </w:lvl>
    <w:lvl w:ilvl="1" w:tentative="0">
      <w:start w:val="2"/>
      <w:numFmt w:val="decimal"/>
      <w:lvlText w:val="%1.%2"/>
      <w:lvlJc w:val="left"/>
      <w:pPr>
        <w:tabs>
          <w:tab w:val="left" w:pos="720"/>
        </w:tabs>
        <w:ind w:left="720" w:hanging="720"/>
      </w:pPr>
      <w:rPr>
        <w:rFonts w:hint="eastAsia"/>
      </w:rPr>
    </w:lvl>
    <w:lvl w:ilvl="2" w:tentative="0">
      <w:start w:val="2"/>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6">
    <w:nsid w:val="2F4A6BF4"/>
    <w:multiLevelType w:val="multilevel"/>
    <w:tmpl w:val="2F4A6BF4"/>
    <w:lvl w:ilvl="0" w:tentative="0">
      <w:start w:val="1"/>
      <w:numFmt w:val="decimal"/>
      <w:lvlText w:val="%1)"/>
      <w:lvlJc w:val="left"/>
      <w:pPr>
        <w:tabs>
          <w:tab w:val="left" w:pos="0"/>
        </w:tabs>
        <w:ind w:left="340" w:hanging="34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50B3A794"/>
    <w:multiLevelType w:val="singleLevel"/>
    <w:tmpl w:val="50B3A794"/>
    <w:lvl w:ilvl="0" w:tentative="0">
      <w:start w:val="1"/>
      <w:numFmt w:val="decimal"/>
      <w:lvlText w:val="%1."/>
      <w:lvlJc w:val="left"/>
      <w:pPr>
        <w:tabs>
          <w:tab w:val="left" w:pos="312"/>
        </w:tabs>
      </w:pPr>
    </w:lvl>
  </w:abstractNum>
  <w:abstractNum w:abstractNumId="8">
    <w:nsid w:val="66E4770E"/>
    <w:multiLevelType w:val="multilevel"/>
    <w:tmpl w:val="66E4770E"/>
    <w:lvl w:ilvl="0" w:tentative="0">
      <w:start w:val="1"/>
      <w:numFmt w:val="japaneseCounting"/>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9">
    <w:nsid w:val="7BD91581"/>
    <w:multiLevelType w:val="multilevel"/>
    <w:tmpl w:val="7BD91581"/>
    <w:lvl w:ilvl="0" w:tentative="0">
      <w:start w:val="1"/>
      <w:numFmt w:val="bullet"/>
      <w:lvlText w:val=""/>
      <w:lvlJc w:val="left"/>
      <w:pPr>
        <w:ind w:left="786" w:hanging="360"/>
      </w:pPr>
      <w:rPr>
        <w:rFonts w:hint="default" w:ascii="Cambria" w:hAnsi="Cambria"/>
      </w:rPr>
    </w:lvl>
    <w:lvl w:ilvl="1" w:tentative="0">
      <w:start w:val="1"/>
      <w:numFmt w:val="bullet"/>
      <w:lvlText w:val=""/>
      <w:lvlJc w:val="left"/>
      <w:pPr>
        <w:ind w:left="1266" w:hanging="420"/>
      </w:pPr>
      <w:rPr>
        <w:rFonts w:hint="default" w:ascii="Cambria" w:hAnsi="Cambria"/>
      </w:rPr>
    </w:lvl>
    <w:lvl w:ilvl="2" w:tentative="0">
      <w:start w:val="1"/>
      <w:numFmt w:val="bullet"/>
      <w:lvlText w:val=""/>
      <w:lvlJc w:val="left"/>
      <w:pPr>
        <w:ind w:left="1686" w:hanging="420"/>
      </w:pPr>
      <w:rPr>
        <w:rFonts w:hint="default" w:ascii="Cambria" w:hAnsi="Cambria"/>
      </w:rPr>
    </w:lvl>
    <w:lvl w:ilvl="3" w:tentative="0">
      <w:start w:val="1"/>
      <w:numFmt w:val="bullet"/>
      <w:lvlText w:val=""/>
      <w:lvlJc w:val="left"/>
      <w:pPr>
        <w:ind w:left="2106" w:hanging="420"/>
      </w:pPr>
      <w:rPr>
        <w:rFonts w:hint="default" w:ascii="Cambria" w:hAnsi="Cambria"/>
      </w:rPr>
    </w:lvl>
    <w:lvl w:ilvl="4" w:tentative="0">
      <w:start w:val="1"/>
      <w:numFmt w:val="bullet"/>
      <w:lvlText w:val=""/>
      <w:lvlJc w:val="left"/>
      <w:pPr>
        <w:ind w:left="2526" w:hanging="420"/>
      </w:pPr>
      <w:rPr>
        <w:rFonts w:hint="default" w:ascii="Cambria" w:hAnsi="Cambria"/>
      </w:rPr>
    </w:lvl>
    <w:lvl w:ilvl="5" w:tentative="0">
      <w:start w:val="1"/>
      <w:numFmt w:val="bullet"/>
      <w:lvlText w:val=""/>
      <w:lvlJc w:val="left"/>
      <w:pPr>
        <w:ind w:left="2946" w:hanging="420"/>
      </w:pPr>
      <w:rPr>
        <w:rFonts w:hint="default" w:ascii="Cambria" w:hAnsi="Cambria"/>
      </w:rPr>
    </w:lvl>
    <w:lvl w:ilvl="6" w:tentative="0">
      <w:start w:val="1"/>
      <w:numFmt w:val="bullet"/>
      <w:lvlText w:val=""/>
      <w:lvlJc w:val="left"/>
      <w:pPr>
        <w:ind w:left="3366" w:hanging="420"/>
      </w:pPr>
      <w:rPr>
        <w:rFonts w:hint="default" w:ascii="Cambria" w:hAnsi="Cambria"/>
      </w:rPr>
    </w:lvl>
    <w:lvl w:ilvl="7" w:tentative="0">
      <w:start w:val="1"/>
      <w:numFmt w:val="bullet"/>
      <w:lvlText w:val=""/>
      <w:lvlJc w:val="left"/>
      <w:pPr>
        <w:ind w:left="3786" w:hanging="420"/>
      </w:pPr>
      <w:rPr>
        <w:rFonts w:hint="default" w:ascii="Cambria" w:hAnsi="Cambria"/>
      </w:rPr>
    </w:lvl>
    <w:lvl w:ilvl="8" w:tentative="0">
      <w:start w:val="1"/>
      <w:numFmt w:val="bullet"/>
      <w:lvlText w:val=""/>
      <w:lvlJc w:val="left"/>
      <w:pPr>
        <w:ind w:left="4206" w:hanging="420"/>
      </w:pPr>
      <w:rPr>
        <w:rFonts w:hint="default" w:ascii="Cambria" w:hAnsi="Cambria"/>
      </w:rPr>
    </w:lvl>
  </w:abstractNum>
  <w:num w:numId="1">
    <w:abstractNumId w:val="8"/>
  </w:num>
  <w:num w:numId="2">
    <w:abstractNumId w:val="2"/>
  </w:num>
  <w:num w:numId="3">
    <w:abstractNumId w:val="5"/>
  </w:num>
  <w:num w:numId="4">
    <w:abstractNumId w:val="3"/>
  </w:num>
  <w:num w:numId="5">
    <w:abstractNumId w:val="1"/>
  </w:num>
  <w:num w:numId="6">
    <w:abstractNumId w:val="7"/>
  </w:num>
  <w:num w:numId="7">
    <w:abstractNumId w:val="9"/>
  </w:num>
  <w:num w:numId="8">
    <w:abstractNumId w:val="4"/>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1ZGVhNzQ5ZjllYjYzYTA2NGFkYWYzMzc2NzNjYjcifQ=="/>
  </w:docVars>
  <w:rsids>
    <w:rsidRoot w:val="009D5527"/>
    <w:rsid w:val="00001529"/>
    <w:rsid w:val="000038DE"/>
    <w:rsid w:val="0000574A"/>
    <w:rsid w:val="00005A8B"/>
    <w:rsid w:val="0001270C"/>
    <w:rsid w:val="000134AB"/>
    <w:rsid w:val="000136A7"/>
    <w:rsid w:val="0001425A"/>
    <w:rsid w:val="00016BB4"/>
    <w:rsid w:val="000171D1"/>
    <w:rsid w:val="00017DEB"/>
    <w:rsid w:val="00020333"/>
    <w:rsid w:val="000205C2"/>
    <w:rsid w:val="00020C12"/>
    <w:rsid w:val="00021966"/>
    <w:rsid w:val="00022186"/>
    <w:rsid w:val="000221F9"/>
    <w:rsid w:val="000244E8"/>
    <w:rsid w:val="00026BC6"/>
    <w:rsid w:val="0002739A"/>
    <w:rsid w:val="00027EB0"/>
    <w:rsid w:val="000304D6"/>
    <w:rsid w:val="00031F7F"/>
    <w:rsid w:val="000330B2"/>
    <w:rsid w:val="00033C19"/>
    <w:rsid w:val="00034276"/>
    <w:rsid w:val="000345C7"/>
    <w:rsid w:val="000349D6"/>
    <w:rsid w:val="00035F16"/>
    <w:rsid w:val="00041732"/>
    <w:rsid w:val="000440CD"/>
    <w:rsid w:val="00045ECF"/>
    <w:rsid w:val="0005067E"/>
    <w:rsid w:val="0005130C"/>
    <w:rsid w:val="00051ACB"/>
    <w:rsid w:val="00054804"/>
    <w:rsid w:val="00055629"/>
    <w:rsid w:val="00056DC7"/>
    <w:rsid w:val="0006156D"/>
    <w:rsid w:val="00062D22"/>
    <w:rsid w:val="00063E52"/>
    <w:rsid w:val="00063FD4"/>
    <w:rsid w:val="000647D4"/>
    <w:rsid w:val="00064845"/>
    <w:rsid w:val="000649C3"/>
    <w:rsid w:val="000710F7"/>
    <w:rsid w:val="00072AED"/>
    <w:rsid w:val="00073874"/>
    <w:rsid w:val="000743D8"/>
    <w:rsid w:val="00077EFD"/>
    <w:rsid w:val="00082312"/>
    <w:rsid w:val="00082EC6"/>
    <w:rsid w:val="00084732"/>
    <w:rsid w:val="00084EC1"/>
    <w:rsid w:val="0008576F"/>
    <w:rsid w:val="00086C8D"/>
    <w:rsid w:val="0008755C"/>
    <w:rsid w:val="00096F43"/>
    <w:rsid w:val="000A2185"/>
    <w:rsid w:val="000A6147"/>
    <w:rsid w:val="000A65E7"/>
    <w:rsid w:val="000A709A"/>
    <w:rsid w:val="000A7AA8"/>
    <w:rsid w:val="000B2D99"/>
    <w:rsid w:val="000B4A42"/>
    <w:rsid w:val="000B4E13"/>
    <w:rsid w:val="000B77CC"/>
    <w:rsid w:val="000C0B1D"/>
    <w:rsid w:val="000C336B"/>
    <w:rsid w:val="000C3FE0"/>
    <w:rsid w:val="000C6700"/>
    <w:rsid w:val="000C6AD9"/>
    <w:rsid w:val="000D036A"/>
    <w:rsid w:val="000D1562"/>
    <w:rsid w:val="000D29B8"/>
    <w:rsid w:val="000D3FD9"/>
    <w:rsid w:val="000E0A20"/>
    <w:rsid w:val="000E0E47"/>
    <w:rsid w:val="000E1DA7"/>
    <w:rsid w:val="000E5F0F"/>
    <w:rsid w:val="000E7841"/>
    <w:rsid w:val="000F249A"/>
    <w:rsid w:val="000F4373"/>
    <w:rsid w:val="0010036A"/>
    <w:rsid w:val="0010057B"/>
    <w:rsid w:val="001010CA"/>
    <w:rsid w:val="00101935"/>
    <w:rsid w:val="00103A41"/>
    <w:rsid w:val="00110A24"/>
    <w:rsid w:val="00112684"/>
    <w:rsid w:val="00113A27"/>
    <w:rsid w:val="00115352"/>
    <w:rsid w:val="001153CA"/>
    <w:rsid w:val="00116B55"/>
    <w:rsid w:val="00120331"/>
    <w:rsid w:val="001223E5"/>
    <w:rsid w:val="001229D8"/>
    <w:rsid w:val="00122DD6"/>
    <w:rsid w:val="00124313"/>
    <w:rsid w:val="001252D5"/>
    <w:rsid w:val="001263EC"/>
    <w:rsid w:val="00131A13"/>
    <w:rsid w:val="00150142"/>
    <w:rsid w:val="00154047"/>
    <w:rsid w:val="00155B4D"/>
    <w:rsid w:val="00155D83"/>
    <w:rsid w:val="0015670A"/>
    <w:rsid w:val="00156E0F"/>
    <w:rsid w:val="00157425"/>
    <w:rsid w:val="0016199D"/>
    <w:rsid w:val="0016545F"/>
    <w:rsid w:val="00166286"/>
    <w:rsid w:val="00166738"/>
    <w:rsid w:val="00172B60"/>
    <w:rsid w:val="0017447F"/>
    <w:rsid w:val="00174B2D"/>
    <w:rsid w:val="0017506C"/>
    <w:rsid w:val="00175471"/>
    <w:rsid w:val="00175ECD"/>
    <w:rsid w:val="001776A3"/>
    <w:rsid w:val="00177DFC"/>
    <w:rsid w:val="001831A6"/>
    <w:rsid w:val="00183CB9"/>
    <w:rsid w:val="00183CD6"/>
    <w:rsid w:val="00183CF5"/>
    <w:rsid w:val="0018767B"/>
    <w:rsid w:val="00190B2E"/>
    <w:rsid w:val="001954E4"/>
    <w:rsid w:val="00196F9D"/>
    <w:rsid w:val="001A17AB"/>
    <w:rsid w:val="001A4FEE"/>
    <w:rsid w:val="001A7553"/>
    <w:rsid w:val="001A79C5"/>
    <w:rsid w:val="001B096B"/>
    <w:rsid w:val="001B3351"/>
    <w:rsid w:val="001B4376"/>
    <w:rsid w:val="001B4AAC"/>
    <w:rsid w:val="001B51A9"/>
    <w:rsid w:val="001B606E"/>
    <w:rsid w:val="001B65F8"/>
    <w:rsid w:val="001C3B87"/>
    <w:rsid w:val="001C530B"/>
    <w:rsid w:val="001C55BD"/>
    <w:rsid w:val="001C70F4"/>
    <w:rsid w:val="001C798B"/>
    <w:rsid w:val="001D3D68"/>
    <w:rsid w:val="001D44F3"/>
    <w:rsid w:val="001D6E39"/>
    <w:rsid w:val="001E0CDA"/>
    <w:rsid w:val="001E5725"/>
    <w:rsid w:val="001E6930"/>
    <w:rsid w:val="001E69C1"/>
    <w:rsid w:val="001F1B9A"/>
    <w:rsid w:val="001F31EB"/>
    <w:rsid w:val="0020083B"/>
    <w:rsid w:val="00200F90"/>
    <w:rsid w:val="002074C5"/>
    <w:rsid w:val="00216A8B"/>
    <w:rsid w:val="00217129"/>
    <w:rsid w:val="002224EB"/>
    <w:rsid w:val="00230FEB"/>
    <w:rsid w:val="002311B2"/>
    <w:rsid w:val="00232DBD"/>
    <w:rsid w:val="00234C3E"/>
    <w:rsid w:val="00236F92"/>
    <w:rsid w:val="00240C2C"/>
    <w:rsid w:val="00241C93"/>
    <w:rsid w:val="00242401"/>
    <w:rsid w:val="0024265C"/>
    <w:rsid w:val="002430CF"/>
    <w:rsid w:val="00243B73"/>
    <w:rsid w:val="00247F51"/>
    <w:rsid w:val="002556B0"/>
    <w:rsid w:val="0025620C"/>
    <w:rsid w:val="002567B3"/>
    <w:rsid w:val="00256AC4"/>
    <w:rsid w:val="00256B3D"/>
    <w:rsid w:val="002622ED"/>
    <w:rsid w:val="002646B9"/>
    <w:rsid w:val="002646FB"/>
    <w:rsid w:val="002651F3"/>
    <w:rsid w:val="0026629F"/>
    <w:rsid w:val="00270E8E"/>
    <w:rsid w:val="00272616"/>
    <w:rsid w:val="002738F2"/>
    <w:rsid w:val="002777D8"/>
    <w:rsid w:val="00280868"/>
    <w:rsid w:val="00286073"/>
    <w:rsid w:val="00286691"/>
    <w:rsid w:val="00286AAA"/>
    <w:rsid w:val="00286F86"/>
    <w:rsid w:val="002905D6"/>
    <w:rsid w:val="00291600"/>
    <w:rsid w:val="00291737"/>
    <w:rsid w:val="00292F1B"/>
    <w:rsid w:val="00293B2C"/>
    <w:rsid w:val="00294CB8"/>
    <w:rsid w:val="00296B9E"/>
    <w:rsid w:val="00296F4A"/>
    <w:rsid w:val="002971D9"/>
    <w:rsid w:val="00297C04"/>
    <w:rsid w:val="002A227D"/>
    <w:rsid w:val="002A2D2B"/>
    <w:rsid w:val="002A5429"/>
    <w:rsid w:val="002B13CB"/>
    <w:rsid w:val="002B55E4"/>
    <w:rsid w:val="002C04CE"/>
    <w:rsid w:val="002C0DA6"/>
    <w:rsid w:val="002C113F"/>
    <w:rsid w:val="002C68FC"/>
    <w:rsid w:val="002C7D75"/>
    <w:rsid w:val="002C7E2E"/>
    <w:rsid w:val="002D0657"/>
    <w:rsid w:val="002D06A9"/>
    <w:rsid w:val="002D160F"/>
    <w:rsid w:val="002D3FCE"/>
    <w:rsid w:val="002D3FFC"/>
    <w:rsid w:val="002D4354"/>
    <w:rsid w:val="002D449B"/>
    <w:rsid w:val="002D530C"/>
    <w:rsid w:val="002E01F6"/>
    <w:rsid w:val="002E3124"/>
    <w:rsid w:val="002E534E"/>
    <w:rsid w:val="002E5ACB"/>
    <w:rsid w:val="002F2632"/>
    <w:rsid w:val="002F2FC2"/>
    <w:rsid w:val="002F695B"/>
    <w:rsid w:val="002F7850"/>
    <w:rsid w:val="00300150"/>
    <w:rsid w:val="00301AA2"/>
    <w:rsid w:val="00306BB6"/>
    <w:rsid w:val="00307407"/>
    <w:rsid w:val="00310866"/>
    <w:rsid w:val="003120C4"/>
    <w:rsid w:val="00314EFD"/>
    <w:rsid w:val="00314F6A"/>
    <w:rsid w:val="00315BAA"/>
    <w:rsid w:val="003161E6"/>
    <w:rsid w:val="003177AA"/>
    <w:rsid w:val="00317C79"/>
    <w:rsid w:val="00321C94"/>
    <w:rsid w:val="00321CB4"/>
    <w:rsid w:val="00323028"/>
    <w:rsid w:val="0032447A"/>
    <w:rsid w:val="00324497"/>
    <w:rsid w:val="003251FD"/>
    <w:rsid w:val="00327D23"/>
    <w:rsid w:val="0033077A"/>
    <w:rsid w:val="00330CB3"/>
    <w:rsid w:val="00330CC2"/>
    <w:rsid w:val="00332063"/>
    <w:rsid w:val="003346F0"/>
    <w:rsid w:val="0033634E"/>
    <w:rsid w:val="00341217"/>
    <w:rsid w:val="0034130E"/>
    <w:rsid w:val="00341756"/>
    <w:rsid w:val="00341B5A"/>
    <w:rsid w:val="00341DFD"/>
    <w:rsid w:val="00342B61"/>
    <w:rsid w:val="00344D56"/>
    <w:rsid w:val="0034643C"/>
    <w:rsid w:val="0034741E"/>
    <w:rsid w:val="003512BD"/>
    <w:rsid w:val="00351B2D"/>
    <w:rsid w:val="00351EFC"/>
    <w:rsid w:val="003566A0"/>
    <w:rsid w:val="0036135D"/>
    <w:rsid w:val="00361FBF"/>
    <w:rsid w:val="00362D95"/>
    <w:rsid w:val="00363965"/>
    <w:rsid w:val="00365851"/>
    <w:rsid w:val="00367C83"/>
    <w:rsid w:val="00367FDD"/>
    <w:rsid w:val="00372619"/>
    <w:rsid w:val="00372895"/>
    <w:rsid w:val="00374081"/>
    <w:rsid w:val="00374997"/>
    <w:rsid w:val="00375B2C"/>
    <w:rsid w:val="003778FA"/>
    <w:rsid w:val="00380173"/>
    <w:rsid w:val="00380F7D"/>
    <w:rsid w:val="003817BE"/>
    <w:rsid w:val="0038372A"/>
    <w:rsid w:val="0038493B"/>
    <w:rsid w:val="00384C2F"/>
    <w:rsid w:val="0038661C"/>
    <w:rsid w:val="003877FC"/>
    <w:rsid w:val="003917BD"/>
    <w:rsid w:val="00392CB8"/>
    <w:rsid w:val="00393137"/>
    <w:rsid w:val="00393CC3"/>
    <w:rsid w:val="00394C17"/>
    <w:rsid w:val="003A1590"/>
    <w:rsid w:val="003A6BFF"/>
    <w:rsid w:val="003B0178"/>
    <w:rsid w:val="003B3AD3"/>
    <w:rsid w:val="003B40A4"/>
    <w:rsid w:val="003B77BB"/>
    <w:rsid w:val="003C150A"/>
    <w:rsid w:val="003C3BDF"/>
    <w:rsid w:val="003C5D0C"/>
    <w:rsid w:val="003D118D"/>
    <w:rsid w:val="003D3DB4"/>
    <w:rsid w:val="003D5C25"/>
    <w:rsid w:val="003D64CE"/>
    <w:rsid w:val="003D6F28"/>
    <w:rsid w:val="003E1DF0"/>
    <w:rsid w:val="003E2881"/>
    <w:rsid w:val="003E3B8B"/>
    <w:rsid w:val="003E5281"/>
    <w:rsid w:val="003F2231"/>
    <w:rsid w:val="003F7C44"/>
    <w:rsid w:val="004011B4"/>
    <w:rsid w:val="004018DD"/>
    <w:rsid w:val="00401D0F"/>
    <w:rsid w:val="0040472C"/>
    <w:rsid w:val="004049DB"/>
    <w:rsid w:val="00405777"/>
    <w:rsid w:val="00407618"/>
    <w:rsid w:val="00410A04"/>
    <w:rsid w:val="00410A6D"/>
    <w:rsid w:val="00412DF6"/>
    <w:rsid w:val="00413C05"/>
    <w:rsid w:val="004141D0"/>
    <w:rsid w:val="00421E9B"/>
    <w:rsid w:val="00423D6A"/>
    <w:rsid w:val="00425528"/>
    <w:rsid w:val="00427A66"/>
    <w:rsid w:val="00434CA6"/>
    <w:rsid w:val="00437A12"/>
    <w:rsid w:val="00441425"/>
    <w:rsid w:val="00441C62"/>
    <w:rsid w:val="00442DA6"/>
    <w:rsid w:val="00444770"/>
    <w:rsid w:val="0044551A"/>
    <w:rsid w:val="004455F8"/>
    <w:rsid w:val="00446D90"/>
    <w:rsid w:val="00452102"/>
    <w:rsid w:val="00453B6A"/>
    <w:rsid w:val="00455368"/>
    <w:rsid w:val="00457552"/>
    <w:rsid w:val="0046056C"/>
    <w:rsid w:val="00460D09"/>
    <w:rsid w:val="00460E3A"/>
    <w:rsid w:val="004614B4"/>
    <w:rsid w:val="00462890"/>
    <w:rsid w:val="004657C2"/>
    <w:rsid w:val="00471218"/>
    <w:rsid w:val="0047176E"/>
    <w:rsid w:val="00471EFE"/>
    <w:rsid w:val="0047352A"/>
    <w:rsid w:val="0047370B"/>
    <w:rsid w:val="00475201"/>
    <w:rsid w:val="00475C84"/>
    <w:rsid w:val="004772AC"/>
    <w:rsid w:val="00477DD6"/>
    <w:rsid w:val="004824D4"/>
    <w:rsid w:val="00482752"/>
    <w:rsid w:val="00484892"/>
    <w:rsid w:val="00493B12"/>
    <w:rsid w:val="004A0ED9"/>
    <w:rsid w:val="004A1BB3"/>
    <w:rsid w:val="004A3CED"/>
    <w:rsid w:val="004A44FA"/>
    <w:rsid w:val="004A5641"/>
    <w:rsid w:val="004A59E0"/>
    <w:rsid w:val="004A67C0"/>
    <w:rsid w:val="004B2E06"/>
    <w:rsid w:val="004B46B7"/>
    <w:rsid w:val="004B7489"/>
    <w:rsid w:val="004B7BE1"/>
    <w:rsid w:val="004C0F20"/>
    <w:rsid w:val="004C1C41"/>
    <w:rsid w:val="004C1F97"/>
    <w:rsid w:val="004C6FA8"/>
    <w:rsid w:val="004C71FC"/>
    <w:rsid w:val="004D1490"/>
    <w:rsid w:val="004D4BD2"/>
    <w:rsid w:val="004D7814"/>
    <w:rsid w:val="004E3B9F"/>
    <w:rsid w:val="004E3F36"/>
    <w:rsid w:val="004E4533"/>
    <w:rsid w:val="004E4620"/>
    <w:rsid w:val="004E4E0E"/>
    <w:rsid w:val="004E4EE8"/>
    <w:rsid w:val="004E6007"/>
    <w:rsid w:val="004E60E5"/>
    <w:rsid w:val="004E6694"/>
    <w:rsid w:val="004E6D97"/>
    <w:rsid w:val="004F15B3"/>
    <w:rsid w:val="004F1837"/>
    <w:rsid w:val="004F35B0"/>
    <w:rsid w:val="004F4B3B"/>
    <w:rsid w:val="004F4C9E"/>
    <w:rsid w:val="004F5C55"/>
    <w:rsid w:val="004F73CC"/>
    <w:rsid w:val="00502BB4"/>
    <w:rsid w:val="00506539"/>
    <w:rsid w:val="00506BFB"/>
    <w:rsid w:val="00510F28"/>
    <w:rsid w:val="00512E71"/>
    <w:rsid w:val="0051370F"/>
    <w:rsid w:val="00515062"/>
    <w:rsid w:val="00520073"/>
    <w:rsid w:val="005219B2"/>
    <w:rsid w:val="00522031"/>
    <w:rsid w:val="00522467"/>
    <w:rsid w:val="005300EA"/>
    <w:rsid w:val="00530151"/>
    <w:rsid w:val="005332F1"/>
    <w:rsid w:val="00534D84"/>
    <w:rsid w:val="005363A5"/>
    <w:rsid w:val="00536A77"/>
    <w:rsid w:val="00537AEF"/>
    <w:rsid w:val="005422AD"/>
    <w:rsid w:val="00542B25"/>
    <w:rsid w:val="00543435"/>
    <w:rsid w:val="00544704"/>
    <w:rsid w:val="005451D7"/>
    <w:rsid w:val="00546F46"/>
    <w:rsid w:val="00547CDB"/>
    <w:rsid w:val="00551A18"/>
    <w:rsid w:val="00552470"/>
    <w:rsid w:val="00553EA1"/>
    <w:rsid w:val="00554E5E"/>
    <w:rsid w:val="00554EA3"/>
    <w:rsid w:val="00557D1E"/>
    <w:rsid w:val="00557FC5"/>
    <w:rsid w:val="005639D3"/>
    <w:rsid w:val="00564BDA"/>
    <w:rsid w:val="005662AE"/>
    <w:rsid w:val="005669D9"/>
    <w:rsid w:val="00570963"/>
    <w:rsid w:val="00574598"/>
    <w:rsid w:val="005771E4"/>
    <w:rsid w:val="00580959"/>
    <w:rsid w:val="00585C91"/>
    <w:rsid w:val="00594ED4"/>
    <w:rsid w:val="00595717"/>
    <w:rsid w:val="00595CBB"/>
    <w:rsid w:val="005977F0"/>
    <w:rsid w:val="00597DC1"/>
    <w:rsid w:val="005A1B71"/>
    <w:rsid w:val="005A5B7A"/>
    <w:rsid w:val="005B4DAF"/>
    <w:rsid w:val="005B6436"/>
    <w:rsid w:val="005B6BE5"/>
    <w:rsid w:val="005C1AF3"/>
    <w:rsid w:val="005C6209"/>
    <w:rsid w:val="005C7B36"/>
    <w:rsid w:val="005D0665"/>
    <w:rsid w:val="005D1D04"/>
    <w:rsid w:val="005D6D65"/>
    <w:rsid w:val="005D7385"/>
    <w:rsid w:val="005E08FE"/>
    <w:rsid w:val="005E2A9A"/>
    <w:rsid w:val="005E484C"/>
    <w:rsid w:val="005E5C88"/>
    <w:rsid w:val="005E6534"/>
    <w:rsid w:val="005E6735"/>
    <w:rsid w:val="005F0567"/>
    <w:rsid w:val="005F0DAF"/>
    <w:rsid w:val="005F2BF9"/>
    <w:rsid w:val="005F6762"/>
    <w:rsid w:val="005F70A3"/>
    <w:rsid w:val="00601CC0"/>
    <w:rsid w:val="00602199"/>
    <w:rsid w:val="006029FB"/>
    <w:rsid w:val="0060664F"/>
    <w:rsid w:val="006109FB"/>
    <w:rsid w:val="00611A7B"/>
    <w:rsid w:val="00612491"/>
    <w:rsid w:val="00615FA9"/>
    <w:rsid w:val="00616538"/>
    <w:rsid w:val="00622AE9"/>
    <w:rsid w:val="00624502"/>
    <w:rsid w:val="00624801"/>
    <w:rsid w:val="0062522B"/>
    <w:rsid w:val="00625579"/>
    <w:rsid w:val="00625BB3"/>
    <w:rsid w:val="00625DB2"/>
    <w:rsid w:val="00626EB0"/>
    <w:rsid w:val="006303D9"/>
    <w:rsid w:val="00631760"/>
    <w:rsid w:val="0063203F"/>
    <w:rsid w:val="00635203"/>
    <w:rsid w:val="006352CA"/>
    <w:rsid w:val="00636177"/>
    <w:rsid w:val="00640743"/>
    <w:rsid w:val="006408D3"/>
    <w:rsid w:val="00644187"/>
    <w:rsid w:val="00646389"/>
    <w:rsid w:val="00646B4E"/>
    <w:rsid w:val="00653EB4"/>
    <w:rsid w:val="00657DD9"/>
    <w:rsid w:val="00663790"/>
    <w:rsid w:val="0066664A"/>
    <w:rsid w:val="00675DF9"/>
    <w:rsid w:val="0067729C"/>
    <w:rsid w:val="00681EE0"/>
    <w:rsid w:val="006826A4"/>
    <w:rsid w:val="00682E75"/>
    <w:rsid w:val="00683C67"/>
    <w:rsid w:val="006879F3"/>
    <w:rsid w:val="00687B2B"/>
    <w:rsid w:val="0069130F"/>
    <w:rsid w:val="00691AC9"/>
    <w:rsid w:val="006926AA"/>
    <w:rsid w:val="00693DB1"/>
    <w:rsid w:val="00694111"/>
    <w:rsid w:val="00695873"/>
    <w:rsid w:val="006A223F"/>
    <w:rsid w:val="006A4924"/>
    <w:rsid w:val="006A4CBA"/>
    <w:rsid w:val="006A57AC"/>
    <w:rsid w:val="006A6F46"/>
    <w:rsid w:val="006B0FE8"/>
    <w:rsid w:val="006B1764"/>
    <w:rsid w:val="006B19A9"/>
    <w:rsid w:val="006B2C98"/>
    <w:rsid w:val="006B3A0C"/>
    <w:rsid w:val="006B75CB"/>
    <w:rsid w:val="006B7E72"/>
    <w:rsid w:val="006C01B0"/>
    <w:rsid w:val="006C13DE"/>
    <w:rsid w:val="006C151D"/>
    <w:rsid w:val="006C210D"/>
    <w:rsid w:val="006D1229"/>
    <w:rsid w:val="006D1A18"/>
    <w:rsid w:val="006D4440"/>
    <w:rsid w:val="006D5472"/>
    <w:rsid w:val="006E0121"/>
    <w:rsid w:val="006E058A"/>
    <w:rsid w:val="006F030A"/>
    <w:rsid w:val="006F2467"/>
    <w:rsid w:val="006F4233"/>
    <w:rsid w:val="006F42D9"/>
    <w:rsid w:val="006F53E6"/>
    <w:rsid w:val="006F54CB"/>
    <w:rsid w:val="006F623B"/>
    <w:rsid w:val="007013FE"/>
    <w:rsid w:val="00701E42"/>
    <w:rsid w:val="00703B7F"/>
    <w:rsid w:val="0070499A"/>
    <w:rsid w:val="007055C3"/>
    <w:rsid w:val="007056C2"/>
    <w:rsid w:val="0070765A"/>
    <w:rsid w:val="00707C4F"/>
    <w:rsid w:val="00710C5E"/>
    <w:rsid w:val="00711393"/>
    <w:rsid w:val="00711AF7"/>
    <w:rsid w:val="00715C38"/>
    <w:rsid w:val="007167B6"/>
    <w:rsid w:val="007170D1"/>
    <w:rsid w:val="00720CBC"/>
    <w:rsid w:val="007216B7"/>
    <w:rsid w:val="0072320E"/>
    <w:rsid w:val="00723BFC"/>
    <w:rsid w:val="00723D11"/>
    <w:rsid w:val="007243C2"/>
    <w:rsid w:val="00724591"/>
    <w:rsid w:val="007253D2"/>
    <w:rsid w:val="007261D0"/>
    <w:rsid w:val="00726DB8"/>
    <w:rsid w:val="0073214C"/>
    <w:rsid w:val="00733761"/>
    <w:rsid w:val="007400C0"/>
    <w:rsid w:val="00741458"/>
    <w:rsid w:val="00741AB4"/>
    <w:rsid w:val="00742162"/>
    <w:rsid w:val="007426DA"/>
    <w:rsid w:val="00745287"/>
    <w:rsid w:val="007465E6"/>
    <w:rsid w:val="0075418F"/>
    <w:rsid w:val="007545BF"/>
    <w:rsid w:val="0075516E"/>
    <w:rsid w:val="00755894"/>
    <w:rsid w:val="00755D10"/>
    <w:rsid w:val="0075622F"/>
    <w:rsid w:val="007577CC"/>
    <w:rsid w:val="00757B3B"/>
    <w:rsid w:val="00760B36"/>
    <w:rsid w:val="0076170C"/>
    <w:rsid w:val="007653F8"/>
    <w:rsid w:val="00765FAB"/>
    <w:rsid w:val="007673D0"/>
    <w:rsid w:val="00771A09"/>
    <w:rsid w:val="00772EA2"/>
    <w:rsid w:val="00775D13"/>
    <w:rsid w:val="0077639C"/>
    <w:rsid w:val="00777F22"/>
    <w:rsid w:val="00781E75"/>
    <w:rsid w:val="0078485A"/>
    <w:rsid w:val="00785F05"/>
    <w:rsid w:val="007900E5"/>
    <w:rsid w:val="00791EF5"/>
    <w:rsid w:val="00792E26"/>
    <w:rsid w:val="00797B20"/>
    <w:rsid w:val="007A0321"/>
    <w:rsid w:val="007A150D"/>
    <w:rsid w:val="007A19C4"/>
    <w:rsid w:val="007A1D2F"/>
    <w:rsid w:val="007A33F2"/>
    <w:rsid w:val="007A5BA5"/>
    <w:rsid w:val="007A694C"/>
    <w:rsid w:val="007A6C7C"/>
    <w:rsid w:val="007A7404"/>
    <w:rsid w:val="007A7408"/>
    <w:rsid w:val="007A7E5E"/>
    <w:rsid w:val="007B0D03"/>
    <w:rsid w:val="007B1883"/>
    <w:rsid w:val="007B236E"/>
    <w:rsid w:val="007B5089"/>
    <w:rsid w:val="007B7320"/>
    <w:rsid w:val="007B769D"/>
    <w:rsid w:val="007C76AD"/>
    <w:rsid w:val="007D0D4C"/>
    <w:rsid w:val="007D1A98"/>
    <w:rsid w:val="007E21AF"/>
    <w:rsid w:val="007E276E"/>
    <w:rsid w:val="007E3ABA"/>
    <w:rsid w:val="007E4155"/>
    <w:rsid w:val="007E7F0B"/>
    <w:rsid w:val="007F0598"/>
    <w:rsid w:val="007F12FA"/>
    <w:rsid w:val="007F1819"/>
    <w:rsid w:val="007F270D"/>
    <w:rsid w:val="007F34E3"/>
    <w:rsid w:val="007F6288"/>
    <w:rsid w:val="0080066A"/>
    <w:rsid w:val="00801C35"/>
    <w:rsid w:val="00801FFA"/>
    <w:rsid w:val="00804403"/>
    <w:rsid w:val="008063F7"/>
    <w:rsid w:val="0081005B"/>
    <w:rsid w:val="008102E5"/>
    <w:rsid w:val="00812887"/>
    <w:rsid w:val="008174B5"/>
    <w:rsid w:val="00817901"/>
    <w:rsid w:val="00817AB2"/>
    <w:rsid w:val="00821346"/>
    <w:rsid w:val="00821957"/>
    <w:rsid w:val="00822CDF"/>
    <w:rsid w:val="00824029"/>
    <w:rsid w:val="00824115"/>
    <w:rsid w:val="00825496"/>
    <w:rsid w:val="008267ED"/>
    <w:rsid w:val="00827A27"/>
    <w:rsid w:val="00832928"/>
    <w:rsid w:val="008347B5"/>
    <w:rsid w:val="00836503"/>
    <w:rsid w:val="00836EA2"/>
    <w:rsid w:val="0084203D"/>
    <w:rsid w:val="00850141"/>
    <w:rsid w:val="00850570"/>
    <w:rsid w:val="008514EC"/>
    <w:rsid w:val="0085342E"/>
    <w:rsid w:val="00854247"/>
    <w:rsid w:val="00854277"/>
    <w:rsid w:val="00854A79"/>
    <w:rsid w:val="00857F48"/>
    <w:rsid w:val="00863C49"/>
    <w:rsid w:val="0086583C"/>
    <w:rsid w:val="00873384"/>
    <w:rsid w:val="00873437"/>
    <w:rsid w:val="0087799B"/>
    <w:rsid w:val="00884051"/>
    <w:rsid w:val="008867DE"/>
    <w:rsid w:val="008900FF"/>
    <w:rsid w:val="0089032D"/>
    <w:rsid w:val="0089267B"/>
    <w:rsid w:val="00894187"/>
    <w:rsid w:val="00894A86"/>
    <w:rsid w:val="008A1D45"/>
    <w:rsid w:val="008A4ED8"/>
    <w:rsid w:val="008A7147"/>
    <w:rsid w:val="008B1B82"/>
    <w:rsid w:val="008B24F8"/>
    <w:rsid w:val="008B262C"/>
    <w:rsid w:val="008B28C4"/>
    <w:rsid w:val="008B4277"/>
    <w:rsid w:val="008B70EC"/>
    <w:rsid w:val="008B7A04"/>
    <w:rsid w:val="008C2CFF"/>
    <w:rsid w:val="008C4BD8"/>
    <w:rsid w:val="008C52AD"/>
    <w:rsid w:val="008C716E"/>
    <w:rsid w:val="008D10D4"/>
    <w:rsid w:val="008D32EC"/>
    <w:rsid w:val="008D3E49"/>
    <w:rsid w:val="008D4089"/>
    <w:rsid w:val="008D4CB8"/>
    <w:rsid w:val="008D6636"/>
    <w:rsid w:val="008E0488"/>
    <w:rsid w:val="008E116C"/>
    <w:rsid w:val="008E5E23"/>
    <w:rsid w:val="008F0D00"/>
    <w:rsid w:val="008F1F66"/>
    <w:rsid w:val="008F3511"/>
    <w:rsid w:val="008F51E8"/>
    <w:rsid w:val="008F55B7"/>
    <w:rsid w:val="00906EA0"/>
    <w:rsid w:val="00912758"/>
    <w:rsid w:val="009239C6"/>
    <w:rsid w:val="00924CE4"/>
    <w:rsid w:val="00926CCB"/>
    <w:rsid w:val="00930DEC"/>
    <w:rsid w:val="00931E8D"/>
    <w:rsid w:val="0093252C"/>
    <w:rsid w:val="009379EC"/>
    <w:rsid w:val="00937E0F"/>
    <w:rsid w:val="00941C99"/>
    <w:rsid w:val="00941D84"/>
    <w:rsid w:val="009424FE"/>
    <w:rsid w:val="00942DC6"/>
    <w:rsid w:val="00945270"/>
    <w:rsid w:val="00945614"/>
    <w:rsid w:val="00945F54"/>
    <w:rsid w:val="009472E5"/>
    <w:rsid w:val="00947B92"/>
    <w:rsid w:val="00951625"/>
    <w:rsid w:val="00952C49"/>
    <w:rsid w:val="0095383F"/>
    <w:rsid w:val="0095464C"/>
    <w:rsid w:val="00961BB9"/>
    <w:rsid w:val="009637BA"/>
    <w:rsid w:val="00965CAB"/>
    <w:rsid w:val="00966891"/>
    <w:rsid w:val="00970114"/>
    <w:rsid w:val="00970155"/>
    <w:rsid w:val="00972818"/>
    <w:rsid w:val="0097662B"/>
    <w:rsid w:val="0097727B"/>
    <w:rsid w:val="00977B9F"/>
    <w:rsid w:val="00980EAA"/>
    <w:rsid w:val="00982086"/>
    <w:rsid w:val="00984F6D"/>
    <w:rsid w:val="00987892"/>
    <w:rsid w:val="00987B4E"/>
    <w:rsid w:val="00987DDE"/>
    <w:rsid w:val="00992830"/>
    <w:rsid w:val="009946DE"/>
    <w:rsid w:val="009964A1"/>
    <w:rsid w:val="00997184"/>
    <w:rsid w:val="009A2037"/>
    <w:rsid w:val="009A274F"/>
    <w:rsid w:val="009A3EE2"/>
    <w:rsid w:val="009A6394"/>
    <w:rsid w:val="009C163F"/>
    <w:rsid w:val="009C565C"/>
    <w:rsid w:val="009C6C08"/>
    <w:rsid w:val="009C7E8F"/>
    <w:rsid w:val="009D01FB"/>
    <w:rsid w:val="009D0754"/>
    <w:rsid w:val="009D0DB5"/>
    <w:rsid w:val="009D1F86"/>
    <w:rsid w:val="009D244F"/>
    <w:rsid w:val="009D4A97"/>
    <w:rsid w:val="009D4FF8"/>
    <w:rsid w:val="009D5527"/>
    <w:rsid w:val="009D6EE7"/>
    <w:rsid w:val="009D73BD"/>
    <w:rsid w:val="009E0E89"/>
    <w:rsid w:val="009E1B5E"/>
    <w:rsid w:val="009E261C"/>
    <w:rsid w:val="009E3D6A"/>
    <w:rsid w:val="009E5053"/>
    <w:rsid w:val="009E6794"/>
    <w:rsid w:val="009F44DF"/>
    <w:rsid w:val="009F450C"/>
    <w:rsid w:val="009F53B7"/>
    <w:rsid w:val="009F5D39"/>
    <w:rsid w:val="00A020B3"/>
    <w:rsid w:val="00A05DA7"/>
    <w:rsid w:val="00A07255"/>
    <w:rsid w:val="00A11C7C"/>
    <w:rsid w:val="00A13AE3"/>
    <w:rsid w:val="00A1507C"/>
    <w:rsid w:val="00A159DE"/>
    <w:rsid w:val="00A25F2F"/>
    <w:rsid w:val="00A30FF6"/>
    <w:rsid w:val="00A31CB9"/>
    <w:rsid w:val="00A32BF3"/>
    <w:rsid w:val="00A333BA"/>
    <w:rsid w:val="00A341CE"/>
    <w:rsid w:val="00A35401"/>
    <w:rsid w:val="00A41CEC"/>
    <w:rsid w:val="00A422A3"/>
    <w:rsid w:val="00A44241"/>
    <w:rsid w:val="00A5189D"/>
    <w:rsid w:val="00A569DC"/>
    <w:rsid w:val="00A579F4"/>
    <w:rsid w:val="00A57EF1"/>
    <w:rsid w:val="00A61E3C"/>
    <w:rsid w:val="00A63028"/>
    <w:rsid w:val="00A64582"/>
    <w:rsid w:val="00A664DA"/>
    <w:rsid w:val="00A67750"/>
    <w:rsid w:val="00A67BD6"/>
    <w:rsid w:val="00A67F6F"/>
    <w:rsid w:val="00A70383"/>
    <w:rsid w:val="00A76775"/>
    <w:rsid w:val="00A77F6C"/>
    <w:rsid w:val="00A81CC5"/>
    <w:rsid w:val="00A81D7D"/>
    <w:rsid w:val="00A824DA"/>
    <w:rsid w:val="00A82509"/>
    <w:rsid w:val="00A8590C"/>
    <w:rsid w:val="00A863BF"/>
    <w:rsid w:val="00A874F0"/>
    <w:rsid w:val="00A87A34"/>
    <w:rsid w:val="00A90380"/>
    <w:rsid w:val="00A90A08"/>
    <w:rsid w:val="00A9259B"/>
    <w:rsid w:val="00A9396B"/>
    <w:rsid w:val="00AA22F9"/>
    <w:rsid w:val="00AA47C8"/>
    <w:rsid w:val="00AA52BC"/>
    <w:rsid w:val="00AA5A79"/>
    <w:rsid w:val="00AA5C63"/>
    <w:rsid w:val="00AA6907"/>
    <w:rsid w:val="00AB0A38"/>
    <w:rsid w:val="00AB2F93"/>
    <w:rsid w:val="00AB4852"/>
    <w:rsid w:val="00AB5798"/>
    <w:rsid w:val="00AC0A55"/>
    <w:rsid w:val="00AC3E6F"/>
    <w:rsid w:val="00AC41CE"/>
    <w:rsid w:val="00AC546A"/>
    <w:rsid w:val="00AC5FB0"/>
    <w:rsid w:val="00AC648F"/>
    <w:rsid w:val="00AD2BE4"/>
    <w:rsid w:val="00AE183C"/>
    <w:rsid w:val="00AE2060"/>
    <w:rsid w:val="00AE66E9"/>
    <w:rsid w:val="00AF3198"/>
    <w:rsid w:val="00AF41E3"/>
    <w:rsid w:val="00AF547D"/>
    <w:rsid w:val="00AF5D20"/>
    <w:rsid w:val="00AF7B7A"/>
    <w:rsid w:val="00B000A8"/>
    <w:rsid w:val="00B029DD"/>
    <w:rsid w:val="00B02CD7"/>
    <w:rsid w:val="00B041E2"/>
    <w:rsid w:val="00B05EF2"/>
    <w:rsid w:val="00B06873"/>
    <w:rsid w:val="00B06F9B"/>
    <w:rsid w:val="00B07737"/>
    <w:rsid w:val="00B110F1"/>
    <w:rsid w:val="00B11FA8"/>
    <w:rsid w:val="00B141FD"/>
    <w:rsid w:val="00B15B80"/>
    <w:rsid w:val="00B1699D"/>
    <w:rsid w:val="00B22CF1"/>
    <w:rsid w:val="00B24069"/>
    <w:rsid w:val="00B242C9"/>
    <w:rsid w:val="00B30C56"/>
    <w:rsid w:val="00B321A1"/>
    <w:rsid w:val="00B32362"/>
    <w:rsid w:val="00B32B41"/>
    <w:rsid w:val="00B33D4D"/>
    <w:rsid w:val="00B37E4D"/>
    <w:rsid w:val="00B404CB"/>
    <w:rsid w:val="00B43343"/>
    <w:rsid w:val="00B433D8"/>
    <w:rsid w:val="00B44617"/>
    <w:rsid w:val="00B512C2"/>
    <w:rsid w:val="00B51CFB"/>
    <w:rsid w:val="00B52850"/>
    <w:rsid w:val="00B547B5"/>
    <w:rsid w:val="00B56B7F"/>
    <w:rsid w:val="00B6292F"/>
    <w:rsid w:val="00B62932"/>
    <w:rsid w:val="00B62B9C"/>
    <w:rsid w:val="00B64561"/>
    <w:rsid w:val="00B6486C"/>
    <w:rsid w:val="00B65A61"/>
    <w:rsid w:val="00B65EBF"/>
    <w:rsid w:val="00B714B1"/>
    <w:rsid w:val="00B723A1"/>
    <w:rsid w:val="00B73889"/>
    <w:rsid w:val="00B73BB8"/>
    <w:rsid w:val="00B75C0F"/>
    <w:rsid w:val="00B76E35"/>
    <w:rsid w:val="00B80472"/>
    <w:rsid w:val="00B833B7"/>
    <w:rsid w:val="00B841C3"/>
    <w:rsid w:val="00B915A1"/>
    <w:rsid w:val="00B91881"/>
    <w:rsid w:val="00B96969"/>
    <w:rsid w:val="00BA0C35"/>
    <w:rsid w:val="00BA22B6"/>
    <w:rsid w:val="00BA37C5"/>
    <w:rsid w:val="00BA68C6"/>
    <w:rsid w:val="00BA7A9C"/>
    <w:rsid w:val="00BB0B70"/>
    <w:rsid w:val="00BB1E46"/>
    <w:rsid w:val="00BB5B53"/>
    <w:rsid w:val="00BB7C93"/>
    <w:rsid w:val="00BB7EA1"/>
    <w:rsid w:val="00BC1264"/>
    <w:rsid w:val="00BC224D"/>
    <w:rsid w:val="00BC53F4"/>
    <w:rsid w:val="00BD129B"/>
    <w:rsid w:val="00BD23AB"/>
    <w:rsid w:val="00BD4442"/>
    <w:rsid w:val="00BD4C75"/>
    <w:rsid w:val="00BD72F2"/>
    <w:rsid w:val="00BD78B3"/>
    <w:rsid w:val="00BE0CA8"/>
    <w:rsid w:val="00BE1F34"/>
    <w:rsid w:val="00BE2CF1"/>
    <w:rsid w:val="00BE441F"/>
    <w:rsid w:val="00BE5A5B"/>
    <w:rsid w:val="00BE5F3F"/>
    <w:rsid w:val="00BE6111"/>
    <w:rsid w:val="00BF18A3"/>
    <w:rsid w:val="00BF7566"/>
    <w:rsid w:val="00BF7DB8"/>
    <w:rsid w:val="00C01021"/>
    <w:rsid w:val="00C029CE"/>
    <w:rsid w:val="00C03597"/>
    <w:rsid w:val="00C108EE"/>
    <w:rsid w:val="00C119A7"/>
    <w:rsid w:val="00C1298D"/>
    <w:rsid w:val="00C134A6"/>
    <w:rsid w:val="00C16750"/>
    <w:rsid w:val="00C21577"/>
    <w:rsid w:val="00C215D3"/>
    <w:rsid w:val="00C21EBB"/>
    <w:rsid w:val="00C22A15"/>
    <w:rsid w:val="00C23569"/>
    <w:rsid w:val="00C23FFF"/>
    <w:rsid w:val="00C27EEE"/>
    <w:rsid w:val="00C33EF0"/>
    <w:rsid w:val="00C34B30"/>
    <w:rsid w:val="00C358D6"/>
    <w:rsid w:val="00C36760"/>
    <w:rsid w:val="00C36DCE"/>
    <w:rsid w:val="00C370DA"/>
    <w:rsid w:val="00C41A73"/>
    <w:rsid w:val="00C42032"/>
    <w:rsid w:val="00C44346"/>
    <w:rsid w:val="00C46096"/>
    <w:rsid w:val="00C47C59"/>
    <w:rsid w:val="00C51498"/>
    <w:rsid w:val="00C52698"/>
    <w:rsid w:val="00C53EC4"/>
    <w:rsid w:val="00C56686"/>
    <w:rsid w:val="00C568CF"/>
    <w:rsid w:val="00C60D96"/>
    <w:rsid w:val="00C60EF4"/>
    <w:rsid w:val="00C622F2"/>
    <w:rsid w:val="00C62D58"/>
    <w:rsid w:val="00C6501B"/>
    <w:rsid w:val="00C66DF5"/>
    <w:rsid w:val="00C67178"/>
    <w:rsid w:val="00C67B7C"/>
    <w:rsid w:val="00C70C23"/>
    <w:rsid w:val="00C73895"/>
    <w:rsid w:val="00C73974"/>
    <w:rsid w:val="00C776D5"/>
    <w:rsid w:val="00C81AF9"/>
    <w:rsid w:val="00C828EA"/>
    <w:rsid w:val="00C836E5"/>
    <w:rsid w:val="00C83B73"/>
    <w:rsid w:val="00C8467A"/>
    <w:rsid w:val="00C8560E"/>
    <w:rsid w:val="00C87672"/>
    <w:rsid w:val="00C9180C"/>
    <w:rsid w:val="00C933C5"/>
    <w:rsid w:val="00C95D25"/>
    <w:rsid w:val="00C96F96"/>
    <w:rsid w:val="00CA0D9F"/>
    <w:rsid w:val="00CA2948"/>
    <w:rsid w:val="00CA3549"/>
    <w:rsid w:val="00CA3ACA"/>
    <w:rsid w:val="00CA4F4C"/>
    <w:rsid w:val="00CA64E2"/>
    <w:rsid w:val="00CA6525"/>
    <w:rsid w:val="00CA682A"/>
    <w:rsid w:val="00CA69CA"/>
    <w:rsid w:val="00CA6D4B"/>
    <w:rsid w:val="00CA7C14"/>
    <w:rsid w:val="00CA7C8A"/>
    <w:rsid w:val="00CB18CC"/>
    <w:rsid w:val="00CB2C0F"/>
    <w:rsid w:val="00CB2FAB"/>
    <w:rsid w:val="00CB4435"/>
    <w:rsid w:val="00CB4E55"/>
    <w:rsid w:val="00CC1D15"/>
    <w:rsid w:val="00CC41CF"/>
    <w:rsid w:val="00CC48A8"/>
    <w:rsid w:val="00CD17C0"/>
    <w:rsid w:val="00CD2385"/>
    <w:rsid w:val="00CD41B5"/>
    <w:rsid w:val="00CD488D"/>
    <w:rsid w:val="00CD530B"/>
    <w:rsid w:val="00CD792D"/>
    <w:rsid w:val="00CD7AC3"/>
    <w:rsid w:val="00CD7DEB"/>
    <w:rsid w:val="00CE0BF7"/>
    <w:rsid w:val="00CE3B23"/>
    <w:rsid w:val="00CE4E6A"/>
    <w:rsid w:val="00CE5B22"/>
    <w:rsid w:val="00CF0044"/>
    <w:rsid w:val="00CF01C5"/>
    <w:rsid w:val="00CF2C1C"/>
    <w:rsid w:val="00CF420B"/>
    <w:rsid w:val="00CF45C4"/>
    <w:rsid w:val="00CF4C13"/>
    <w:rsid w:val="00D009D8"/>
    <w:rsid w:val="00D00DB5"/>
    <w:rsid w:val="00D0410E"/>
    <w:rsid w:val="00D060A9"/>
    <w:rsid w:val="00D06B0A"/>
    <w:rsid w:val="00D0763D"/>
    <w:rsid w:val="00D118D5"/>
    <w:rsid w:val="00D1510E"/>
    <w:rsid w:val="00D16213"/>
    <w:rsid w:val="00D16285"/>
    <w:rsid w:val="00D2024B"/>
    <w:rsid w:val="00D25DF9"/>
    <w:rsid w:val="00D27174"/>
    <w:rsid w:val="00D30E32"/>
    <w:rsid w:val="00D3156F"/>
    <w:rsid w:val="00D316D8"/>
    <w:rsid w:val="00D31CBB"/>
    <w:rsid w:val="00D3308E"/>
    <w:rsid w:val="00D34E29"/>
    <w:rsid w:val="00D35889"/>
    <w:rsid w:val="00D36A1D"/>
    <w:rsid w:val="00D36FDB"/>
    <w:rsid w:val="00D427BA"/>
    <w:rsid w:val="00D44C18"/>
    <w:rsid w:val="00D44F22"/>
    <w:rsid w:val="00D44FC7"/>
    <w:rsid w:val="00D510A4"/>
    <w:rsid w:val="00D533E2"/>
    <w:rsid w:val="00D53E2F"/>
    <w:rsid w:val="00D53F23"/>
    <w:rsid w:val="00D56DAC"/>
    <w:rsid w:val="00D61F62"/>
    <w:rsid w:val="00D649B2"/>
    <w:rsid w:val="00D70212"/>
    <w:rsid w:val="00D745DE"/>
    <w:rsid w:val="00D75D19"/>
    <w:rsid w:val="00D766C6"/>
    <w:rsid w:val="00D8114A"/>
    <w:rsid w:val="00D81DEC"/>
    <w:rsid w:val="00D82FE4"/>
    <w:rsid w:val="00D838F3"/>
    <w:rsid w:val="00D8582C"/>
    <w:rsid w:val="00D9023B"/>
    <w:rsid w:val="00D92919"/>
    <w:rsid w:val="00D932E0"/>
    <w:rsid w:val="00D97F62"/>
    <w:rsid w:val="00DA2F1A"/>
    <w:rsid w:val="00DA51E2"/>
    <w:rsid w:val="00DB1C87"/>
    <w:rsid w:val="00DB25FB"/>
    <w:rsid w:val="00DB3FF9"/>
    <w:rsid w:val="00DB76DA"/>
    <w:rsid w:val="00DC211D"/>
    <w:rsid w:val="00DC425F"/>
    <w:rsid w:val="00DC79B6"/>
    <w:rsid w:val="00DC7F3F"/>
    <w:rsid w:val="00DD0936"/>
    <w:rsid w:val="00DD1A3E"/>
    <w:rsid w:val="00DD4079"/>
    <w:rsid w:val="00DD69B7"/>
    <w:rsid w:val="00DD75F1"/>
    <w:rsid w:val="00DE0C06"/>
    <w:rsid w:val="00DE4B62"/>
    <w:rsid w:val="00DE7A8E"/>
    <w:rsid w:val="00DE7D2C"/>
    <w:rsid w:val="00DF0C21"/>
    <w:rsid w:val="00DF3A0C"/>
    <w:rsid w:val="00DF561C"/>
    <w:rsid w:val="00DF731B"/>
    <w:rsid w:val="00DF7F98"/>
    <w:rsid w:val="00E00736"/>
    <w:rsid w:val="00E00C42"/>
    <w:rsid w:val="00E02778"/>
    <w:rsid w:val="00E02884"/>
    <w:rsid w:val="00E041DF"/>
    <w:rsid w:val="00E0435B"/>
    <w:rsid w:val="00E04559"/>
    <w:rsid w:val="00E047EF"/>
    <w:rsid w:val="00E05499"/>
    <w:rsid w:val="00E055FD"/>
    <w:rsid w:val="00E149F3"/>
    <w:rsid w:val="00E2114D"/>
    <w:rsid w:val="00E21703"/>
    <w:rsid w:val="00E22206"/>
    <w:rsid w:val="00E22FAD"/>
    <w:rsid w:val="00E26810"/>
    <w:rsid w:val="00E3091F"/>
    <w:rsid w:val="00E3108B"/>
    <w:rsid w:val="00E3134A"/>
    <w:rsid w:val="00E3140E"/>
    <w:rsid w:val="00E33268"/>
    <w:rsid w:val="00E3397C"/>
    <w:rsid w:val="00E350A2"/>
    <w:rsid w:val="00E36EAE"/>
    <w:rsid w:val="00E371BA"/>
    <w:rsid w:val="00E37E6A"/>
    <w:rsid w:val="00E40789"/>
    <w:rsid w:val="00E40AD9"/>
    <w:rsid w:val="00E40C08"/>
    <w:rsid w:val="00E41FEB"/>
    <w:rsid w:val="00E44A37"/>
    <w:rsid w:val="00E44A94"/>
    <w:rsid w:val="00E45373"/>
    <w:rsid w:val="00E45718"/>
    <w:rsid w:val="00E47005"/>
    <w:rsid w:val="00E47349"/>
    <w:rsid w:val="00E47B99"/>
    <w:rsid w:val="00E51C7A"/>
    <w:rsid w:val="00E55EA8"/>
    <w:rsid w:val="00E56752"/>
    <w:rsid w:val="00E56A1C"/>
    <w:rsid w:val="00E570DE"/>
    <w:rsid w:val="00E5739C"/>
    <w:rsid w:val="00E65492"/>
    <w:rsid w:val="00E70D71"/>
    <w:rsid w:val="00E72817"/>
    <w:rsid w:val="00E736D1"/>
    <w:rsid w:val="00E73F68"/>
    <w:rsid w:val="00E75159"/>
    <w:rsid w:val="00E80DC8"/>
    <w:rsid w:val="00E8268E"/>
    <w:rsid w:val="00E86F2E"/>
    <w:rsid w:val="00E87655"/>
    <w:rsid w:val="00E9216A"/>
    <w:rsid w:val="00E93225"/>
    <w:rsid w:val="00E9500E"/>
    <w:rsid w:val="00E975E5"/>
    <w:rsid w:val="00EA0729"/>
    <w:rsid w:val="00EA409D"/>
    <w:rsid w:val="00EA7D31"/>
    <w:rsid w:val="00EB15BF"/>
    <w:rsid w:val="00EB2D5A"/>
    <w:rsid w:val="00EB5984"/>
    <w:rsid w:val="00EC3859"/>
    <w:rsid w:val="00EC5158"/>
    <w:rsid w:val="00EC52CE"/>
    <w:rsid w:val="00EC7657"/>
    <w:rsid w:val="00ED1CB1"/>
    <w:rsid w:val="00ED220B"/>
    <w:rsid w:val="00ED23EF"/>
    <w:rsid w:val="00ED39E5"/>
    <w:rsid w:val="00ED3F58"/>
    <w:rsid w:val="00ED56A8"/>
    <w:rsid w:val="00ED7951"/>
    <w:rsid w:val="00ED7E2D"/>
    <w:rsid w:val="00EE244E"/>
    <w:rsid w:val="00EE27F2"/>
    <w:rsid w:val="00EE28B2"/>
    <w:rsid w:val="00EE369A"/>
    <w:rsid w:val="00EE6C60"/>
    <w:rsid w:val="00EE7879"/>
    <w:rsid w:val="00EF4082"/>
    <w:rsid w:val="00EF4328"/>
    <w:rsid w:val="00EF64E0"/>
    <w:rsid w:val="00EF716B"/>
    <w:rsid w:val="00F00543"/>
    <w:rsid w:val="00F01D40"/>
    <w:rsid w:val="00F02B74"/>
    <w:rsid w:val="00F057CD"/>
    <w:rsid w:val="00F06628"/>
    <w:rsid w:val="00F06FF5"/>
    <w:rsid w:val="00F0788A"/>
    <w:rsid w:val="00F15AD0"/>
    <w:rsid w:val="00F16288"/>
    <w:rsid w:val="00F17B1A"/>
    <w:rsid w:val="00F21AB9"/>
    <w:rsid w:val="00F22963"/>
    <w:rsid w:val="00F23836"/>
    <w:rsid w:val="00F27D8D"/>
    <w:rsid w:val="00F33996"/>
    <w:rsid w:val="00F35839"/>
    <w:rsid w:val="00F36BA5"/>
    <w:rsid w:val="00F400C7"/>
    <w:rsid w:val="00F40F2E"/>
    <w:rsid w:val="00F413CD"/>
    <w:rsid w:val="00F50092"/>
    <w:rsid w:val="00F508E4"/>
    <w:rsid w:val="00F52719"/>
    <w:rsid w:val="00F52F0B"/>
    <w:rsid w:val="00F53604"/>
    <w:rsid w:val="00F53A45"/>
    <w:rsid w:val="00F56335"/>
    <w:rsid w:val="00F60375"/>
    <w:rsid w:val="00F61177"/>
    <w:rsid w:val="00F612C8"/>
    <w:rsid w:val="00F61B40"/>
    <w:rsid w:val="00F62A0C"/>
    <w:rsid w:val="00F65DC8"/>
    <w:rsid w:val="00F66381"/>
    <w:rsid w:val="00F67642"/>
    <w:rsid w:val="00F67829"/>
    <w:rsid w:val="00F71DD8"/>
    <w:rsid w:val="00F749C0"/>
    <w:rsid w:val="00F80A8E"/>
    <w:rsid w:val="00F827B2"/>
    <w:rsid w:val="00F828BF"/>
    <w:rsid w:val="00F833BD"/>
    <w:rsid w:val="00F83EBB"/>
    <w:rsid w:val="00F86B14"/>
    <w:rsid w:val="00F8748E"/>
    <w:rsid w:val="00F92E7D"/>
    <w:rsid w:val="00F94A81"/>
    <w:rsid w:val="00F9686A"/>
    <w:rsid w:val="00F97D3F"/>
    <w:rsid w:val="00FA1286"/>
    <w:rsid w:val="00FA1E00"/>
    <w:rsid w:val="00FA382A"/>
    <w:rsid w:val="00FA571C"/>
    <w:rsid w:val="00FA7295"/>
    <w:rsid w:val="00FB04B8"/>
    <w:rsid w:val="00FB09F4"/>
    <w:rsid w:val="00FB21D1"/>
    <w:rsid w:val="00FB749E"/>
    <w:rsid w:val="00FC0E23"/>
    <w:rsid w:val="00FC18E5"/>
    <w:rsid w:val="00FC4E7F"/>
    <w:rsid w:val="00FC5C92"/>
    <w:rsid w:val="00FC6949"/>
    <w:rsid w:val="00FD0348"/>
    <w:rsid w:val="00FD1BB1"/>
    <w:rsid w:val="00FD2E16"/>
    <w:rsid w:val="00FD43F9"/>
    <w:rsid w:val="00FD5C55"/>
    <w:rsid w:val="00FD6922"/>
    <w:rsid w:val="00FE34EF"/>
    <w:rsid w:val="00FE4BB5"/>
    <w:rsid w:val="00FE6B1E"/>
    <w:rsid w:val="00FF29B4"/>
    <w:rsid w:val="04B44702"/>
    <w:rsid w:val="0CE92650"/>
    <w:rsid w:val="103C4E6E"/>
    <w:rsid w:val="1ACE0AB2"/>
    <w:rsid w:val="22B910BD"/>
    <w:rsid w:val="239E0AF3"/>
    <w:rsid w:val="378E0620"/>
    <w:rsid w:val="39644542"/>
    <w:rsid w:val="397F7388"/>
    <w:rsid w:val="4319761E"/>
    <w:rsid w:val="4BEB766C"/>
    <w:rsid w:val="53923480"/>
    <w:rsid w:val="62C03C21"/>
    <w:rsid w:val="67696E82"/>
    <w:rsid w:val="6E227336"/>
    <w:rsid w:val="6FC63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0" w:semiHidden="0" w:name="endnote reference"/>
    <w:lsdException w:qFormat="1" w:uiPriority="0" w:semiHidden="0" w:name="endnote text"/>
    <w:lsdException w:qFormat="1" w:uiPriority="99" w:semiHidden="0" w:name="table of authorities"/>
    <w:lsdException w:qFormat="1" w:unhideWhenUsed="0" w:uiPriority="0" w:semiHidden="0"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nhideWhenUsed="0" w:uiPriority="0" w:semiHidden="0" w:name="HTML Typewriter"/>
    <w:lsdException w:qFormat="1"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5"/>
    <w:link w:val="10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6">
    <w:name w:val="heading 3"/>
    <w:basedOn w:val="1"/>
    <w:next w:val="5"/>
    <w:link w:val="104"/>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7">
    <w:name w:val="heading 4"/>
    <w:basedOn w:val="1"/>
    <w:next w:val="1"/>
    <w:link w:val="105"/>
    <w:qFormat/>
    <w:uiPriority w:val="0"/>
    <w:pPr>
      <w:keepNext/>
      <w:keepLines/>
      <w:spacing w:before="280" w:after="290" w:line="376" w:lineRule="auto"/>
      <w:outlineLvl w:val="3"/>
    </w:pPr>
    <w:rPr>
      <w:rFonts w:ascii="Arial" w:hAnsi="Arial" w:eastAsia="黑体"/>
      <w:b/>
      <w:bCs/>
      <w:kern w:val="0"/>
      <w:sz w:val="28"/>
      <w:szCs w:val="28"/>
    </w:rPr>
  </w:style>
  <w:style w:type="paragraph" w:styleId="8">
    <w:name w:val="heading 5"/>
    <w:basedOn w:val="1"/>
    <w:next w:val="1"/>
    <w:link w:val="106"/>
    <w:qFormat/>
    <w:uiPriority w:val="0"/>
    <w:pPr>
      <w:keepNext/>
      <w:keepLines/>
      <w:tabs>
        <w:tab w:val="left" w:pos="360"/>
      </w:tabs>
      <w:suppressAutoHyphens/>
      <w:spacing w:before="280" w:after="290" w:line="372" w:lineRule="auto"/>
      <w:ind w:left="360" w:hanging="360"/>
      <w:outlineLvl w:val="4"/>
    </w:pPr>
    <w:rPr>
      <w:rFonts w:ascii="Calibri" w:hAnsi="Calibri"/>
      <w:b/>
      <w:bCs/>
      <w:kern w:val="0"/>
      <w:sz w:val="28"/>
      <w:szCs w:val="28"/>
      <w:lang w:eastAsia="ar-SA"/>
    </w:rPr>
  </w:style>
  <w:style w:type="paragraph" w:styleId="9">
    <w:name w:val="heading 6"/>
    <w:basedOn w:val="1"/>
    <w:next w:val="1"/>
    <w:link w:val="107"/>
    <w:qFormat/>
    <w:uiPriority w:val="0"/>
    <w:pPr>
      <w:keepNext/>
      <w:keepLines/>
      <w:spacing w:before="240" w:after="64" w:line="320" w:lineRule="auto"/>
      <w:outlineLvl w:val="5"/>
    </w:pPr>
    <w:rPr>
      <w:rFonts w:ascii="Arial" w:hAnsi="Arial" w:eastAsia="黑体"/>
      <w:b/>
      <w:bCs/>
      <w:kern w:val="0"/>
      <w:sz w:val="24"/>
    </w:rPr>
  </w:style>
  <w:style w:type="paragraph" w:styleId="10">
    <w:name w:val="heading 7"/>
    <w:basedOn w:val="1"/>
    <w:next w:val="1"/>
    <w:link w:val="108"/>
    <w:qFormat/>
    <w:uiPriority w:val="0"/>
    <w:pPr>
      <w:keepNext/>
      <w:keepLines/>
      <w:spacing w:before="240" w:after="64" w:line="320" w:lineRule="auto"/>
      <w:outlineLvl w:val="6"/>
    </w:pPr>
    <w:rPr>
      <w:b/>
      <w:bCs/>
      <w:kern w:val="0"/>
      <w:sz w:val="24"/>
    </w:rPr>
  </w:style>
  <w:style w:type="paragraph" w:styleId="11">
    <w:name w:val="heading 8"/>
    <w:basedOn w:val="1"/>
    <w:next w:val="1"/>
    <w:link w:val="109"/>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2">
    <w:name w:val="heading 9"/>
    <w:basedOn w:val="1"/>
    <w:next w:val="1"/>
    <w:link w:val="110"/>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83">
    <w:name w:val="Default Paragraph Font"/>
    <w:semiHidden/>
    <w:unhideWhenUsed/>
    <w:qFormat/>
    <w:uiPriority w:val="1"/>
  </w:style>
  <w:style w:type="table" w:default="1" w:styleId="81">
    <w:name w:val="Normal Table"/>
    <w:semiHidden/>
    <w:unhideWhenUsed/>
    <w:qFormat/>
    <w:uiPriority w:val="99"/>
    <w:tblPr>
      <w:tblCellMar>
        <w:top w:w="0" w:type="dxa"/>
        <w:left w:w="108" w:type="dxa"/>
        <w:bottom w:w="0" w:type="dxa"/>
        <w:right w:w="108" w:type="dxa"/>
      </w:tblCellMar>
    </w:tblPr>
  </w:style>
  <w:style w:type="paragraph" w:styleId="2">
    <w:name w:val="macro"/>
    <w:link w:val="100"/>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szCs w:val="24"/>
      <w:lang w:val="en-US" w:eastAsia="zh-CN" w:bidi="ar-SA"/>
    </w:rPr>
  </w:style>
  <w:style w:type="paragraph" w:styleId="5">
    <w:name w:val="Normal Indent"/>
    <w:basedOn w:val="1"/>
    <w:link w:val="103"/>
    <w:qFormat/>
    <w:uiPriority w:val="0"/>
    <w:pPr>
      <w:autoSpaceDE w:val="0"/>
      <w:autoSpaceDN w:val="0"/>
      <w:adjustRightInd w:val="0"/>
      <w:ind w:firstLine="420"/>
      <w:jc w:val="left"/>
    </w:pPr>
    <w:rPr>
      <w:rFonts w:ascii="宋体"/>
      <w:kern w:val="0"/>
      <w:sz w:val="24"/>
      <w:szCs w:val="20"/>
    </w:rPr>
  </w:style>
  <w:style w:type="paragraph" w:styleId="13">
    <w:name w:val="List 3"/>
    <w:basedOn w:val="1"/>
    <w:qFormat/>
    <w:uiPriority w:val="0"/>
    <w:pPr>
      <w:ind w:left="100" w:leftChars="400" w:hanging="200" w:hangingChars="200"/>
    </w:pPr>
  </w:style>
  <w:style w:type="paragraph" w:styleId="14">
    <w:name w:val="toc 7"/>
    <w:basedOn w:val="1"/>
    <w:next w:val="1"/>
    <w:unhideWhenUsed/>
    <w:qFormat/>
    <w:uiPriority w:val="39"/>
    <w:pPr>
      <w:ind w:left="2520" w:leftChars="1200"/>
    </w:pPr>
    <w:rPr>
      <w:rFonts w:ascii="Calibri" w:hAnsi="Calibri"/>
      <w:szCs w:val="22"/>
    </w:rPr>
  </w:style>
  <w:style w:type="paragraph" w:styleId="15">
    <w:name w:val="List Number 2"/>
    <w:basedOn w:val="1"/>
    <w:qFormat/>
    <w:uiPriority w:val="0"/>
    <w:pPr>
      <w:tabs>
        <w:tab w:val="left" w:pos="1320"/>
      </w:tabs>
      <w:spacing w:line="360" w:lineRule="auto"/>
      <w:ind w:left="1320" w:hanging="420" w:firstLineChars="200"/>
    </w:pPr>
    <w:rPr>
      <w:rFonts w:ascii="Arial" w:hAnsi="Arial"/>
      <w:sz w:val="24"/>
    </w:rPr>
  </w:style>
  <w:style w:type="paragraph" w:styleId="16">
    <w:name w:val="table of authorities"/>
    <w:basedOn w:val="1"/>
    <w:next w:val="1"/>
    <w:unhideWhenUsed/>
    <w:qFormat/>
    <w:uiPriority w:val="99"/>
    <w:pPr>
      <w:ind w:left="420" w:leftChars="200"/>
    </w:pPr>
  </w:style>
  <w:style w:type="paragraph" w:styleId="17">
    <w:name w:val="Note Heading"/>
    <w:basedOn w:val="1"/>
    <w:next w:val="1"/>
    <w:link w:val="111"/>
    <w:qFormat/>
    <w:uiPriority w:val="0"/>
    <w:pPr>
      <w:spacing w:line="360" w:lineRule="auto"/>
      <w:ind w:firstLine="200" w:firstLineChars="200"/>
      <w:jc w:val="center"/>
    </w:pPr>
  </w:style>
  <w:style w:type="paragraph" w:styleId="18">
    <w:name w:val="List Bullet 4"/>
    <w:basedOn w:val="1"/>
    <w:qFormat/>
    <w:uiPriority w:val="0"/>
    <w:pPr>
      <w:tabs>
        <w:tab w:val="left" w:pos="1620"/>
      </w:tabs>
      <w:ind w:left="1620" w:leftChars="600" w:hanging="360" w:hangingChars="200"/>
    </w:pPr>
  </w:style>
  <w:style w:type="paragraph" w:styleId="19">
    <w:name w:val="E-mail Signature"/>
    <w:basedOn w:val="1"/>
    <w:link w:val="112"/>
    <w:qFormat/>
    <w:uiPriority w:val="0"/>
  </w:style>
  <w:style w:type="paragraph" w:styleId="20">
    <w:name w:val="List Number"/>
    <w:basedOn w:val="1"/>
    <w:qFormat/>
    <w:uiPriority w:val="0"/>
    <w:pPr>
      <w:tabs>
        <w:tab w:val="left" w:pos="360"/>
      </w:tabs>
      <w:ind w:left="360" w:hanging="360" w:hangingChars="200"/>
    </w:pPr>
  </w:style>
  <w:style w:type="paragraph" w:styleId="21">
    <w:name w:val="caption"/>
    <w:basedOn w:val="1"/>
    <w:next w:val="1"/>
    <w:link w:val="113"/>
    <w:qFormat/>
    <w:uiPriority w:val="0"/>
    <w:pPr>
      <w:suppressAutoHyphens/>
      <w:spacing w:before="152" w:after="160"/>
    </w:pPr>
    <w:rPr>
      <w:rFonts w:ascii="Arial" w:hAnsi="Arial" w:eastAsia="黑体"/>
      <w:sz w:val="20"/>
      <w:szCs w:val="20"/>
      <w:lang w:eastAsia="ar-SA"/>
    </w:rPr>
  </w:style>
  <w:style w:type="paragraph" w:styleId="22">
    <w:name w:val="index 5"/>
    <w:basedOn w:val="1"/>
    <w:next w:val="1"/>
    <w:qFormat/>
    <w:uiPriority w:val="0"/>
    <w:pPr>
      <w:ind w:left="800" w:leftChars="800"/>
    </w:pPr>
  </w:style>
  <w:style w:type="paragraph" w:styleId="23">
    <w:name w:val="List Bullet"/>
    <w:basedOn w:val="24"/>
    <w:qFormat/>
    <w:uiPriority w:val="0"/>
    <w:pPr>
      <w:widowControl/>
      <w:tabs>
        <w:tab w:val="left" w:pos="417"/>
        <w:tab w:val="left" w:pos="567"/>
      </w:tabs>
      <w:spacing w:before="40" w:after="80" w:line="360" w:lineRule="auto"/>
      <w:ind w:left="57"/>
      <w:jc w:val="left"/>
    </w:pPr>
    <w:rPr>
      <w:rFonts w:ascii="Arial" w:hAnsi="Arial"/>
      <w:snapToGrid w:val="0"/>
      <w:szCs w:val="20"/>
    </w:rPr>
  </w:style>
  <w:style w:type="paragraph" w:styleId="24">
    <w:name w:val="Body Text"/>
    <w:basedOn w:val="1"/>
    <w:link w:val="114"/>
    <w:qFormat/>
    <w:uiPriority w:val="0"/>
    <w:pPr>
      <w:tabs>
        <w:tab w:val="left" w:pos="567"/>
      </w:tabs>
      <w:spacing w:before="120" w:line="22" w:lineRule="atLeast"/>
    </w:pPr>
    <w:rPr>
      <w:rFonts w:ascii="宋体" w:hAnsi="宋体"/>
      <w:kern w:val="0"/>
      <w:sz w:val="24"/>
    </w:rPr>
  </w:style>
  <w:style w:type="paragraph" w:styleId="25">
    <w:name w:val="envelope address"/>
    <w:basedOn w:val="1"/>
    <w:qFormat/>
    <w:uiPriority w:val="0"/>
    <w:pPr>
      <w:framePr w:w="7920" w:h="1980" w:hRule="exact" w:hSpace="180" w:wrap="around" w:vAnchor="margin" w:hAnchor="page" w:xAlign="center" w:yAlign="bottom"/>
      <w:snapToGrid w:val="0"/>
      <w:ind w:left="100" w:leftChars="1400"/>
    </w:pPr>
    <w:rPr>
      <w:rFonts w:ascii="Arial" w:hAnsi="Arial" w:cs="Arial"/>
      <w:sz w:val="24"/>
    </w:rPr>
  </w:style>
  <w:style w:type="paragraph" w:styleId="26">
    <w:name w:val="Document Map"/>
    <w:basedOn w:val="1"/>
    <w:link w:val="115"/>
    <w:qFormat/>
    <w:uiPriority w:val="0"/>
    <w:pPr>
      <w:shd w:val="clear" w:color="auto" w:fill="000080"/>
    </w:pPr>
    <w:rPr>
      <w:kern w:val="0"/>
      <w:sz w:val="20"/>
    </w:rPr>
  </w:style>
  <w:style w:type="paragraph" w:styleId="27">
    <w:name w:val="annotation text"/>
    <w:basedOn w:val="1"/>
    <w:link w:val="116"/>
    <w:qFormat/>
    <w:uiPriority w:val="0"/>
    <w:pPr>
      <w:jc w:val="left"/>
    </w:pPr>
    <w:rPr>
      <w:kern w:val="0"/>
      <w:sz w:val="20"/>
    </w:rPr>
  </w:style>
  <w:style w:type="paragraph" w:styleId="28">
    <w:name w:val="Salutation"/>
    <w:basedOn w:val="1"/>
    <w:next w:val="1"/>
    <w:link w:val="117"/>
    <w:qFormat/>
    <w:uiPriority w:val="0"/>
    <w:pPr>
      <w:tabs>
        <w:tab w:val="left" w:pos="2730"/>
      </w:tabs>
      <w:spacing w:line="360" w:lineRule="auto"/>
      <w:ind w:firstLine="200" w:firstLineChars="200"/>
    </w:pPr>
    <w:rPr>
      <w:bCs/>
      <w:sz w:val="24"/>
    </w:rPr>
  </w:style>
  <w:style w:type="paragraph" w:styleId="29">
    <w:name w:val="Body Text 3"/>
    <w:basedOn w:val="1"/>
    <w:link w:val="118"/>
    <w:qFormat/>
    <w:uiPriority w:val="0"/>
    <w:pPr>
      <w:adjustRightInd w:val="0"/>
      <w:spacing w:line="360" w:lineRule="auto"/>
      <w:jc w:val="left"/>
      <w:textAlignment w:val="baseline"/>
    </w:pPr>
    <w:rPr>
      <w:rFonts w:ascii="宋体" w:hAnsi="宋体"/>
      <w:b/>
      <w:kern w:val="0"/>
      <w:sz w:val="24"/>
    </w:rPr>
  </w:style>
  <w:style w:type="paragraph" w:styleId="30">
    <w:name w:val="Closing"/>
    <w:basedOn w:val="1"/>
    <w:link w:val="119"/>
    <w:qFormat/>
    <w:uiPriority w:val="0"/>
    <w:pPr>
      <w:ind w:left="100" w:leftChars="2100"/>
    </w:pPr>
  </w:style>
  <w:style w:type="paragraph" w:styleId="31">
    <w:name w:val="List Bullet 3"/>
    <w:basedOn w:val="1"/>
    <w:unhideWhenUsed/>
    <w:qFormat/>
    <w:uiPriority w:val="0"/>
    <w:pPr>
      <w:tabs>
        <w:tab w:val="left" w:pos="1200"/>
      </w:tabs>
      <w:ind w:left="1200" w:leftChars="400" w:hanging="360" w:hangingChars="200"/>
      <w:contextualSpacing/>
    </w:pPr>
  </w:style>
  <w:style w:type="paragraph" w:styleId="32">
    <w:name w:val="Body Text Indent"/>
    <w:basedOn w:val="1"/>
    <w:link w:val="120"/>
    <w:qFormat/>
    <w:uiPriority w:val="0"/>
    <w:pPr>
      <w:spacing w:line="360" w:lineRule="auto"/>
      <w:ind w:firstLine="570"/>
    </w:pPr>
    <w:rPr>
      <w:kern w:val="0"/>
      <w:sz w:val="24"/>
    </w:rPr>
  </w:style>
  <w:style w:type="paragraph" w:styleId="33">
    <w:name w:val="List Number 3"/>
    <w:basedOn w:val="1"/>
    <w:qFormat/>
    <w:uiPriority w:val="0"/>
    <w:pPr>
      <w:tabs>
        <w:tab w:val="left" w:pos="1226"/>
        <w:tab w:val="left" w:pos="1260"/>
      </w:tabs>
      <w:spacing w:line="360" w:lineRule="auto"/>
      <w:ind w:left="1260" w:hanging="840" w:firstLineChars="200"/>
    </w:pPr>
    <w:rPr>
      <w:rFonts w:ascii="Arial" w:hAnsi="Arial"/>
      <w:sz w:val="24"/>
    </w:rPr>
  </w:style>
  <w:style w:type="paragraph" w:styleId="34">
    <w:name w:val="List 2"/>
    <w:basedOn w:val="1"/>
    <w:qFormat/>
    <w:uiPriority w:val="0"/>
    <w:pPr>
      <w:spacing w:line="360" w:lineRule="auto"/>
      <w:ind w:firstLine="200" w:firstLineChars="200"/>
    </w:pPr>
    <w:rPr>
      <w:sz w:val="28"/>
    </w:rPr>
  </w:style>
  <w:style w:type="paragraph" w:styleId="35">
    <w:name w:val="List Continue"/>
    <w:basedOn w:val="1"/>
    <w:qFormat/>
    <w:uiPriority w:val="0"/>
    <w:pPr>
      <w:spacing w:after="120"/>
      <w:ind w:left="420" w:leftChars="200"/>
    </w:pPr>
  </w:style>
  <w:style w:type="paragraph" w:styleId="36">
    <w:name w:val="Block Text"/>
    <w:basedOn w:val="1"/>
    <w:qFormat/>
    <w:uiPriority w:val="0"/>
    <w:pPr>
      <w:spacing w:after="120"/>
      <w:ind w:left="1440" w:leftChars="700" w:right="1440" w:rightChars="700"/>
    </w:pPr>
  </w:style>
  <w:style w:type="paragraph" w:styleId="37">
    <w:name w:val="List Bullet 2"/>
    <w:basedOn w:val="1"/>
    <w:qFormat/>
    <w:uiPriority w:val="0"/>
    <w:pPr>
      <w:tabs>
        <w:tab w:val="left" w:pos="780"/>
      </w:tabs>
      <w:spacing w:line="360" w:lineRule="auto"/>
      <w:ind w:left="780" w:leftChars="200" w:hanging="360" w:hangingChars="200"/>
    </w:pPr>
    <w:rPr>
      <w:sz w:val="24"/>
    </w:rPr>
  </w:style>
  <w:style w:type="paragraph" w:styleId="38">
    <w:name w:val="HTML Address"/>
    <w:basedOn w:val="1"/>
    <w:link w:val="121"/>
    <w:qFormat/>
    <w:uiPriority w:val="0"/>
    <w:rPr>
      <w:i/>
      <w:iCs/>
    </w:rPr>
  </w:style>
  <w:style w:type="paragraph" w:styleId="39">
    <w:name w:val="index 4"/>
    <w:basedOn w:val="1"/>
    <w:next w:val="1"/>
    <w:qFormat/>
    <w:uiPriority w:val="0"/>
    <w:pPr>
      <w:ind w:left="600" w:leftChars="600"/>
    </w:pPr>
  </w:style>
  <w:style w:type="paragraph" w:styleId="40">
    <w:name w:val="toc 5"/>
    <w:basedOn w:val="1"/>
    <w:next w:val="1"/>
    <w:qFormat/>
    <w:uiPriority w:val="39"/>
    <w:pPr>
      <w:ind w:left="1680" w:leftChars="800"/>
    </w:pPr>
  </w:style>
  <w:style w:type="paragraph" w:styleId="41">
    <w:name w:val="toc 3"/>
    <w:basedOn w:val="1"/>
    <w:next w:val="1"/>
    <w:qFormat/>
    <w:uiPriority w:val="39"/>
    <w:pPr>
      <w:tabs>
        <w:tab w:val="left" w:pos="1680"/>
        <w:tab w:val="right" w:leader="dot" w:pos="8937"/>
      </w:tabs>
      <w:ind w:left="840" w:leftChars="400"/>
    </w:pPr>
  </w:style>
  <w:style w:type="paragraph" w:styleId="42">
    <w:name w:val="Plain Text"/>
    <w:basedOn w:val="1"/>
    <w:link w:val="122"/>
    <w:qFormat/>
    <w:uiPriority w:val="0"/>
    <w:rPr>
      <w:rFonts w:ascii="宋体" w:hAnsi="Courier New"/>
      <w:kern w:val="0"/>
      <w:sz w:val="20"/>
      <w:szCs w:val="20"/>
    </w:rPr>
  </w:style>
  <w:style w:type="paragraph" w:styleId="43">
    <w:name w:val="List Bullet 5"/>
    <w:basedOn w:val="1"/>
    <w:qFormat/>
    <w:uiPriority w:val="0"/>
    <w:pPr>
      <w:tabs>
        <w:tab w:val="left" w:pos="2040"/>
      </w:tabs>
      <w:ind w:left="2040" w:leftChars="800" w:hanging="360" w:hangingChars="200"/>
    </w:pPr>
  </w:style>
  <w:style w:type="paragraph" w:styleId="44">
    <w:name w:val="List Number 4"/>
    <w:basedOn w:val="1"/>
    <w:qFormat/>
    <w:uiPriority w:val="0"/>
    <w:pPr>
      <w:tabs>
        <w:tab w:val="left" w:pos="1620"/>
      </w:tabs>
      <w:ind w:left="1620" w:leftChars="600" w:hanging="360" w:hangingChars="200"/>
    </w:pPr>
  </w:style>
  <w:style w:type="paragraph" w:styleId="45">
    <w:name w:val="toc 8"/>
    <w:basedOn w:val="1"/>
    <w:next w:val="1"/>
    <w:unhideWhenUsed/>
    <w:qFormat/>
    <w:uiPriority w:val="39"/>
    <w:pPr>
      <w:ind w:left="2940" w:leftChars="1400"/>
    </w:pPr>
    <w:rPr>
      <w:rFonts w:ascii="Calibri" w:hAnsi="Calibri"/>
      <w:szCs w:val="22"/>
    </w:rPr>
  </w:style>
  <w:style w:type="paragraph" w:styleId="46">
    <w:name w:val="Date"/>
    <w:basedOn w:val="1"/>
    <w:next w:val="1"/>
    <w:link w:val="123"/>
    <w:qFormat/>
    <w:uiPriority w:val="0"/>
    <w:pPr>
      <w:ind w:left="100" w:leftChars="2500"/>
    </w:pPr>
    <w:rPr>
      <w:rFonts w:ascii="仿宋_GB2312" w:hAnsi="宋体" w:eastAsia="仿宋_GB2312"/>
      <w:color w:val="000000"/>
      <w:kern w:val="0"/>
      <w:sz w:val="24"/>
    </w:rPr>
  </w:style>
  <w:style w:type="paragraph" w:styleId="47">
    <w:name w:val="Body Text Indent 2"/>
    <w:basedOn w:val="1"/>
    <w:link w:val="124"/>
    <w:qFormat/>
    <w:uiPriority w:val="0"/>
    <w:pPr>
      <w:ind w:firstLine="480" w:firstLineChars="200"/>
    </w:pPr>
    <w:rPr>
      <w:rFonts w:ascii="仿宋_GB2312" w:eastAsia="仿宋_GB2312"/>
      <w:kern w:val="0"/>
      <w:sz w:val="24"/>
    </w:rPr>
  </w:style>
  <w:style w:type="paragraph" w:styleId="48">
    <w:name w:val="endnote text"/>
    <w:basedOn w:val="1"/>
    <w:link w:val="125"/>
    <w:unhideWhenUsed/>
    <w:qFormat/>
    <w:uiPriority w:val="0"/>
    <w:pPr>
      <w:snapToGrid w:val="0"/>
      <w:spacing w:line="360" w:lineRule="auto"/>
      <w:ind w:firstLine="200" w:firstLineChars="200"/>
      <w:jc w:val="left"/>
    </w:pPr>
    <w:rPr>
      <w:sz w:val="24"/>
    </w:rPr>
  </w:style>
  <w:style w:type="paragraph" w:styleId="49">
    <w:name w:val="List Continue 5"/>
    <w:basedOn w:val="1"/>
    <w:qFormat/>
    <w:uiPriority w:val="0"/>
    <w:pPr>
      <w:spacing w:afterLines="50" w:line="360" w:lineRule="auto"/>
      <w:ind w:left="2100" w:leftChars="1000" w:firstLine="200" w:firstLineChars="200"/>
    </w:pPr>
    <w:rPr>
      <w:sz w:val="24"/>
    </w:rPr>
  </w:style>
  <w:style w:type="paragraph" w:styleId="50">
    <w:name w:val="Balloon Text"/>
    <w:basedOn w:val="1"/>
    <w:link w:val="126"/>
    <w:qFormat/>
    <w:uiPriority w:val="0"/>
    <w:rPr>
      <w:kern w:val="0"/>
      <w:sz w:val="18"/>
      <w:szCs w:val="18"/>
    </w:rPr>
  </w:style>
  <w:style w:type="paragraph" w:styleId="51">
    <w:name w:val="footer"/>
    <w:basedOn w:val="1"/>
    <w:link w:val="127"/>
    <w:unhideWhenUsed/>
    <w:qFormat/>
    <w:uiPriority w:val="99"/>
    <w:pPr>
      <w:tabs>
        <w:tab w:val="center" w:pos="4153"/>
        <w:tab w:val="right" w:pos="8306"/>
      </w:tabs>
      <w:snapToGrid w:val="0"/>
      <w:jc w:val="left"/>
    </w:pPr>
    <w:rPr>
      <w:rFonts w:ascii="Calibri" w:hAnsi="Calibri"/>
      <w:kern w:val="0"/>
      <w:sz w:val="18"/>
      <w:szCs w:val="18"/>
    </w:rPr>
  </w:style>
  <w:style w:type="paragraph" w:styleId="52">
    <w:name w:val="envelope return"/>
    <w:basedOn w:val="1"/>
    <w:qFormat/>
    <w:uiPriority w:val="0"/>
    <w:pPr>
      <w:snapToGrid w:val="0"/>
    </w:pPr>
    <w:rPr>
      <w:rFonts w:ascii="Arial" w:hAnsi="Arial" w:cs="Arial"/>
    </w:rPr>
  </w:style>
  <w:style w:type="paragraph" w:styleId="53">
    <w:name w:val="header"/>
    <w:basedOn w:val="1"/>
    <w:link w:val="128"/>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54">
    <w:name w:val="Signature"/>
    <w:basedOn w:val="1"/>
    <w:link w:val="129"/>
    <w:qFormat/>
    <w:uiPriority w:val="0"/>
    <w:pPr>
      <w:ind w:left="100" w:leftChars="2100"/>
    </w:pPr>
  </w:style>
  <w:style w:type="paragraph" w:styleId="55">
    <w:name w:val="toc 1"/>
    <w:basedOn w:val="1"/>
    <w:next w:val="1"/>
    <w:qFormat/>
    <w:uiPriority w:val="39"/>
    <w:pPr>
      <w:tabs>
        <w:tab w:val="left" w:pos="840"/>
        <w:tab w:val="right" w:leader="dot" w:pos="8280"/>
      </w:tabs>
      <w:spacing w:before="120" w:after="120"/>
      <w:jc w:val="left"/>
    </w:pPr>
    <w:rPr>
      <w:rFonts w:ascii="仿宋_GB2312" w:hAnsi="宋体" w:eastAsia="仿宋_GB2312"/>
      <w:b/>
      <w:sz w:val="24"/>
    </w:rPr>
  </w:style>
  <w:style w:type="paragraph" w:styleId="56">
    <w:name w:val="List Continue 4"/>
    <w:basedOn w:val="1"/>
    <w:qFormat/>
    <w:uiPriority w:val="0"/>
    <w:pPr>
      <w:spacing w:after="120"/>
      <w:ind w:left="1680" w:leftChars="800"/>
    </w:pPr>
  </w:style>
  <w:style w:type="paragraph" w:styleId="57">
    <w:name w:val="toc 4"/>
    <w:basedOn w:val="1"/>
    <w:next w:val="1"/>
    <w:qFormat/>
    <w:uiPriority w:val="39"/>
    <w:pPr>
      <w:ind w:left="1260" w:leftChars="600"/>
    </w:pPr>
  </w:style>
  <w:style w:type="paragraph" w:styleId="58">
    <w:name w:val="index heading"/>
    <w:basedOn w:val="1"/>
    <w:next w:val="59"/>
    <w:qFormat/>
    <w:uiPriority w:val="0"/>
    <w:pPr>
      <w:spacing w:line="360" w:lineRule="auto"/>
      <w:ind w:firstLine="200" w:firstLineChars="200"/>
    </w:pPr>
    <w:rPr>
      <w:rFonts w:ascii="Cambria" w:hAnsi="Cambria"/>
      <w:b/>
      <w:bCs/>
      <w:sz w:val="24"/>
    </w:rPr>
  </w:style>
  <w:style w:type="paragraph" w:styleId="59">
    <w:name w:val="index 1"/>
    <w:basedOn w:val="1"/>
    <w:next w:val="1"/>
    <w:qFormat/>
    <w:uiPriority w:val="0"/>
    <w:rPr>
      <w:szCs w:val="20"/>
    </w:rPr>
  </w:style>
  <w:style w:type="paragraph" w:styleId="60">
    <w:name w:val="Subtitle"/>
    <w:basedOn w:val="1"/>
    <w:next w:val="1"/>
    <w:link w:val="130"/>
    <w:qFormat/>
    <w:uiPriority w:val="0"/>
    <w:pPr>
      <w:spacing w:before="240" w:after="60" w:line="312" w:lineRule="auto"/>
      <w:jc w:val="center"/>
      <w:outlineLvl w:val="1"/>
    </w:pPr>
    <w:rPr>
      <w:rFonts w:ascii="Cambria" w:hAnsi="Cambria"/>
      <w:b/>
      <w:bCs/>
      <w:kern w:val="28"/>
      <w:sz w:val="32"/>
      <w:szCs w:val="32"/>
    </w:rPr>
  </w:style>
  <w:style w:type="paragraph" w:styleId="61">
    <w:name w:val="List Number 5"/>
    <w:basedOn w:val="1"/>
    <w:qFormat/>
    <w:uiPriority w:val="0"/>
    <w:pPr>
      <w:tabs>
        <w:tab w:val="left" w:pos="2040"/>
      </w:tabs>
      <w:ind w:left="2040" w:leftChars="800" w:hanging="360" w:hangingChars="200"/>
    </w:pPr>
  </w:style>
  <w:style w:type="paragraph" w:styleId="62">
    <w:name w:val="List"/>
    <w:basedOn w:val="1"/>
    <w:qFormat/>
    <w:uiPriority w:val="0"/>
    <w:pPr>
      <w:adjustRightInd w:val="0"/>
      <w:spacing w:line="360" w:lineRule="atLeast"/>
      <w:ind w:left="420" w:hanging="420"/>
      <w:jc w:val="left"/>
    </w:pPr>
    <w:rPr>
      <w:rFonts w:hint="eastAsia" w:ascii="宋体"/>
      <w:kern w:val="0"/>
      <w:sz w:val="24"/>
      <w:szCs w:val="20"/>
    </w:rPr>
  </w:style>
  <w:style w:type="paragraph" w:styleId="63">
    <w:name w:val="footnote text"/>
    <w:basedOn w:val="1"/>
    <w:link w:val="131"/>
    <w:qFormat/>
    <w:uiPriority w:val="0"/>
    <w:pPr>
      <w:snapToGrid w:val="0"/>
      <w:jc w:val="left"/>
    </w:pPr>
    <w:rPr>
      <w:kern w:val="0"/>
      <w:sz w:val="18"/>
      <w:szCs w:val="18"/>
    </w:rPr>
  </w:style>
  <w:style w:type="paragraph" w:styleId="64">
    <w:name w:val="toc 6"/>
    <w:basedOn w:val="1"/>
    <w:next w:val="1"/>
    <w:unhideWhenUsed/>
    <w:qFormat/>
    <w:uiPriority w:val="39"/>
    <w:pPr>
      <w:ind w:left="2100" w:leftChars="1000"/>
    </w:pPr>
    <w:rPr>
      <w:rFonts w:ascii="Calibri" w:hAnsi="Calibri"/>
      <w:szCs w:val="22"/>
    </w:rPr>
  </w:style>
  <w:style w:type="paragraph" w:styleId="65">
    <w:name w:val="List 5"/>
    <w:basedOn w:val="1"/>
    <w:qFormat/>
    <w:uiPriority w:val="0"/>
    <w:pPr>
      <w:spacing w:line="360" w:lineRule="auto"/>
      <w:ind w:left="100" w:leftChars="800" w:hanging="200" w:hangingChars="200"/>
    </w:pPr>
    <w:rPr>
      <w:sz w:val="24"/>
    </w:rPr>
  </w:style>
  <w:style w:type="paragraph" w:styleId="66">
    <w:name w:val="Body Text Indent 3"/>
    <w:basedOn w:val="1"/>
    <w:link w:val="132"/>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67">
    <w:name w:val="table of figures"/>
    <w:basedOn w:val="1"/>
    <w:next w:val="1"/>
    <w:qFormat/>
    <w:uiPriority w:val="0"/>
    <w:pPr>
      <w:spacing w:line="360" w:lineRule="auto"/>
      <w:ind w:left="400" w:leftChars="200" w:hanging="200" w:hangingChars="200"/>
    </w:pPr>
    <w:rPr>
      <w:sz w:val="24"/>
    </w:rPr>
  </w:style>
  <w:style w:type="paragraph" w:styleId="68">
    <w:name w:val="toc 2"/>
    <w:basedOn w:val="1"/>
    <w:next w:val="1"/>
    <w:qFormat/>
    <w:uiPriority w:val="39"/>
    <w:pPr>
      <w:ind w:left="420" w:leftChars="200"/>
    </w:pPr>
  </w:style>
  <w:style w:type="paragraph" w:styleId="69">
    <w:name w:val="toc 9"/>
    <w:basedOn w:val="1"/>
    <w:next w:val="1"/>
    <w:unhideWhenUsed/>
    <w:qFormat/>
    <w:uiPriority w:val="39"/>
    <w:pPr>
      <w:ind w:left="3360" w:leftChars="1600"/>
    </w:pPr>
    <w:rPr>
      <w:rFonts w:ascii="Calibri" w:hAnsi="Calibri"/>
      <w:szCs w:val="22"/>
    </w:rPr>
  </w:style>
  <w:style w:type="paragraph" w:styleId="70">
    <w:name w:val="Body Text 2"/>
    <w:basedOn w:val="1"/>
    <w:link w:val="133"/>
    <w:qFormat/>
    <w:uiPriority w:val="0"/>
    <w:pPr>
      <w:jc w:val="center"/>
    </w:pPr>
    <w:rPr>
      <w:rFonts w:eastAsia="黑体"/>
      <w:bCs/>
      <w:sz w:val="72"/>
    </w:rPr>
  </w:style>
  <w:style w:type="paragraph" w:styleId="71">
    <w:name w:val="List 4"/>
    <w:basedOn w:val="1"/>
    <w:qFormat/>
    <w:uiPriority w:val="0"/>
    <w:pPr>
      <w:ind w:left="100" w:leftChars="600" w:hanging="200" w:hangingChars="200"/>
    </w:pPr>
  </w:style>
  <w:style w:type="paragraph" w:styleId="72">
    <w:name w:val="List Continue 2"/>
    <w:basedOn w:val="1"/>
    <w:qFormat/>
    <w:uiPriority w:val="0"/>
    <w:pPr>
      <w:spacing w:after="120"/>
      <w:ind w:left="840" w:leftChars="400"/>
    </w:pPr>
  </w:style>
  <w:style w:type="paragraph" w:styleId="73">
    <w:name w:val="Message Header"/>
    <w:basedOn w:val="1"/>
    <w:link w:val="134"/>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74">
    <w:name w:val="HTML Preformatted"/>
    <w:basedOn w:val="1"/>
    <w:link w:val="13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75">
    <w:name w:val="Normal (Web)"/>
    <w:basedOn w:val="1"/>
    <w:link w:val="1099"/>
    <w:qFormat/>
    <w:uiPriority w:val="99"/>
    <w:rPr>
      <w:sz w:val="24"/>
    </w:rPr>
  </w:style>
  <w:style w:type="paragraph" w:styleId="76">
    <w:name w:val="List Continue 3"/>
    <w:basedOn w:val="1"/>
    <w:qFormat/>
    <w:uiPriority w:val="0"/>
    <w:pPr>
      <w:spacing w:after="120"/>
      <w:ind w:left="1260" w:leftChars="600"/>
    </w:pPr>
  </w:style>
  <w:style w:type="paragraph" w:styleId="77">
    <w:name w:val="Title"/>
    <w:basedOn w:val="1"/>
    <w:next w:val="1"/>
    <w:link w:val="136"/>
    <w:qFormat/>
    <w:uiPriority w:val="0"/>
    <w:pPr>
      <w:spacing w:before="240" w:after="60"/>
      <w:jc w:val="center"/>
      <w:outlineLvl w:val="0"/>
    </w:pPr>
    <w:rPr>
      <w:rFonts w:ascii="Cambria" w:hAnsi="Cambria"/>
      <w:b/>
      <w:bCs/>
      <w:kern w:val="0"/>
      <w:sz w:val="32"/>
      <w:szCs w:val="32"/>
    </w:rPr>
  </w:style>
  <w:style w:type="paragraph" w:styleId="78">
    <w:name w:val="annotation subject"/>
    <w:basedOn w:val="27"/>
    <w:next w:val="27"/>
    <w:link w:val="137"/>
    <w:qFormat/>
    <w:uiPriority w:val="0"/>
    <w:rPr>
      <w:b/>
      <w:bCs/>
    </w:rPr>
  </w:style>
  <w:style w:type="paragraph" w:styleId="79">
    <w:name w:val="Body Text First Indent"/>
    <w:basedOn w:val="24"/>
    <w:link w:val="138"/>
    <w:qFormat/>
    <w:uiPriority w:val="99"/>
    <w:pPr>
      <w:tabs>
        <w:tab w:val="clear" w:pos="567"/>
      </w:tabs>
      <w:spacing w:before="0" w:after="120" w:line="240" w:lineRule="auto"/>
      <w:ind w:firstLine="420" w:firstLineChars="100"/>
    </w:pPr>
    <w:rPr>
      <w:rFonts w:ascii="Times New Roman" w:hAnsi="Times New Roman"/>
    </w:rPr>
  </w:style>
  <w:style w:type="paragraph" w:styleId="80">
    <w:name w:val="Body Text First Indent 2"/>
    <w:basedOn w:val="32"/>
    <w:link w:val="139"/>
    <w:qFormat/>
    <w:uiPriority w:val="99"/>
    <w:pPr>
      <w:spacing w:after="120"/>
      <w:ind w:left="420" w:leftChars="200" w:firstLine="420" w:firstLineChars="200"/>
    </w:pPr>
    <w:rPr>
      <w:kern w:val="2"/>
      <w:sz w:val="21"/>
    </w:rPr>
  </w:style>
  <w:style w:type="table" w:styleId="82">
    <w:name w:val="Table Grid"/>
    <w:basedOn w:val="81"/>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4">
    <w:name w:val="Strong"/>
    <w:qFormat/>
    <w:uiPriority w:val="0"/>
    <w:rPr>
      <w:b/>
      <w:bCs/>
    </w:rPr>
  </w:style>
  <w:style w:type="character" w:styleId="85">
    <w:name w:val="endnote reference"/>
    <w:unhideWhenUsed/>
    <w:qFormat/>
    <w:uiPriority w:val="0"/>
    <w:rPr>
      <w:vertAlign w:val="superscript"/>
    </w:rPr>
  </w:style>
  <w:style w:type="character" w:styleId="86">
    <w:name w:val="page number"/>
    <w:qFormat/>
    <w:uiPriority w:val="0"/>
  </w:style>
  <w:style w:type="character" w:styleId="87">
    <w:name w:val="FollowedHyperlink"/>
    <w:unhideWhenUsed/>
    <w:qFormat/>
    <w:uiPriority w:val="99"/>
    <w:rPr>
      <w:color w:val="954F72"/>
      <w:u w:val="single"/>
    </w:rPr>
  </w:style>
  <w:style w:type="character" w:styleId="88">
    <w:name w:val="Emphasis"/>
    <w:qFormat/>
    <w:uiPriority w:val="20"/>
  </w:style>
  <w:style w:type="character" w:styleId="89">
    <w:name w:val="HTML Definition"/>
    <w:unhideWhenUsed/>
    <w:qFormat/>
    <w:uiPriority w:val="99"/>
  </w:style>
  <w:style w:type="character" w:styleId="90">
    <w:name w:val="HTML Typewriter"/>
    <w:qFormat/>
    <w:uiPriority w:val="0"/>
    <w:rPr>
      <w:rFonts w:hint="default" w:ascii="Courier New" w:hAnsi="Courier New" w:eastAsia="宋体" w:cs="Courier New"/>
      <w:sz w:val="24"/>
      <w:szCs w:val="24"/>
    </w:rPr>
  </w:style>
  <w:style w:type="character" w:styleId="91">
    <w:name w:val="HTML Acronym"/>
    <w:qFormat/>
    <w:uiPriority w:val="0"/>
  </w:style>
  <w:style w:type="character" w:styleId="92">
    <w:name w:val="HTML Variable"/>
    <w:unhideWhenUsed/>
    <w:qFormat/>
    <w:uiPriority w:val="0"/>
  </w:style>
  <w:style w:type="character" w:styleId="93">
    <w:name w:val="Hyperlink"/>
    <w:qFormat/>
    <w:uiPriority w:val="99"/>
    <w:rPr>
      <w:color w:val="0000FF"/>
      <w:u w:val="single"/>
    </w:rPr>
  </w:style>
  <w:style w:type="character" w:styleId="94">
    <w:name w:val="HTML Code"/>
    <w:unhideWhenUsed/>
    <w:qFormat/>
    <w:uiPriority w:val="99"/>
    <w:rPr>
      <w:rFonts w:hint="default" w:ascii="monospace" w:hAnsi="monospace" w:eastAsia="monospace" w:cs="monospace"/>
      <w:sz w:val="21"/>
      <w:szCs w:val="21"/>
    </w:rPr>
  </w:style>
  <w:style w:type="character" w:styleId="95">
    <w:name w:val="annotation reference"/>
    <w:qFormat/>
    <w:uiPriority w:val="0"/>
    <w:rPr>
      <w:sz w:val="21"/>
      <w:szCs w:val="21"/>
    </w:rPr>
  </w:style>
  <w:style w:type="character" w:styleId="96">
    <w:name w:val="HTML Cite"/>
    <w:unhideWhenUsed/>
    <w:qFormat/>
    <w:uiPriority w:val="99"/>
  </w:style>
  <w:style w:type="character" w:styleId="97">
    <w:name w:val="footnote reference"/>
    <w:qFormat/>
    <w:uiPriority w:val="0"/>
    <w:rPr>
      <w:vertAlign w:val="superscript"/>
    </w:rPr>
  </w:style>
  <w:style w:type="character" w:styleId="98">
    <w:name w:val="HTML Keyboard"/>
    <w:unhideWhenUsed/>
    <w:qFormat/>
    <w:uiPriority w:val="99"/>
    <w:rPr>
      <w:rFonts w:ascii="monospace" w:hAnsi="monospace" w:eastAsia="monospace" w:cs="monospace"/>
      <w:sz w:val="21"/>
      <w:szCs w:val="21"/>
    </w:rPr>
  </w:style>
  <w:style w:type="character" w:styleId="99">
    <w:name w:val="HTML Sample"/>
    <w:unhideWhenUsed/>
    <w:qFormat/>
    <w:uiPriority w:val="99"/>
    <w:rPr>
      <w:rFonts w:hint="default" w:ascii="monospace" w:hAnsi="monospace" w:eastAsia="monospace" w:cs="monospace"/>
      <w:sz w:val="21"/>
      <w:szCs w:val="21"/>
    </w:rPr>
  </w:style>
  <w:style w:type="character" w:customStyle="1" w:styleId="100">
    <w:name w:val="宏文本 字符"/>
    <w:link w:val="2"/>
    <w:qFormat/>
    <w:uiPriority w:val="99"/>
    <w:rPr>
      <w:rFonts w:ascii="Courier New" w:hAnsi="Courier New"/>
      <w:kern w:val="2"/>
      <w:sz w:val="24"/>
      <w:szCs w:val="24"/>
      <w:lang w:bidi="ar-SA"/>
    </w:rPr>
  </w:style>
  <w:style w:type="character" w:customStyle="1" w:styleId="101">
    <w:name w:val="标题 1 字符"/>
    <w:link w:val="3"/>
    <w:qFormat/>
    <w:uiPriority w:val="9"/>
    <w:rPr>
      <w:rFonts w:ascii="宋体" w:hAnsi="Times New Roman" w:eastAsia="宋体" w:cs="Times New Roman"/>
      <w:b/>
      <w:kern w:val="44"/>
      <w:sz w:val="32"/>
      <w:szCs w:val="20"/>
    </w:rPr>
  </w:style>
  <w:style w:type="character" w:customStyle="1" w:styleId="102">
    <w:name w:val="标题 2 字符1"/>
    <w:link w:val="4"/>
    <w:qFormat/>
    <w:uiPriority w:val="99"/>
    <w:rPr>
      <w:rFonts w:ascii="Arial" w:hAnsi="Arial" w:eastAsia="黑体" w:cs="Times New Roman"/>
      <w:b/>
      <w:kern w:val="0"/>
      <w:sz w:val="30"/>
      <w:szCs w:val="20"/>
    </w:rPr>
  </w:style>
  <w:style w:type="character" w:customStyle="1" w:styleId="103">
    <w:name w:val="正文缩进 字符"/>
    <w:link w:val="5"/>
    <w:qFormat/>
    <w:uiPriority w:val="0"/>
    <w:rPr>
      <w:rFonts w:ascii="宋体" w:hAnsi="Times New Roman" w:eastAsia="宋体" w:cs="Times New Roman"/>
      <w:kern w:val="0"/>
      <w:sz w:val="24"/>
      <w:szCs w:val="20"/>
    </w:rPr>
  </w:style>
  <w:style w:type="character" w:customStyle="1" w:styleId="104">
    <w:name w:val="标题 3 字符2"/>
    <w:link w:val="6"/>
    <w:qFormat/>
    <w:uiPriority w:val="99"/>
    <w:rPr>
      <w:rFonts w:ascii="宋体" w:hAnsi="Times New Roman" w:eastAsia="宋体" w:cs="Times New Roman"/>
      <w:b/>
      <w:kern w:val="0"/>
      <w:sz w:val="24"/>
      <w:szCs w:val="20"/>
      <w:u w:val="single"/>
    </w:rPr>
  </w:style>
  <w:style w:type="character" w:customStyle="1" w:styleId="105">
    <w:name w:val="标题 4 字符"/>
    <w:link w:val="7"/>
    <w:qFormat/>
    <w:uiPriority w:val="9"/>
    <w:rPr>
      <w:rFonts w:ascii="Arial" w:hAnsi="Arial" w:eastAsia="黑体" w:cs="Times New Roman"/>
      <w:b/>
      <w:bCs/>
      <w:sz w:val="28"/>
      <w:szCs w:val="28"/>
    </w:rPr>
  </w:style>
  <w:style w:type="character" w:customStyle="1" w:styleId="106">
    <w:name w:val="标题 5 字符"/>
    <w:link w:val="8"/>
    <w:qFormat/>
    <w:uiPriority w:val="9"/>
    <w:rPr>
      <w:b/>
      <w:bCs/>
      <w:sz w:val="28"/>
      <w:szCs w:val="28"/>
      <w:lang w:eastAsia="ar-SA"/>
    </w:rPr>
  </w:style>
  <w:style w:type="character" w:customStyle="1" w:styleId="107">
    <w:name w:val="标题 6 字符"/>
    <w:link w:val="9"/>
    <w:qFormat/>
    <w:uiPriority w:val="9"/>
    <w:rPr>
      <w:rFonts w:ascii="Arial" w:hAnsi="Arial" w:eastAsia="黑体" w:cs="Times New Roman"/>
      <w:b/>
      <w:bCs/>
      <w:sz w:val="24"/>
      <w:szCs w:val="24"/>
    </w:rPr>
  </w:style>
  <w:style w:type="character" w:customStyle="1" w:styleId="108">
    <w:name w:val="标题 7 字符"/>
    <w:link w:val="10"/>
    <w:qFormat/>
    <w:uiPriority w:val="9"/>
    <w:rPr>
      <w:rFonts w:ascii="Times New Roman" w:hAnsi="Times New Roman" w:eastAsia="宋体" w:cs="Times New Roman"/>
      <w:b/>
      <w:bCs/>
      <w:sz w:val="24"/>
      <w:szCs w:val="24"/>
    </w:rPr>
  </w:style>
  <w:style w:type="character" w:customStyle="1" w:styleId="109">
    <w:name w:val="标题 8 字符"/>
    <w:link w:val="11"/>
    <w:qFormat/>
    <w:uiPriority w:val="9"/>
    <w:rPr>
      <w:rFonts w:ascii="Arial" w:hAnsi="Arial" w:eastAsia="黑体"/>
      <w:sz w:val="24"/>
    </w:rPr>
  </w:style>
  <w:style w:type="character" w:customStyle="1" w:styleId="110">
    <w:name w:val="标题 9 字符"/>
    <w:link w:val="12"/>
    <w:qFormat/>
    <w:uiPriority w:val="9"/>
    <w:rPr>
      <w:rFonts w:ascii="Arial" w:hAnsi="Arial" w:eastAsia="黑体"/>
      <w:sz w:val="21"/>
    </w:rPr>
  </w:style>
  <w:style w:type="character" w:customStyle="1" w:styleId="111">
    <w:name w:val="注释标题 字符"/>
    <w:link w:val="17"/>
    <w:qFormat/>
    <w:uiPriority w:val="99"/>
    <w:rPr>
      <w:rFonts w:ascii="Times New Roman" w:hAnsi="Times New Roman"/>
      <w:kern w:val="2"/>
      <w:sz w:val="21"/>
      <w:szCs w:val="24"/>
    </w:rPr>
  </w:style>
  <w:style w:type="character" w:customStyle="1" w:styleId="112">
    <w:name w:val="电子邮件签名 字符"/>
    <w:link w:val="19"/>
    <w:qFormat/>
    <w:uiPriority w:val="99"/>
    <w:rPr>
      <w:rFonts w:ascii="Times New Roman" w:hAnsi="Times New Roman"/>
      <w:kern w:val="2"/>
      <w:sz w:val="21"/>
      <w:szCs w:val="24"/>
    </w:rPr>
  </w:style>
  <w:style w:type="character" w:customStyle="1" w:styleId="113">
    <w:name w:val="题注 字符"/>
    <w:link w:val="21"/>
    <w:qFormat/>
    <w:uiPriority w:val="0"/>
    <w:rPr>
      <w:rFonts w:ascii="Arial" w:hAnsi="Arial" w:eastAsia="黑体" w:cs="Arial"/>
      <w:kern w:val="2"/>
      <w:lang w:eastAsia="ar-SA"/>
    </w:rPr>
  </w:style>
  <w:style w:type="character" w:customStyle="1" w:styleId="114">
    <w:name w:val="正文文本 字符1"/>
    <w:link w:val="24"/>
    <w:qFormat/>
    <w:uiPriority w:val="99"/>
    <w:rPr>
      <w:rFonts w:ascii="宋体" w:hAnsi="宋体" w:eastAsia="宋体" w:cs="Times New Roman"/>
      <w:sz w:val="24"/>
      <w:szCs w:val="24"/>
    </w:rPr>
  </w:style>
  <w:style w:type="character" w:customStyle="1" w:styleId="115">
    <w:name w:val="文档结构图 字符"/>
    <w:link w:val="26"/>
    <w:qFormat/>
    <w:uiPriority w:val="99"/>
    <w:rPr>
      <w:rFonts w:ascii="Times New Roman" w:hAnsi="Times New Roman" w:eastAsia="宋体" w:cs="Times New Roman"/>
      <w:szCs w:val="24"/>
      <w:shd w:val="clear" w:color="auto" w:fill="000080"/>
    </w:rPr>
  </w:style>
  <w:style w:type="character" w:customStyle="1" w:styleId="116">
    <w:name w:val="批注文字 字符"/>
    <w:link w:val="27"/>
    <w:qFormat/>
    <w:uiPriority w:val="99"/>
    <w:rPr>
      <w:rFonts w:ascii="Times New Roman" w:hAnsi="Times New Roman" w:eastAsia="宋体" w:cs="Times New Roman"/>
      <w:szCs w:val="24"/>
    </w:rPr>
  </w:style>
  <w:style w:type="character" w:customStyle="1" w:styleId="117">
    <w:name w:val="称呼 字符"/>
    <w:link w:val="28"/>
    <w:qFormat/>
    <w:uiPriority w:val="99"/>
    <w:rPr>
      <w:rFonts w:ascii="Times New Roman" w:hAnsi="Times New Roman"/>
      <w:bCs/>
      <w:kern w:val="2"/>
      <w:sz w:val="24"/>
      <w:szCs w:val="24"/>
    </w:rPr>
  </w:style>
  <w:style w:type="character" w:customStyle="1" w:styleId="118">
    <w:name w:val="正文文本 3 字符"/>
    <w:link w:val="29"/>
    <w:qFormat/>
    <w:uiPriority w:val="99"/>
    <w:rPr>
      <w:rFonts w:ascii="宋体" w:hAnsi="宋体"/>
      <w:b/>
      <w:sz w:val="24"/>
      <w:szCs w:val="24"/>
    </w:rPr>
  </w:style>
  <w:style w:type="character" w:customStyle="1" w:styleId="119">
    <w:name w:val="结束语 字符"/>
    <w:link w:val="30"/>
    <w:qFormat/>
    <w:uiPriority w:val="99"/>
    <w:rPr>
      <w:rFonts w:ascii="Times New Roman" w:hAnsi="Times New Roman"/>
      <w:kern w:val="2"/>
      <w:sz w:val="21"/>
      <w:szCs w:val="24"/>
    </w:rPr>
  </w:style>
  <w:style w:type="character" w:customStyle="1" w:styleId="120">
    <w:name w:val="正文文本缩进 字符"/>
    <w:link w:val="32"/>
    <w:qFormat/>
    <w:uiPriority w:val="99"/>
    <w:rPr>
      <w:rFonts w:ascii="Times New Roman" w:hAnsi="Times New Roman" w:eastAsia="宋体" w:cs="Times New Roman"/>
      <w:sz w:val="24"/>
      <w:szCs w:val="24"/>
    </w:rPr>
  </w:style>
  <w:style w:type="character" w:customStyle="1" w:styleId="121">
    <w:name w:val="HTML 地址 字符"/>
    <w:link w:val="38"/>
    <w:qFormat/>
    <w:uiPriority w:val="99"/>
    <w:rPr>
      <w:rFonts w:ascii="Times New Roman" w:hAnsi="Times New Roman"/>
      <w:i/>
      <w:iCs/>
      <w:kern w:val="2"/>
      <w:sz w:val="21"/>
      <w:szCs w:val="24"/>
    </w:rPr>
  </w:style>
  <w:style w:type="character" w:customStyle="1" w:styleId="122">
    <w:name w:val="纯文本 字符1"/>
    <w:link w:val="42"/>
    <w:qFormat/>
    <w:uiPriority w:val="0"/>
    <w:rPr>
      <w:rFonts w:ascii="宋体" w:hAnsi="Courier New" w:eastAsia="宋体" w:cs="Times New Roman"/>
      <w:szCs w:val="20"/>
    </w:rPr>
  </w:style>
  <w:style w:type="character" w:customStyle="1" w:styleId="123">
    <w:name w:val="日期 字符1"/>
    <w:link w:val="46"/>
    <w:qFormat/>
    <w:uiPriority w:val="99"/>
    <w:rPr>
      <w:rFonts w:ascii="仿宋_GB2312" w:hAnsi="宋体" w:eastAsia="仿宋_GB2312" w:cs="Times New Roman"/>
      <w:color w:val="000000"/>
      <w:sz w:val="24"/>
      <w:szCs w:val="24"/>
    </w:rPr>
  </w:style>
  <w:style w:type="character" w:customStyle="1" w:styleId="124">
    <w:name w:val="正文文本缩进 2 字符"/>
    <w:link w:val="47"/>
    <w:qFormat/>
    <w:uiPriority w:val="99"/>
    <w:rPr>
      <w:rFonts w:ascii="仿宋_GB2312" w:hAnsi="Times New Roman" w:eastAsia="仿宋_GB2312" w:cs="Times New Roman"/>
      <w:sz w:val="24"/>
      <w:szCs w:val="24"/>
    </w:rPr>
  </w:style>
  <w:style w:type="character" w:customStyle="1" w:styleId="125">
    <w:name w:val="尾注文本 字符"/>
    <w:link w:val="48"/>
    <w:qFormat/>
    <w:uiPriority w:val="99"/>
    <w:rPr>
      <w:rFonts w:ascii="Times New Roman" w:hAnsi="Times New Roman"/>
      <w:kern w:val="2"/>
      <w:sz w:val="24"/>
      <w:szCs w:val="24"/>
    </w:rPr>
  </w:style>
  <w:style w:type="character" w:customStyle="1" w:styleId="126">
    <w:name w:val="批注框文本 字符1"/>
    <w:link w:val="50"/>
    <w:qFormat/>
    <w:uiPriority w:val="0"/>
    <w:rPr>
      <w:rFonts w:ascii="Times New Roman" w:hAnsi="Times New Roman" w:eastAsia="宋体" w:cs="Times New Roman"/>
      <w:sz w:val="18"/>
      <w:szCs w:val="18"/>
    </w:rPr>
  </w:style>
  <w:style w:type="character" w:customStyle="1" w:styleId="127">
    <w:name w:val="页脚 字符1"/>
    <w:link w:val="51"/>
    <w:qFormat/>
    <w:uiPriority w:val="99"/>
    <w:rPr>
      <w:sz w:val="18"/>
      <w:szCs w:val="18"/>
    </w:rPr>
  </w:style>
  <w:style w:type="character" w:customStyle="1" w:styleId="128">
    <w:name w:val="页眉 字符1"/>
    <w:link w:val="53"/>
    <w:qFormat/>
    <w:uiPriority w:val="99"/>
    <w:rPr>
      <w:sz w:val="18"/>
      <w:szCs w:val="18"/>
    </w:rPr>
  </w:style>
  <w:style w:type="character" w:customStyle="1" w:styleId="129">
    <w:name w:val="签名 字符"/>
    <w:link w:val="54"/>
    <w:qFormat/>
    <w:uiPriority w:val="99"/>
    <w:rPr>
      <w:rFonts w:ascii="Times New Roman" w:hAnsi="Times New Roman"/>
      <w:kern w:val="2"/>
      <w:sz w:val="21"/>
      <w:szCs w:val="24"/>
    </w:rPr>
  </w:style>
  <w:style w:type="character" w:customStyle="1" w:styleId="130">
    <w:name w:val="副标题 字符"/>
    <w:link w:val="60"/>
    <w:qFormat/>
    <w:uiPriority w:val="11"/>
    <w:rPr>
      <w:rFonts w:ascii="Cambria" w:hAnsi="Cambria"/>
      <w:b/>
      <w:bCs/>
      <w:kern w:val="28"/>
      <w:sz w:val="32"/>
      <w:szCs w:val="32"/>
    </w:rPr>
  </w:style>
  <w:style w:type="character" w:customStyle="1" w:styleId="131">
    <w:name w:val="脚注文本 字符"/>
    <w:link w:val="63"/>
    <w:qFormat/>
    <w:uiPriority w:val="99"/>
    <w:rPr>
      <w:rFonts w:ascii="Times New Roman" w:hAnsi="Times New Roman" w:eastAsia="宋体" w:cs="Times New Roman"/>
      <w:sz w:val="18"/>
      <w:szCs w:val="18"/>
    </w:rPr>
  </w:style>
  <w:style w:type="character" w:customStyle="1" w:styleId="132">
    <w:name w:val="正文文本缩进 3 字符1"/>
    <w:link w:val="66"/>
    <w:qFormat/>
    <w:uiPriority w:val="99"/>
    <w:rPr>
      <w:rFonts w:ascii="宋体" w:hAnsi="Times New Roman" w:eastAsia="宋体" w:cs="Times New Roman"/>
      <w:kern w:val="0"/>
      <w:sz w:val="24"/>
      <w:szCs w:val="20"/>
    </w:rPr>
  </w:style>
  <w:style w:type="character" w:customStyle="1" w:styleId="133">
    <w:name w:val="正文文本 2 字符"/>
    <w:link w:val="70"/>
    <w:qFormat/>
    <w:uiPriority w:val="99"/>
    <w:rPr>
      <w:rFonts w:ascii="Times New Roman" w:hAnsi="Times New Roman" w:eastAsia="黑体"/>
      <w:bCs/>
      <w:kern w:val="2"/>
      <w:sz w:val="72"/>
      <w:szCs w:val="24"/>
    </w:rPr>
  </w:style>
  <w:style w:type="character" w:customStyle="1" w:styleId="134">
    <w:name w:val="信息标题 字符"/>
    <w:link w:val="73"/>
    <w:qFormat/>
    <w:uiPriority w:val="99"/>
    <w:rPr>
      <w:rFonts w:ascii="Arial" w:hAnsi="Arial" w:cs="Arial"/>
      <w:kern w:val="2"/>
      <w:sz w:val="24"/>
      <w:szCs w:val="24"/>
      <w:shd w:val="pct20" w:color="auto" w:fill="auto"/>
    </w:rPr>
  </w:style>
  <w:style w:type="character" w:customStyle="1" w:styleId="135">
    <w:name w:val="HTML 预设格式 字符"/>
    <w:link w:val="74"/>
    <w:qFormat/>
    <w:uiPriority w:val="99"/>
    <w:rPr>
      <w:rFonts w:ascii="宋体" w:hAnsi="宋体" w:eastAsia="宋体" w:cs="宋体"/>
      <w:kern w:val="0"/>
      <w:sz w:val="24"/>
      <w:szCs w:val="24"/>
    </w:rPr>
  </w:style>
  <w:style w:type="character" w:customStyle="1" w:styleId="136">
    <w:name w:val="标题 字符"/>
    <w:link w:val="77"/>
    <w:qFormat/>
    <w:uiPriority w:val="10"/>
    <w:rPr>
      <w:rFonts w:ascii="Cambria" w:hAnsi="Cambria" w:eastAsia="宋体" w:cs="Times New Roman"/>
      <w:b/>
      <w:bCs/>
      <w:sz w:val="32"/>
      <w:szCs w:val="32"/>
    </w:rPr>
  </w:style>
  <w:style w:type="character" w:customStyle="1" w:styleId="137">
    <w:name w:val="批注主题 字符"/>
    <w:link w:val="78"/>
    <w:qFormat/>
    <w:uiPriority w:val="99"/>
    <w:rPr>
      <w:rFonts w:ascii="Times New Roman" w:hAnsi="Times New Roman" w:eastAsia="宋体" w:cs="Times New Roman"/>
      <w:b/>
      <w:bCs/>
      <w:szCs w:val="24"/>
    </w:rPr>
  </w:style>
  <w:style w:type="character" w:customStyle="1" w:styleId="138">
    <w:name w:val="正文文本首行缩进 字符"/>
    <w:link w:val="79"/>
    <w:qFormat/>
    <w:uiPriority w:val="99"/>
    <w:rPr>
      <w:rFonts w:ascii="Times New Roman" w:hAnsi="Times New Roman" w:eastAsia="宋体" w:cs="Times New Roman"/>
      <w:sz w:val="24"/>
      <w:szCs w:val="24"/>
    </w:rPr>
  </w:style>
  <w:style w:type="character" w:customStyle="1" w:styleId="139">
    <w:name w:val="正文文本首行缩进 2 字符"/>
    <w:link w:val="80"/>
    <w:qFormat/>
    <w:uiPriority w:val="99"/>
    <w:rPr>
      <w:rFonts w:ascii="Times New Roman" w:hAnsi="Times New Roman" w:eastAsia="宋体" w:cs="Times New Roman"/>
      <w:kern w:val="2"/>
      <w:sz w:val="21"/>
      <w:szCs w:val="24"/>
    </w:rPr>
  </w:style>
  <w:style w:type="character" w:customStyle="1" w:styleId="140">
    <w:name w:val="h6 Char1"/>
    <w:qFormat/>
    <w:uiPriority w:val="0"/>
    <w:rPr>
      <w:rFonts w:ascii="Cambria" w:hAnsi="Cambria" w:eastAsia="宋体" w:cs="Times New Roman"/>
      <w:b/>
      <w:bCs/>
      <w:kern w:val="2"/>
      <w:sz w:val="24"/>
      <w:szCs w:val="24"/>
      <w:lang w:val="en-US" w:eastAsia="zh-CN" w:bidi="ar-SA"/>
    </w:rPr>
  </w:style>
  <w:style w:type="character" w:customStyle="1" w:styleId="141">
    <w:name w:val="suc"/>
    <w:qFormat/>
    <w:uiPriority w:val="99"/>
    <w:rPr>
      <w:color w:val="000000"/>
    </w:rPr>
  </w:style>
  <w:style w:type="character" w:customStyle="1" w:styleId="142">
    <w:name w:val="xl70 Char"/>
    <w:link w:val="143"/>
    <w:qFormat/>
    <w:uiPriority w:val="0"/>
    <w:rPr>
      <w:rFonts w:ascii="华文中宋" w:hAnsi="华文中宋" w:eastAsia="华文中宋" w:cs="华文中宋"/>
      <w:b/>
      <w:bCs/>
      <w:sz w:val="24"/>
      <w:szCs w:val="24"/>
    </w:rPr>
  </w:style>
  <w:style w:type="paragraph" w:customStyle="1" w:styleId="143">
    <w:name w:val="xl70"/>
    <w:basedOn w:val="1"/>
    <w:link w:val="142"/>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pPr>
    <w:rPr>
      <w:rFonts w:ascii="华文中宋" w:hAnsi="华文中宋" w:eastAsia="华文中宋"/>
      <w:b/>
      <w:bCs/>
      <w:kern w:val="0"/>
      <w:sz w:val="24"/>
    </w:rPr>
  </w:style>
  <w:style w:type="character" w:customStyle="1" w:styleId="144">
    <w:name w:val="mcms"/>
    <w:qFormat/>
    <w:uiPriority w:val="99"/>
  </w:style>
  <w:style w:type="character" w:customStyle="1" w:styleId="145">
    <w:name w:val="Char Char"/>
    <w:qFormat/>
    <w:uiPriority w:val="99"/>
    <w:rPr>
      <w:rFonts w:ascii="宋体" w:hAnsi="Courier New" w:eastAsia="宋体" w:cs="宋体"/>
      <w:kern w:val="2"/>
      <w:sz w:val="21"/>
      <w:szCs w:val="21"/>
      <w:lang w:val="en-US" w:eastAsia="zh-CN"/>
    </w:rPr>
  </w:style>
  <w:style w:type="character" w:customStyle="1" w:styleId="146">
    <w:name w:val="xh"/>
    <w:qFormat/>
    <w:uiPriority w:val="0"/>
  </w:style>
  <w:style w:type="character" w:customStyle="1" w:styleId="147">
    <w:name w:val="maxwidth"/>
    <w:qFormat/>
    <w:uiPriority w:val="99"/>
  </w:style>
  <w:style w:type="character" w:customStyle="1" w:styleId="148">
    <w:name w:val="tpccontent"/>
    <w:qFormat/>
    <w:uiPriority w:val="0"/>
  </w:style>
  <w:style w:type="character" w:customStyle="1" w:styleId="149">
    <w:name w:val="标书突出内容（文字加粗） Char"/>
    <w:link w:val="150"/>
    <w:qFormat/>
    <w:uiPriority w:val="1"/>
    <w:rPr>
      <w:rFonts w:ascii="宋体" w:hAnsi="宋体"/>
      <w:b/>
      <w:sz w:val="24"/>
      <w:szCs w:val="24"/>
      <w:lang w:bidi="en-US"/>
    </w:rPr>
  </w:style>
  <w:style w:type="paragraph" w:customStyle="1" w:styleId="150">
    <w:name w:val="标书突出内容（文字加粗）"/>
    <w:basedOn w:val="151"/>
    <w:next w:val="151"/>
    <w:link w:val="149"/>
    <w:qFormat/>
    <w:uiPriority w:val="1"/>
    <w:rPr>
      <w:b/>
    </w:rPr>
  </w:style>
  <w:style w:type="paragraph" w:customStyle="1" w:styleId="151">
    <w:name w:val="正文段落内容"/>
    <w:basedOn w:val="1"/>
    <w:link w:val="152"/>
    <w:qFormat/>
    <w:uiPriority w:val="0"/>
    <w:pPr>
      <w:ind w:firstLine="425" w:firstLineChars="177"/>
    </w:pPr>
    <w:rPr>
      <w:rFonts w:ascii="宋体" w:hAnsi="宋体"/>
      <w:kern w:val="0"/>
      <w:sz w:val="24"/>
      <w:lang w:bidi="en-US"/>
    </w:rPr>
  </w:style>
  <w:style w:type="character" w:customStyle="1" w:styleId="152">
    <w:name w:val="正文段落内容 Char"/>
    <w:link w:val="151"/>
    <w:qFormat/>
    <w:uiPriority w:val="0"/>
    <w:rPr>
      <w:rFonts w:ascii="宋体" w:hAnsi="宋体"/>
      <w:sz w:val="24"/>
      <w:szCs w:val="24"/>
      <w:lang w:bidi="en-US"/>
    </w:rPr>
  </w:style>
  <w:style w:type="character" w:customStyle="1" w:styleId="153">
    <w:name w:val="图片（居中） Char"/>
    <w:link w:val="154"/>
    <w:qFormat/>
    <w:uiPriority w:val="0"/>
    <w:rPr>
      <w:rFonts w:ascii="宋体" w:hAnsi="宋体"/>
      <w:sz w:val="24"/>
      <w:szCs w:val="24"/>
      <w:lang w:bidi="en-US"/>
    </w:rPr>
  </w:style>
  <w:style w:type="paragraph" w:customStyle="1" w:styleId="154">
    <w:name w:val="图片（居中）"/>
    <w:basedOn w:val="1"/>
    <w:next w:val="151"/>
    <w:link w:val="153"/>
    <w:qFormat/>
    <w:uiPriority w:val="0"/>
    <w:pPr>
      <w:jc w:val="center"/>
    </w:pPr>
    <w:rPr>
      <w:rFonts w:ascii="宋体" w:hAnsi="宋体"/>
      <w:kern w:val="0"/>
      <w:sz w:val="24"/>
      <w:lang w:bidi="en-US"/>
    </w:rPr>
  </w:style>
  <w:style w:type="character" w:customStyle="1" w:styleId="155">
    <w:name w:val="正文格式 Char"/>
    <w:link w:val="156"/>
    <w:qFormat/>
    <w:uiPriority w:val="0"/>
    <w:rPr>
      <w:rFonts w:ascii="Times New Roman" w:hAnsi="Times New Roman"/>
      <w:kern w:val="2"/>
      <w:sz w:val="21"/>
      <w:szCs w:val="24"/>
    </w:rPr>
  </w:style>
  <w:style w:type="paragraph" w:customStyle="1" w:styleId="156">
    <w:name w:val="正文格式"/>
    <w:basedOn w:val="1"/>
    <w:link w:val="155"/>
    <w:qFormat/>
    <w:uiPriority w:val="0"/>
    <w:pPr>
      <w:spacing w:beforeLines="50" w:afterLines="50"/>
    </w:pPr>
  </w:style>
  <w:style w:type="character" w:customStyle="1" w:styleId="157">
    <w:name w:val="Char Char Char"/>
    <w:qFormat/>
    <w:uiPriority w:val="0"/>
    <w:rPr>
      <w:rFonts w:ascii="Arial" w:hAnsi="Arial" w:eastAsia="黑体"/>
      <w:b/>
      <w:bCs/>
      <w:kern w:val="2"/>
      <w:sz w:val="32"/>
      <w:szCs w:val="32"/>
      <w:lang w:val="en-US" w:eastAsia="zh-CN" w:bidi="ar-SA"/>
    </w:rPr>
  </w:style>
  <w:style w:type="character" w:customStyle="1" w:styleId="158">
    <w:name w:val="投标书正文 Char"/>
    <w:link w:val="159"/>
    <w:qFormat/>
    <w:uiPriority w:val="0"/>
    <w:rPr>
      <w:rFonts w:ascii="Times New Roman" w:hAnsi="Times New Roman"/>
      <w:sz w:val="24"/>
      <w:szCs w:val="24"/>
      <w:lang w:val="en-US" w:eastAsia="zh-CN" w:bidi="ar-SA"/>
    </w:rPr>
  </w:style>
  <w:style w:type="paragraph" w:customStyle="1" w:styleId="159">
    <w:name w:val="投标书正文"/>
    <w:link w:val="158"/>
    <w:qFormat/>
    <w:uiPriority w:val="0"/>
    <w:pPr>
      <w:autoSpaceDE w:val="0"/>
      <w:spacing w:line="360" w:lineRule="auto"/>
      <w:ind w:firstLine="200" w:firstLineChars="200"/>
    </w:pPr>
    <w:rPr>
      <w:rFonts w:ascii="Times New Roman" w:hAnsi="Times New Roman" w:eastAsia="宋体" w:cs="Times New Roman"/>
      <w:sz w:val="24"/>
      <w:szCs w:val="24"/>
      <w:lang w:val="en-US" w:eastAsia="zh-CN" w:bidi="ar-SA"/>
    </w:rPr>
  </w:style>
  <w:style w:type="character" w:customStyle="1" w:styleId="160">
    <w:name w:val="MM Topic 3 Char"/>
    <w:link w:val="161"/>
    <w:qFormat/>
    <w:uiPriority w:val="0"/>
    <w:rPr>
      <w:b/>
      <w:bCs/>
      <w:sz w:val="32"/>
      <w:szCs w:val="32"/>
    </w:rPr>
  </w:style>
  <w:style w:type="paragraph" w:customStyle="1" w:styleId="161">
    <w:name w:val="MM Topic 3"/>
    <w:basedOn w:val="6"/>
    <w:link w:val="160"/>
    <w:qFormat/>
    <w:uiPriority w:val="0"/>
    <w:pPr>
      <w:widowControl/>
      <w:autoSpaceDE/>
      <w:autoSpaceDN/>
      <w:adjustRightInd/>
      <w:spacing w:before="260" w:after="260" w:line="416" w:lineRule="auto"/>
      <w:jc w:val="both"/>
    </w:pPr>
    <w:rPr>
      <w:rFonts w:ascii="Calibri" w:hAnsi="Calibri"/>
      <w:bCs/>
      <w:sz w:val="32"/>
      <w:szCs w:val="32"/>
      <w:u w:val="none"/>
    </w:rPr>
  </w:style>
  <w:style w:type="character" w:customStyle="1" w:styleId="162">
    <w:name w:val="Book Title"/>
    <w:qFormat/>
    <w:uiPriority w:val="0"/>
    <w:rPr>
      <w:b/>
      <w:bCs/>
      <w:smallCaps/>
      <w:spacing w:val="5"/>
    </w:rPr>
  </w:style>
  <w:style w:type="character" w:customStyle="1" w:styleId="163">
    <w:name w:val="段落内容二级列表 Char"/>
    <w:link w:val="164"/>
    <w:qFormat/>
    <w:uiPriority w:val="0"/>
    <w:rPr>
      <w:rFonts w:ascii="宋体" w:hAnsi="宋体"/>
      <w:sz w:val="24"/>
      <w:szCs w:val="24"/>
      <w:lang w:bidi="en-US"/>
    </w:rPr>
  </w:style>
  <w:style w:type="paragraph" w:customStyle="1" w:styleId="164">
    <w:name w:val="段落内容二级列表"/>
    <w:basedOn w:val="1"/>
    <w:link w:val="163"/>
    <w:qFormat/>
    <w:uiPriority w:val="0"/>
    <w:rPr>
      <w:rFonts w:ascii="宋体" w:hAnsi="宋体"/>
      <w:kern w:val="0"/>
      <w:sz w:val="24"/>
      <w:lang w:bidi="en-US"/>
    </w:rPr>
  </w:style>
  <w:style w:type="character" w:customStyle="1" w:styleId="165">
    <w:name w:val="MM Topic 2 Char Char"/>
    <w:qFormat/>
    <w:uiPriority w:val="0"/>
    <w:rPr>
      <w:rFonts w:ascii="Cambria" w:hAnsi="Cambria" w:eastAsia="宋体" w:cs="黑体"/>
      <w:b/>
      <w:bCs/>
      <w:sz w:val="32"/>
      <w:szCs w:val="32"/>
    </w:rPr>
  </w:style>
  <w:style w:type="character" w:customStyle="1" w:styleId="166">
    <w:name w:val="样式 粉红"/>
    <w:qFormat/>
    <w:uiPriority w:val="0"/>
    <w:rPr>
      <w:color w:val="auto"/>
      <w:u w:val="none"/>
    </w:rPr>
  </w:style>
  <w:style w:type="character" w:customStyle="1" w:styleId="167">
    <w:name w:val="gray9pt1"/>
    <w:qFormat/>
    <w:uiPriority w:val="0"/>
    <w:rPr>
      <w:rFonts w:hint="default" w:ascii="Arial" w:hAnsi="Arial" w:cs="Arial"/>
      <w:color w:val="666666"/>
      <w:sz w:val="18"/>
      <w:szCs w:val="18"/>
    </w:rPr>
  </w:style>
  <w:style w:type="character" w:customStyle="1" w:styleId="168">
    <w:name w:val="Texte Char Char"/>
    <w:qFormat/>
    <w:uiPriority w:val="0"/>
    <w:rPr>
      <w:rFonts w:ascii="宋体" w:hAnsi="Courier New" w:eastAsia="宋体"/>
      <w:kern w:val="2"/>
      <w:sz w:val="21"/>
      <w:lang w:val="en-US" w:eastAsia="zh-CN" w:bidi="ar-SA"/>
    </w:rPr>
  </w:style>
  <w:style w:type="character" w:customStyle="1" w:styleId="169">
    <w:name w:val="biaotizi1"/>
    <w:qFormat/>
    <w:uiPriority w:val="0"/>
    <w:rPr>
      <w:color w:val="0A2656"/>
      <w:sz w:val="18"/>
      <w:szCs w:val="18"/>
      <w:u w:val="none"/>
    </w:rPr>
  </w:style>
  <w:style w:type="character" w:customStyle="1" w:styleId="170">
    <w:name w:val="段落内容一级列表 Char"/>
    <w:link w:val="171"/>
    <w:qFormat/>
    <w:uiPriority w:val="0"/>
    <w:rPr>
      <w:rFonts w:ascii="宋体" w:hAnsi="宋体"/>
      <w:sz w:val="24"/>
      <w:szCs w:val="24"/>
      <w:lang w:bidi="en-US"/>
    </w:rPr>
  </w:style>
  <w:style w:type="paragraph" w:customStyle="1" w:styleId="171">
    <w:name w:val="段落内容一级列表"/>
    <w:basedOn w:val="1"/>
    <w:link w:val="170"/>
    <w:qFormat/>
    <w:uiPriority w:val="0"/>
    <w:pPr>
      <w:adjustRightInd w:val="0"/>
    </w:pPr>
    <w:rPr>
      <w:rFonts w:ascii="宋体" w:hAnsi="宋体"/>
      <w:kern w:val="0"/>
      <w:sz w:val="24"/>
      <w:lang w:bidi="en-US"/>
    </w:rPr>
  </w:style>
  <w:style w:type="character" w:customStyle="1" w:styleId="172">
    <w:name w:val="WW-默认段落字体"/>
    <w:qFormat/>
    <w:uiPriority w:val="0"/>
  </w:style>
  <w:style w:type="character" w:customStyle="1" w:styleId="173">
    <w:name w:val="MM Topic 4 Char Char"/>
    <w:link w:val="174"/>
    <w:qFormat/>
    <w:uiPriority w:val="0"/>
    <w:rPr>
      <w:rFonts w:ascii="Arial" w:hAnsi="Arial" w:eastAsia="黑体"/>
      <w:b/>
      <w:bCs/>
      <w:sz w:val="28"/>
      <w:szCs w:val="28"/>
    </w:rPr>
  </w:style>
  <w:style w:type="paragraph" w:customStyle="1" w:styleId="174">
    <w:name w:val="MM Topic 4"/>
    <w:basedOn w:val="7"/>
    <w:link w:val="173"/>
    <w:qFormat/>
    <w:uiPriority w:val="0"/>
    <w:pPr>
      <w:spacing w:before="100" w:beforeAutospacing="1" w:after="100" w:afterAutospacing="1" w:line="374" w:lineRule="auto"/>
    </w:pPr>
  </w:style>
  <w:style w:type="character" w:customStyle="1" w:styleId="175">
    <w:name w:val="xl88 Char Char"/>
    <w:link w:val="176"/>
    <w:qFormat/>
    <w:locked/>
    <w:uiPriority w:val="0"/>
    <w:rPr>
      <w:rFonts w:ascii="华文中宋" w:hAnsi="华文中宋" w:eastAsia="华文中宋" w:cs="华文中宋"/>
      <w:b/>
      <w:bCs/>
    </w:rPr>
  </w:style>
  <w:style w:type="paragraph" w:customStyle="1" w:styleId="176">
    <w:name w:val="xl88"/>
    <w:basedOn w:val="1"/>
    <w:link w:val="175"/>
    <w:qFormat/>
    <w:uiPriority w:val="0"/>
    <w:pPr>
      <w:widowControl/>
      <w:pBdr>
        <w:top w:val="single" w:color="auto" w:sz="4" w:space="0"/>
        <w:left w:val="single" w:color="auto" w:sz="4" w:space="0"/>
        <w:bottom w:val="single" w:color="auto" w:sz="4" w:space="0"/>
      </w:pBdr>
      <w:spacing w:beforeAutospacing="1" w:afterAutospacing="1"/>
      <w:jc w:val="center"/>
    </w:pPr>
    <w:rPr>
      <w:rFonts w:ascii="华文中宋" w:hAnsi="华文中宋" w:eastAsia="华文中宋"/>
      <w:b/>
      <w:bCs/>
      <w:kern w:val="0"/>
      <w:sz w:val="20"/>
      <w:szCs w:val="20"/>
    </w:rPr>
  </w:style>
  <w:style w:type="character" w:customStyle="1" w:styleId="177">
    <w:name w:val="正文 xxha Char"/>
    <w:link w:val="178"/>
    <w:qFormat/>
    <w:uiPriority w:val="0"/>
    <w:rPr>
      <w:rFonts w:ascii="Times New Roman" w:hAnsi="Times New Roman"/>
      <w:kern w:val="2"/>
      <w:sz w:val="24"/>
      <w:szCs w:val="24"/>
    </w:rPr>
  </w:style>
  <w:style w:type="paragraph" w:customStyle="1" w:styleId="178">
    <w:name w:val="正文 xxha"/>
    <w:basedOn w:val="1"/>
    <w:link w:val="177"/>
    <w:qFormat/>
    <w:uiPriority w:val="0"/>
    <w:pPr>
      <w:snapToGrid w:val="0"/>
      <w:spacing w:line="360" w:lineRule="auto"/>
      <w:ind w:firstLine="200" w:firstLineChars="200"/>
    </w:pPr>
    <w:rPr>
      <w:sz w:val="24"/>
    </w:rPr>
  </w:style>
  <w:style w:type="character" w:customStyle="1" w:styleId="179">
    <w:name w:val="z21"/>
    <w:qFormat/>
    <w:uiPriority w:val="0"/>
    <w:rPr>
      <w:color w:val="666666"/>
      <w:sz w:val="24"/>
      <w:szCs w:val="24"/>
    </w:rPr>
  </w:style>
  <w:style w:type="character" w:customStyle="1" w:styleId="180">
    <w:name w:val="正文1[858D7CFB-ED40-4347-BF05-701D383B685F]"/>
    <w:link w:val="181"/>
    <w:qFormat/>
    <w:locked/>
    <w:uiPriority w:val="0"/>
    <w:rPr>
      <w:rFonts w:ascii="Arial" w:hAnsi="Arial" w:cs="Arial"/>
      <w:kern w:val="2"/>
      <w:sz w:val="28"/>
      <w:szCs w:val="28"/>
    </w:rPr>
  </w:style>
  <w:style w:type="paragraph" w:customStyle="1" w:styleId="181">
    <w:name w:val="正文1"/>
    <w:basedOn w:val="1"/>
    <w:link w:val="180"/>
    <w:qFormat/>
    <w:uiPriority w:val="0"/>
    <w:pPr>
      <w:spacing w:line="360" w:lineRule="auto"/>
      <w:ind w:firstLine="560" w:firstLineChars="200"/>
    </w:pPr>
    <w:rPr>
      <w:rFonts w:ascii="Arial" w:hAnsi="Arial"/>
      <w:sz w:val="28"/>
      <w:szCs w:val="28"/>
    </w:rPr>
  </w:style>
  <w:style w:type="character" w:customStyle="1" w:styleId="182">
    <w:name w:val="diy_check1"/>
    <w:qFormat/>
    <w:uiPriority w:val="99"/>
  </w:style>
  <w:style w:type="character" w:customStyle="1" w:styleId="183">
    <w:name w:val="diy_check"/>
    <w:qFormat/>
    <w:uiPriority w:val="99"/>
  </w:style>
  <w:style w:type="character" w:customStyle="1" w:styleId="184">
    <w:name w:val="text11px1"/>
    <w:qFormat/>
    <w:uiPriority w:val="0"/>
    <w:rPr>
      <w:rFonts w:hint="default" w:ascii="Arial" w:hAnsi="Arial" w:cs="Arial"/>
      <w:color w:val="000000"/>
      <w:sz w:val="17"/>
      <w:szCs w:val="17"/>
    </w:rPr>
  </w:style>
  <w:style w:type="character" w:customStyle="1" w:styleId="185">
    <w:name w:val="product_name1"/>
    <w:qFormat/>
    <w:uiPriority w:val="0"/>
    <w:rPr>
      <w:rFonts w:hint="default" w:ascii="Arial" w:hAnsi="Arial" w:cs="Arial"/>
      <w:b/>
      <w:bCs/>
      <w:sz w:val="24"/>
      <w:szCs w:val="24"/>
    </w:rPr>
  </w:style>
  <w:style w:type="character" w:customStyle="1" w:styleId="186">
    <w:name w:val="Char Char11"/>
    <w:qFormat/>
    <w:uiPriority w:val="0"/>
    <w:rPr>
      <w:rFonts w:ascii="Arial" w:hAnsi="Arial" w:eastAsia="黑体"/>
      <w:b/>
      <w:bCs/>
      <w:kern w:val="2"/>
      <w:sz w:val="32"/>
      <w:szCs w:val="32"/>
      <w:lang w:val="en-US" w:eastAsia="zh-CN" w:bidi="ar-SA"/>
    </w:rPr>
  </w:style>
  <w:style w:type="character" w:customStyle="1" w:styleId="187">
    <w:name w:val="MM Topic 1 Char Char"/>
    <w:link w:val="188"/>
    <w:qFormat/>
    <w:uiPriority w:val="0"/>
    <w:rPr>
      <w:rFonts w:ascii="Times New Roman" w:hAnsi="Times New Roman"/>
      <w:b/>
      <w:bCs/>
      <w:kern w:val="44"/>
      <w:sz w:val="36"/>
      <w:szCs w:val="44"/>
    </w:rPr>
  </w:style>
  <w:style w:type="paragraph" w:customStyle="1" w:styleId="188">
    <w:name w:val="MM Topic 1"/>
    <w:basedOn w:val="3"/>
    <w:link w:val="187"/>
    <w:qFormat/>
    <w:uiPriority w:val="0"/>
    <w:pPr>
      <w:autoSpaceDE/>
      <w:autoSpaceDN/>
      <w:adjustRightInd/>
      <w:spacing w:before="100" w:beforeAutospacing="1" w:after="100" w:afterAutospacing="1" w:line="576" w:lineRule="auto"/>
      <w:jc w:val="both"/>
    </w:pPr>
    <w:rPr>
      <w:rFonts w:ascii="Times New Roman"/>
      <w:bCs/>
      <w:sz w:val="36"/>
      <w:szCs w:val="44"/>
    </w:rPr>
  </w:style>
  <w:style w:type="character" w:customStyle="1" w:styleId="189">
    <w:name w:val="图表编号及题目 Char"/>
    <w:link w:val="190"/>
    <w:qFormat/>
    <w:locked/>
    <w:uiPriority w:val="99"/>
    <w:rPr>
      <w:rFonts w:ascii="黑体" w:hAnsi="Times New Roman" w:eastAsia="黑体"/>
      <w:b/>
      <w:bCs/>
      <w:sz w:val="21"/>
      <w:szCs w:val="21"/>
    </w:rPr>
  </w:style>
  <w:style w:type="paragraph" w:customStyle="1" w:styleId="190">
    <w:name w:val="图表编号及题目"/>
    <w:basedOn w:val="1"/>
    <w:link w:val="189"/>
    <w:qFormat/>
    <w:uiPriority w:val="99"/>
    <w:pPr>
      <w:adjustRightInd w:val="0"/>
      <w:snapToGrid w:val="0"/>
      <w:spacing w:before="60" w:after="60" w:line="300" w:lineRule="auto"/>
      <w:ind w:firstLine="420"/>
      <w:jc w:val="center"/>
    </w:pPr>
    <w:rPr>
      <w:rFonts w:ascii="黑体" w:eastAsia="黑体"/>
      <w:b/>
      <w:bCs/>
      <w:kern w:val="0"/>
      <w:szCs w:val="21"/>
    </w:rPr>
  </w:style>
  <w:style w:type="character" w:customStyle="1" w:styleId="191">
    <w:name w:val="表格 Char"/>
    <w:link w:val="192"/>
    <w:qFormat/>
    <w:uiPriority w:val="0"/>
    <w:rPr>
      <w:rFonts w:ascii="华文细黑" w:hAnsi="华文细黑"/>
      <w:sz w:val="21"/>
    </w:rPr>
  </w:style>
  <w:style w:type="paragraph" w:customStyle="1" w:styleId="192">
    <w:name w:val="表格"/>
    <w:basedOn w:val="1"/>
    <w:link w:val="191"/>
    <w:qFormat/>
    <w:uiPriority w:val="0"/>
    <w:pPr>
      <w:jc w:val="center"/>
      <w:textAlignment w:val="center"/>
    </w:pPr>
    <w:rPr>
      <w:rFonts w:ascii="华文细黑" w:hAnsi="华文细黑"/>
      <w:kern w:val="0"/>
      <w:szCs w:val="20"/>
    </w:rPr>
  </w:style>
  <w:style w:type="character" w:customStyle="1" w:styleId="193">
    <w:name w:val="MM Topic 3 Char Char"/>
    <w:qFormat/>
    <w:uiPriority w:val="0"/>
    <w:rPr>
      <w:b/>
      <w:bCs/>
      <w:sz w:val="30"/>
      <w:szCs w:val="32"/>
    </w:rPr>
  </w:style>
  <w:style w:type="character" w:customStyle="1" w:styleId="194">
    <w:name w:val="列表段落 字符"/>
    <w:link w:val="195"/>
    <w:qFormat/>
    <w:uiPriority w:val="34"/>
    <w:rPr>
      <w:rFonts w:ascii="Times New Roman" w:hAnsi="Times New Roman"/>
      <w:kern w:val="2"/>
      <w:sz w:val="24"/>
      <w:szCs w:val="24"/>
    </w:rPr>
  </w:style>
  <w:style w:type="paragraph" w:styleId="195">
    <w:name w:val="List Paragraph"/>
    <w:basedOn w:val="1"/>
    <w:link w:val="194"/>
    <w:qFormat/>
    <w:uiPriority w:val="34"/>
    <w:pPr>
      <w:spacing w:line="360" w:lineRule="auto"/>
      <w:ind w:firstLine="420" w:firstLineChars="200"/>
    </w:pPr>
    <w:rPr>
      <w:sz w:val="24"/>
    </w:rPr>
  </w:style>
  <w:style w:type="character" w:customStyle="1" w:styleId="196">
    <w:name w:val="Char Char1"/>
    <w:qFormat/>
    <w:uiPriority w:val="0"/>
    <w:rPr>
      <w:rFonts w:eastAsia="宋体"/>
      <w:kern w:val="2"/>
      <w:sz w:val="24"/>
      <w:lang w:val="en-US" w:eastAsia="zh-CN" w:bidi="ar-SA"/>
    </w:rPr>
  </w:style>
  <w:style w:type="character" w:customStyle="1" w:styleId="197">
    <w:name w:val="text11pxbold1"/>
    <w:qFormat/>
    <w:uiPriority w:val="0"/>
    <w:rPr>
      <w:rFonts w:hint="default" w:ascii="Arial" w:hAnsi="Arial" w:cs="Arial"/>
      <w:b/>
      <w:bCs/>
      <w:color w:val="000000"/>
      <w:sz w:val="17"/>
      <w:szCs w:val="17"/>
    </w:rPr>
  </w:style>
  <w:style w:type="character" w:customStyle="1" w:styleId="198">
    <w:name w:val="纯文本 Char"/>
    <w:qFormat/>
    <w:uiPriority w:val="0"/>
    <w:rPr>
      <w:rFonts w:ascii="宋体" w:hAnsi="Courier New" w:eastAsia="宋体" w:cs="Courier New"/>
      <w:szCs w:val="21"/>
    </w:rPr>
  </w:style>
  <w:style w:type="character" w:customStyle="1" w:styleId="199">
    <w:name w:val="pd011"/>
    <w:qFormat/>
    <w:uiPriority w:val="0"/>
    <w:rPr>
      <w:rFonts w:hint="default" w:ascii="Arial" w:hAnsi="Arial" w:cs="Arial"/>
      <w:sz w:val="18"/>
      <w:szCs w:val="18"/>
    </w:rPr>
  </w:style>
  <w:style w:type="character" w:customStyle="1" w:styleId="200">
    <w:name w:val="页脚-有边框 Char Char1"/>
    <w:qFormat/>
    <w:locked/>
    <w:uiPriority w:val="0"/>
    <w:rPr>
      <w:rFonts w:eastAsia="宋体"/>
      <w:kern w:val="2"/>
      <w:sz w:val="18"/>
      <w:szCs w:val="18"/>
      <w:lang w:val="en-US" w:eastAsia="zh-CN" w:bidi="ar-SA"/>
    </w:rPr>
  </w:style>
  <w:style w:type="character" w:customStyle="1" w:styleId="201">
    <w:name w:val="GP正文(首行缩进) Char"/>
    <w:link w:val="202"/>
    <w:qFormat/>
    <w:uiPriority w:val="0"/>
    <w:rPr>
      <w:rFonts w:ascii="宋体" w:hAnsi="宋体"/>
      <w:sz w:val="24"/>
      <w:szCs w:val="24"/>
    </w:rPr>
  </w:style>
  <w:style w:type="paragraph" w:customStyle="1" w:styleId="202">
    <w:name w:val="GP正文(首行缩进)"/>
    <w:basedOn w:val="1"/>
    <w:link w:val="201"/>
    <w:qFormat/>
    <w:uiPriority w:val="0"/>
    <w:pPr>
      <w:ind w:firstLine="482"/>
    </w:pPr>
    <w:rPr>
      <w:rFonts w:ascii="宋体" w:hAnsi="宋体"/>
      <w:kern w:val="0"/>
      <w:sz w:val="24"/>
    </w:rPr>
  </w:style>
  <w:style w:type="character" w:customStyle="1" w:styleId="203">
    <w:name w:val="font161"/>
    <w:qFormat/>
    <w:uiPriority w:val="0"/>
    <w:rPr>
      <w:b/>
      <w:bCs/>
      <w:sz w:val="32"/>
      <w:szCs w:val="32"/>
    </w:rPr>
  </w:style>
  <w:style w:type="character" w:customStyle="1" w:styleId="204">
    <w:name w:val="段落内容三级列表 Char"/>
    <w:link w:val="205"/>
    <w:qFormat/>
    <w:uiPriority w:val="0"/>
    <w:rPr>
      <w:rFonts w:ascii="宋体" w:hAnsi="宋体"/>
      <w:sz w:val="24"/>
      <w:szCs w:val="24"/>
      <w:lang w:val="en-US" w:eastAsia="zh-CN" w:bidi="en-US"/>
    </w:rPr>
  </w:style>
  <w:style w:type="paragraph" w:customStyle="1" w:styleId="205">
    <w:name w:val="段落内容三级列表"/>
    <w:link w:val="204"/>
    <w:qFormat/>
    <w:uiPriority w:val="0"/>
    <w:pPr>
      <w:spacing w:line="360" w:lineRule="auto"/>
    </w:pPr>
    <w:rPr>
      <w:rFonts w:ascii="宋体" w:hAnsi="宋体" w:eastAsia="宋体" w:cs="Times New Roman"/>
      <w:sz w:val="24"/>
      <w:szCs w:val="24"/>
      <w:lang w:val="en-US" w:eastAsia="zh-CN" w:bidi="en-US"/>
    </w:rPr>
  </w:style>
  <w:style w:type="character" w:customStyle="1" w:styleId="206">
    <w:name w:val="msonormal"/>
    <w:qFormat/>
    <w:uiPriority w:val="0"/>
    <w:rPr>
      <w:rFonts w:ascii="Tahoma" w:hAnsi="Tahoma" w:eastAsia="仿宋_GB2312"/>
      <w:kern w:val="2"/>
      <w:sz w:val="24"/>
      <w:lang w:val="en-US" w:eastAsia="ar-SA" w:bidi="ar-SA"/>
    </w:rPr>
  </w:style>
  <w:style w:type="character" w:customStyle="1" w:styleId="207">
    <w:name w:val="apple-style-span"/>
    <w:qFormat/>
    <w:uiPriority w:val="0"/>
  </w:style>
  <w:style w:type="character" w:customStyle="1" w:styleId="208">
    <w:name w:val="段落内容无序列表 Char"/>
    <w:link w:val="209"/>
    <w:qFormat/>
    <w:uiPriority w:val="0"/>
    <w:rPr>
      <w:rFonts w:ascii="宋体" w:hAnsi="宋体"/>
      <w:sz w:val="24"/>
      <w:szCs w:val="24"/>
      <w:lang w:bidi="en-US"/>
    </w:rPr>
  </w:style>
  <w:style w:type="paragraph" w:customStyle="1" w:styleId="209">
    <w:name w:val="段落内容无序列表"/>
    <w:basedOn w:val="1"/>
    <w:link w:val="208"/>
    <w:qFormat/>
    <w:uiPriority w:val="0"/>
    <w:pPr>
      <w:widowControl/>
      <w:wordWrap w:val="0"/>
      <w:ind w:left="420" w:firstLine="177" w:firstLineChars="177"/>
    </w:pPr>
    <w:rPr>
      <w:rFonts w:ascii="宋体" w:hAnsi="宋体"/>
      <w:kern w:val="0"/>
      <w:sz w:val="24"/>
      <w:lang w:bidi="en-US"/>
    </w:rPr>
  </w:style>
  <w:style w:type="character" w:customStyle="1" w:styleId="210">
    <w:name w:val="MM Topic 2 Char"/>
    <w:link w:val="211"/>
    <w:qFormat/>
    <w:uiPriority w:val="0"/>
    <w:rPr>
      <w:rFonts w:ascii="Cambria" w:hAnsi="Cambria"/>
      <w:b/>
      <w:bCs/>
      <w:sz w:val="32"/>
      <w:szCs w:val="32"/>
    </w:rPr>
  </w:style>
  <w:style w:type="paragraph" w:customStyle="1" w:styleId="211">
    <w:name w:val="MM Topic 2"/>
    <w:basedOn w:val="4"/>
    <w:link w:val="210"/>
    <w:qFormat/>
    <w:uiPriority w:val="0"/>
    <w:pPr>
      <w:widowControl/>
      <w:autoSpaceDE/>
      <w:autoSpaceDN/>
      <w:adjustRightInd/>
      <w:spacing w:before="260" w:after="260" w:line="416" w:lineRule="auto"/>
    </w:pPr>
    <w:rPr>
      <w:rFonts w:ascii="Cambria" w:hAnsi="Cambria" w:eastAsia="宋体"/>
      <w:bCs/>
      <w:sz w:val="32"/>
      <w:szCs w:val="32"/>
    </w:rPr>
  </w:style>
  <w:style w:type="character" w:customStyle="1" w:styleId="212">
    <w:name w:val="样式 (西文) 仿宋_GB2312 (中文) 仿宋_GB2312 三号"/>
    <w:qFormat/>
    <w:uiPriority w:val="0"/>
    <w:rPr>
      <w:rFonts w:ascii="仿宋_GB2312" w:hAnsi="仿宋_GB2312" w:eastAsia="仿宋_GB2312"/>
      <w:sz w:val="24"/>
    </w:rPr>
  </w:style>
  <w:style w:type="character" w:customStyle="1" w:styleId="213">
    <w:name w:val="样式1 Char"/>
    <w:link w:val="214"/>
    <w:qFormat/>
    <w:uiPriority w:val="0"/>
    <w:rPr>
      <w:rFonts w:ascii="黑体" w:hAnsi="宋体" w:eastAsia="黑体"/>
      <w:sz w:val="32"/>
    </w:rPr>
  </w:style>
  <w:style w:type="paragraph" w:customStyle="1" w:styleId="214">
    <w:name w:val="样式1"/>
    <w:basedOn w:val="42"/>
    <w:link w:val="213"/>
    <w:qFormat/>
    <w:uiPriority w:val="0"/>
    <w:pPr>
      <w:widowControl/>
      <w:spacing w:before="100" w:beforeAutospacing="1" w:after="100" w:afterAutospacing="1" w:line="0" w:lineRule="atLeast"/>
      <w:ind w:firstLine="480"/>
      <w:jc w:val="center"/>
      <w:outlineLvl w:val="0"/>
    </w:pPr>
    <w:rPr>
      <w:rFonts w:ascii="黑体" w:hAnsi="宋体" w:eastAsia="黑体"/>
      <w:sz w:val="32"/>
    </w:rPr>
  </w:style>
  <w:style w:type="character" w:customStyle="1" w:styleId="215">
    <w:name w:val="my正文 Char"/>
    <w:link w:val="216"/>
    <w:qFormat/>
    <w:uiPriority w:val="0"/>
    <w:rPr>
      <w:rFonts w:ascii="宋体" w:hAnsi="宋体" w:cs="宋体"/>
      <w:kern w:val="2"/>
      <w:sz w:val="24"/>
      <w:szCs w:val="24"/>
    </w:rPr>
  </w:style>
  <w:style w:type="paragraph" w:customStyle="1" w:styleId="216">
    <w:name w:val="my正文"/>
    <w:basedOn w:val="1"/>
    <w:next w:val="1"/>
    <w:link w:val="215"/>
    <w:qFormat/>
    <w:uiPriority w:val="0"/>
    <w:pPr>
      <w:spacing w:line="360" w:lineRule="auto"/>
      <w:ind w:firstLine="540" w:firstLineChars="225"/>
    </w:pPr>
    <w:rPr>
      <w:rFonts w:ascii="宋体" w:hAnsi="宋体"/>
      <w:sz w:val="24"/>
    </w:rPr>
  </w:style>
  <w:style w:type="character" w:customStyle="1" w:styleId="217">
    <w:name w:val="xl71 Char Char"/>
    <w:link w:val="218"/>
    <w:qFormat/>
    <w:locked/>
    <w:uiPriority w:val="0"/>
    <w:rPr>
      <w:rFonts w:ascii="华文中宋" w:hAnsi="华文中宋" w:eastAsia="华文中宋" w:cs="华文中宋"/>
    </w:rPr>
  </w:style>
  <w:style w:type="paragraph" w:customStyle="1" w:styleId="218">
    <w:name w:val="xl71"/>
    <w:basedOn w:val="1"/>
    <w:link w:val="217"/>
    <w:qFormat/>
    <w:uiPriority w:val="0"/>
    <w:pPr>
      <w:widowControl/>
      <w:spacing w:beforeAutospacing="1" w:afterAutospacing="1"/>
      <w:jc w:val="center"/>
    </w:pPr>
    <w:rPr>
      <w:rFonts w:ascii="华文中宋" w:hAnsi="华文中宋" w:eastAsia="华文中宋"/>
      <w:kern w:val="0"/>
      <w:sz w:val="20"/>
      <w:szCs w:val="20"/>
    </w:rPr>
  </w:style>
  <w:style w:type="character" w:customStyle="1" w:styleId="219">
    <w:name w:val="评标报告_正文-国际 Char Char"/>
    <w:link w:val="220"/>
    <w:qFormat/>
    <w:locked/>
    <w:uiPriority w:val="99"/>
    <w:rPr>
      <w:rFonts w:ascii="仿宋_GB2312" w:hAnsi="宋体" w:cs="仿宋_GB2312"/>
      <w:sz w:val="24"/>
      <w:szCs w:val="24"/>
    </w:rPr>
  </w:style>
  <w:style w:type="paragraph" w:customStyle="1" w:styleId="220">
    <w:name w:val="评标报告_正文-国际"/>
    <w:basedOn w:val="1"/>
    <w:link w:val="219"/>
    <w:qFormat/>
    <w:uiPriority w:val="99"/>
    <w:pPr>
      <w:spacing w:afterLines="50" w:line="440" w:lineRule="exact"/>
      <w:ind w:firstLine="200" w:firstLineChars="200"/>
    </w:pPr>
    <w:rPr>
      <w:rFonts w:ascii="仿宋_GB2312" w:hAnsi="宋体"/>
      <w:kern w:val="0"/>
      <w:sz w:val="24"/>
    </w:rPr>
  </w:style>
  <w:style w:type="character" w:customStyle="1" w:styleId="221">
    <w:name w:val="addr_sj"/>
    <w:qFormat/>
    <w:uiPriority w:val="99"/>
    <w:rPr>
      <w:color w:val="auto"/>
      <w:sz w:val="15"/>
      <w:szCs w:val="15"/>
    </w:rPr>
  </w:style>
  <w:style w:type="character" w:customStyle="1" w:styleId="222">
    <w:name w:val="Char Char2"/>
    <w:qFormat/>
    <w:uiPriority w:val="0"/>
    <w:rPr>
      <w:rFonts w:ascii="Arial" w:hAnsi="Arial" w:eastAsia="黑体" w:cs="Arial"/>
      <w:b/>
      <w:bCs/>
      <w:sz w:val="32"/>
      <w:szCs w:val="32"/>
    </w:rPr>
  </w:style>
  <w:style w:type="character" w:customStyle="1" w:styleId="223">
    <w:name w:val="封面标题"/>
    <w:qFormat/>
    <w:uiPriority w:val="99"/>
    <w:rPr>
      <w:rFonts w:ascii="Arial" w:hAnsi="Arial" w:eastAsia="黑体" w:cs="Arial"/>
      <w:sz w:val="48"/>
      <w:szCs w:val="48"/>
    </w:rPr>
  </w:style>
  <w:style w:type="character" w:customStyle="1" w:styleId="224">
    <w:name w:val="普通文字1 Char"/>
    <w:qFormat/>
    <w:uiPriority w:val="99"/>
    <w:rPr>
      <w:rFonts w:ascii="宋体" w:hAnsi="Courier New" w:eastAsia="宋体" w:cs="宋体"/>
      <w:kern w:val="2"/>
      <w:sz w:val="21"/>
      <w:szCs w:val="21"/>
      <w:lang w:val="en-US" w:eastAsia="zh-CN"/>
    </w:rPr>
  </w:style>
  <w:style w:type="character" w:customStyle="1" w:styleId="225">
    <w:name w:val="Char Char21"/>
    <w:qFormat/>
    <w:uiPriority w:val="99"/>
    <w:rPr>
      <w:rFonts w:ascii="Arial" w:hAnsi="Arial" w:eastAsia="黑体" w:cs="Arial"/>
      <w:b/>
      <w:bCs/>
      <w:sz w:val="32"/>
      <w:szCs w:val="32"/>
    </w:rPr>
  </w:style>
  <w:style w:type="character" w:customStyle="1" w:styleId="226">
    <w:name w:val="foldecurrent"/>
    <w:qFormat/>
    <w:uiPriority w:val="99"/>
    <w:rPr>
      <w:color w:val="FFFFFF"/>
      <w:shd w:val="clear" w:color="auto" w:fill="auto"/>
    </w:rPr>
  </w:style>
  <w:style w:type="character" w:customStyle="1" w:styleId="227">
    <w:name w:val="pushphoneico"/>
    <w:qFormat/>
    <w:uiPriority w:val="99"/>
  </w:style>
  <w:style w:type="character" w:customStyle="1" w:styleId="228">
    <w:name w:val="hover50"/>
    <w:qFormat/>
    <w:uiPriority w:val="99"/>
    <w:rPr>
      <w:shd w:val="clear" w:color="auto" w:fill="auto"/>
    </w:rPr>
  </w:style>
  <w:style w:type="character" w:customStyle="1" w:styleId="229">
    <w:name w:val="tabct1"/>
    <w:qFormat/>
    <w:uiPriority w:val="99"/>
    <w:rPr>
      <w:color w:val="000000"/>
    </w:rPr>
  </w:style>
  <w:style w:type="character" w:customStyle="1" w:styleId="230">
    <w:name w:val="pushphone"/>
    <w:qFormat/>
    <w:uiPriority w:val="99"/>
    <w:rPr>
      <w:b/>
      <w:bCs/>
    </w:rPr>
  </w:style>
  <w:style w:type="character" w:customStyle="1" w:styleId="231">
    <w:name w:val="diy_checked"/>
    <w:qFormat/>
    <w:uiPriority w:val="99"/>
  </w:style>
  <w:style w:type="character" w:customStyle="1" w:styleId="232">
    <w:name w:val="error"/>
    <w:qFormat/>
    <w:uiPriority w:val="99"/>
    <w:rPr>
      <w:color w:val="000000"/>
    </w:rPr>
  </w:style>
  <w:style w:type="character" w:customStyle="1" w:styleId="233">
    <w:name w:val="pushopa"/>
    <w:qFormat/>
    <w:uiPriority w:val="99"/>
  </w:style>
  <w:style w:type="character" w:customStyle="1" w:styleId="234">
    <w:name w:val="gpa"/>
    <w:qFormat/>
    <w:uiPriority w:val="0"/>
    <w:rPr>
      <w:rFonts w:ascii="Arial" w:hAnsi="Arial" w:cs="Arial"/>
      <w:sz w:val="15"/>
      <w:szCs w:val="15"/>
    </w:rPr>
  </w:style>
  <w:style w:type="character" w:customStyle="1" w:styleId="235">
    <w:name w:val="displayarti"/>
    <w:qFormat/>
    <w:uiPriority w:val="0"/>
    <w:rPr>
      <w:color w:val="FFFFFF"/>
      <w:shd w:val="clear" w:color="auto" w:fill="A00000"/>
    </w:rPr>
  </w:style>
  <w:style w:type="character" w:customStyle="1" w:styleId="236">
    <w:name w:val="selected"/>
    <w:qFormat/>
    <w:uiPriority w:val="0"/>
    <w:rPr>
      <w:shd w:val="clear" w:color="auto" w:fill="B00006"/>
    </w:rPr>
  </w:style>
  <w:style w:type="character" w:customStyle="1" w:styleId="237">
    <w:name w:val="fontborder"/>
    <w:qFormat/>
    <w:uiPriority w:val="0"/>
    <w:rPr>
      <w:bdr w:val="single" w:color="000000" w:sz="6" w:space="0"/>
    </w:rPr>
  </w:style>
  <w:style w:type="character" w:customStyle="1" w:styleId="238">
    <w:name w:val="fontstrikethrough"/>
    <w:qFormat/>
    <w:uiPriority w:val="0"/>
    <w:rPr>
      <w:strike/>
    </w:rPr>
  </w:style>
  <w:style w:type="character" w:customStyle="1" w:styleId="239">
    <w:name w:val="正文文本 Char1"/>
    <w:qFormat/>
    <w:uiPriority w:val="0"/>
    <w:rPr>
      <w:kern w:val="2"/>
      <w:sz w:val="21"/>
      <w:szCs w:val="22"/>
    </w:rPr>
  </w:style>
  <w:style w:type="character" w:customStyle="1" w:styleId="240">
    <w:name w:val="明显引用 字符"/>
    <w:link w:val="241"/>
    <w:qFormat/>
    <w:uiPriority w:val="30"/>
    <w:rPr>
      <w:b/>
      <w:bCs/>
      <w:i/>
      <w:iCs/>
      <w:color w:val="4F81BD"/>
      <w:kern w:val="2"/>
      <w:sz w:val="21"/>
      <w:szCs w:val="22"/>
    </w:rPr>
  </w:style>
  <w:style w:type="paragraph" w:styleId="241">
    <w:name w:val="Intense Quote"/>
    <w:basedOn w:val="1"/>
    <w:next w:val="1"/>
    <w:link w:val="240"/>
    <w:qFormat/>
    <w:uiPriority w:val="0"/>
    <w:pPr>
      <w:pBdr>
        <w:bottom w:val="single" w:color="4F81BD" w:sz="4" w:space="4"/>
      </w:pBdr>
      <w:spacing w:before="200" w:after="280"/>
      <w:ind w:left="936" w:right="936"/>
    </w:pPr>
    <w:rPr>
      <w:rFonts w:ascii="Calibri" w:hAnsi="Calibri"/>
      <w:b/>
      <w:bCs/>
      <w:i/>
      <w:iCs/>
      <w:color w:val="4F81BD"/>
      <w:szCs w:val="22"/>
    </w:rPr>
  </w:style>
  <w:style w:type="character" w:customStyle="1" w:styleId="242">
    <w:name w:val="明显引用 Char1"/>
    <w:qFormat/>
    <w:uiPriority w:val="99"/>
    <w:rPr>
      <w:rFonts w:ascii="Times New Roman" w:hAnsi="Times New Roman"/>
      <w:b/>
      <w:bCs/>
      <w:i/>
      <w:iCs/>
      <w:color w:val="4F81BD"/>
      <w:kern w:val="2"/>
      <w:sz w:val="21"/>
      <w:szCs w:val="24"/>
    </w:rPr>
  </w:style>
  <w:style w:type="character" w:customStyle="1" w:styleId="243">
    <w:name w:val="Subtle Emphasis"/>
    <w:qFormat/>
    <w:uiPriority w:val="0"/>
    <w:rPr>
      <w:i/>
      <w:iCs/>
      <w:color w:val="808080"/>
    </w:rPr>
  </w:style>
  <w:style w:type="character" w:customStyle="1" w:styleId="244">
    <w:name w:val="标题4 Char Char"/>
    <w:qFormat/>
    <w:uiPriority w:val="0"/>
    <w:rPr>
      <w:rFonts w:ascii="Arial" w:hAnsi="Arial"/>
      <w:b/>
      <w:bCs/>
      <w:sz w:val="24"/>
      <w:szCs w:val="32"/>
    </w:rPr>
  </w:style>
  <w:style w:type="character" w:customStyle="1" w:styleId="245">
    <w:name w:val="标题5 Char Char"/>
    <w:link w:val="246"/>
    <w:qFormat/>
    <w:uiPriority w:val="0"/>
    <w:rPr>
      <w:rFonts w:ascii="Arial" w:hAnsi="Arial"/>
      <w:b/>
      <w:bCs/>
      <w:sz w:val="24"/>
      <w:szCs w:val="32"/>
    </w:rPr>
  </w:style>
  <w:style w:type="paragraph" w:customStyle="1" w:styleId="246">
    <w:name w:val="标题5"/>
    <w:basedOn w:val="6"/>
    <w:link w:val="245"/>
    <w:qFormat/>
    <w:uiPriority w:val="0"/>
    <w:pPr>
      <w:autoSpaceDE/>
      <w:autoSpaceDN/>
      <w:adjustRightInd/>
      <w:spacing w:before="260" w:after="260" w:line="413" w:lineRule="auto"/>
      <w:jc w:val="both"/>
    </w:pPr>
    <w:rPr>
      <w:rFonts w:ascii="Arial" w:hAnsi="Arial"/>
      <w:bCs/>
      <w:szCs w:val="32"/>
      <w:u w:val="none"/>
    </w:rPr>
  </w:style>
  <w:style w:type="character" w:customStyle="1" w:styleId="247">
    <w:name w:val="Intense Reference"/>
    <w:qFormat/>
    <w:uiPriority w:val="0"/>
    <w:rPr>
      <w:b/>
      <w:bCs/>
      <w:smallCaps/>
      <w:color w:val="C0504D"/>
      <w:spacing w:val="5"/>
      <w:u w:val="single"/>
    </w:rPr>
  </w:style>
  <w:style w:type="character" w:customStyle="1" w:styleId="248">
    <w:name w:val="批注框文本 Char1"/>
    <w:qFormat/>
    <w:uiPriority w:val="99"/>
    <w:rPr>
      <w:kern w:val="2"/>
      <w:sz w:val="18"/>
      <w:szCs w:val="18"/>
    </w:rPr>
  </w:style>
  <w:style w:type="character" w:customStyle="1" w:styleId="249">
    <w:name w:val="引用 字符"/>
    <w:link w:val="250"/>
    <w:qFormat/>
    <w:uiPriority w:val="29"/>
    <w:rPr>
      <w:i/>
      <w:iCs/>
      <w:color w:val="000000"/>
      <w:kern w:val="2"/>
      <w:sz w:val="21"/>
      <w:szCs w:val="22"/>
    </w:rPr>
  </w:style>
  <w:style w:type="paragraph" w:styleId="250">
    <w:name w:val="Quote"/>
    <w:basedOn w:val="1"/>
    <w:next w:val="1"/>
    <w:link w:val="249"/>
    <w:qFormat/>
    <w:uiPriority w:val="0"/>
    <w:rPr>
      <w:rFonts w:ascii="Calibri" w:hAnsi="Calibri"/>
      <w:i/>
      <w:iCs/>
      <w:color w:val="000000"/>
      <w:szCs w:val="22"/>
    </w:rPr>
  </w:style>
  <w:style w:type="character" w:customStyle="1" w:styleId="251">
    <w:name w:val="引用 Char1"/>
    <w:qFormat/>
    <w:uiPriority w:val="99"/>
    <w:rPr>
      <w:rFonts w:ascii="Times New Roman" w:hAnsi="Times New Roman"/>
      <w:i/>
      <w:iCs/>
      <w:color w:val="000000"/>
      <w:kern w:val="2"/>
      <w:sz w:val="21"/>
      <w:szCs w:val="24"/>
    </w:rPr>
  </w:style>
  <w:style w:type="character" w:customStyle="1" w:styleId="252">
    <w:name w:val="批注主题 Char1"/>
    <w:qFormat/>
    <w:uiPriority w:val="99"/>
    <w:rPr>
      <w:b/>
      <w:bCs/>
      <w:kern w:val="2"/>
      <w:sz w:val="21"/>
      <w:szCs w:val="22"/>
    </w:rPr>
  </w:style>
  <w:style w:type="character" w:customStyle="1" w:styleId="253">
    <w:name w:val="日期 Char1"/>
    <w:qFormat/>
    <w:uiPriority w:val="0"/>
    <w:rPr>
      <w:kern w:val="2"/>
      <w:sz w:val="21"/>
      <w:szCs w:val="22"/>
    </w:rPr>
  </w:style>
  <w:style w:type="character" w:customStyle="1" w:styleId="254">
    <w:name w:val="Intense Emphasis"/>
    <w:qFormat/>
    <w:uiPriority w:val="0"/>
    <w:rPr>
      <w:b/>
      <w:bCs/>
      <w:i/>
      <w:iCs/>
      <w:color w:val="4F81BD"/>
    </w:rPr>
  </w:style>
  <w:style w:type="character" w:customStyle="1" w:styleId="255">
    <w:name w:val="textcontents"/>
    <w:qFormat/>
    <w:uiPriority w:val="0"/>
    <w:rPr>
      <w:rFonts w:cs="Times New Roman"/>
    </w:rPr>
  </w:style>
  <w:style w:type="character" w:customStyle="1" w:styleId="256">
    <w:name w:val="Subtle Reference"/>
    <w:qFormat/>
    <w:uiPriority w:val="0"/>
    <w:rPr>
      <w:smallCaps/>
      <w:color w:val="C0504D"/>
      <w:u w:val="single"/>
    </w:rPr>
  </w:style>
  <w:style w:type="character" w:customStyle="1" w:styleId="257">
    <w:name w:val="批注文字 Char Char"/>
    <w:qFormat/>
    <w:uiPriority w:val="0"/>
    <w:rPr>
      <w:rFonts w:ascii="宋体" w:hAnsi="Times New Roman" w:eastAsia="宋体" w:cs="Times New Roman"/>
      <w:sz w:val="28"/>
      <w:szCs w:val="20"/>
    </w:rPr>
  </w:style>
  <w:style w:type="character" w:customStyle="1" w:styleId="258">
    <w:name w:val="副标题 Char1"/>
    <w:qFormat/>
    <w:uiPriority w:val="11"/>
    <w:rPr>
      <w:rFonts w:ascii="Cambria" w:hAnsi="Cambria" w:cs="Times New Roman"/>
      <w:b/>
      <w:bCs/>
      <w:kern w:val="28"/>
      <w:sz w:val="32"/>
      <w:szCs w:val="32"/>
    </w:rPr>
  </w:style>
  <w:style w:type="character" w:customStyle="1" w:styleId="259">
    <w:name w:val="文档结构图 Char1"/>
    <w:qFormat/>
    <w:uiPriority w:val="0"/>
    <w:rPr>
      <w:rFonts w:ascii="宋体"/>
      <w:kern w:val="2"/>
      <w:sz w:val="18"/>
      <w:szCs w:val="18"/>
    </w:rPr>
  </w:style>
  <w:style w:type="character" w:customStyle="1" w:styleId="260">
    <w:name w:val="无间隔 字符1"/>
    <w:link w:val="261"/>
    <w:qFormat/>
    <w:uiPriority w:val="0"/>
    <w:rPr>
      <w:kern w:val="2"/>
      <w:sz w:val="21"/>
      <w:szCs w:val="22"/>
      <w:lang w:bidi="ar-SA"/>
    </w:rPr>
  </w:style>
  <w:style w:type="paragraph" w:styleId="261">
    <w:name w:val="No Spacing"/>
    <w:link w:val="260"/>
    <w:qFormat/>
    <w:uiPriority w:val="0"/>
    <w:pPr>
      <w:widowControl w:val="0"/>
      <w:jc w:val="both"/>
    </w:pPr>
    <w:rPr>
      <w:rFonts w:ascii="Calibri" w:hAnsi="Calibri" w:eastAsia="宋体" w:cs="Times New Roman"/>
      <w:kern w:val="2"/>
      <w:sz w:val="21"/>
      <w:szCs w:val="22"/>
      <w:lang w:val="en-US" w:eastAsia="zh-CN" w:bidi="ar-SA"/>
    </w:rPr>
  </w:style>
  <w:style w:type="character" w:customStyle="1" w:styleId="262">
    <w:name w:val="正文（首行缩进2字符） Char"/>
    <w:link w:val="263"/>
    <w:qFormat/>
    <w:uiPriority w:val="0"/>
    <w:rPr>
      <w:sz w:val="24"/>
      <w:szCs w:val="24"/>
    </w:rPr>
  </w:style>
  <w:style w:type="paragraph" w:customStyle="1" w:styleId="263">
    <w:name w:val="正文（首行缩进2字符）"/>
    <w:basedOn w:val="1"/>
    <w:link w:val="262"/>
    <w:qFormat/>
    <w:uiPriority w:val="0"/>
    <w:pPr>
      <w:spacing w:beforeLines="25" w:afterLines="25" w:line="480" w:lineRule="exact"/>
      <w:ind w:firstLine="210" w:firstLineChars="210"/>
    </w:pPr>
    <w:rPr>
      <w:rFonts w:ascii="Calibri" w:hAnsi="Calibri"/>
      <w:kern w:val="0"/>
      <w:sz w:val="24"/>
    </w:rPr>
  </w:style>
  <w:style w:type="character" w:customStyle="1" w:styleId="264">
    <w:name w:val="列表 1 Char"/>
    <w:link w:val="265"/>
    <w:qFormat/>
    <w:uiPriority w:val="0"/>
    <w:rPr>
      <w:sz w:val="24"/>
      <w:lang w:val="en-US" w:eastAsia="zh-CN" w:bidi="ar-SA"/>
    </w:rPr>
  </w:style>
  <w:style w:type="paragraph" w:customStyle="1" w:styleId="265">
    <w:name w:val="列表 1"/>
    <w:link w:val="264"/>
    <w:qFormat/>
    <w:uiPriority w:val="0"/>
    <w:pPr>
      <w:tabs>
        <w:tab w:val="left" w:pos="620"/>
      </w:tabs>
      <w:spacing w:line="360" w:lineRule="auto"/>
      <w:ind w:left="620" w:hanging="420"/>
    </w:pPr>
    <w:rPr>
      <w:rFonts w:ascii="Calibri" w:hAnsi="Calibri" w:eastAsia="宋体" w:cs="Times New Roman"/>
      <w:sz w:val="24"/>
      <w:lang w:val="en-US" w:eastAsia="zh-CN" w:bidi="ar-SA"/>
    </w:rPr>
  </w:style>
  <w:style w:type="character" w:customStyle="1" w:styleId="266">
    <w:name w:val="tytytyty Char"/>
    <w:link w:val="267"/>
    <w:qFormat/>
    <w:uiPriority w:val="0"/>
    <w:rPr>
      <w:sz w:val="24"/>
      <w:szCs w:val="24"/>
    </w:rPr>
  </w:style>
  <w:style w:type="paragraph" w:customStyle="1" w:styleId="267">
    <w:name w:val="tytytyty"/>
    <w:basedOn w:val="1"/>
    <w:link w:val="266"/>
    <w:qFormat/>
    <w:uiPriority w:val="0"/>
    <w:pPr>
      <w:spacing w:line="360" w:lineRule="auto"/>
      <w:ind w:left="359" w:leftChars="171" w:firstLine="480" w:firstLineChars="200"/>
    </w:pPr>
    <w:rPr>
      <w:rFonts w:ascii="Calibri" w:hAnsi="Calibri"/>
      <w:kern w:val="0"/>
      <w:sz w:val="24"/>
    </w:rPr>
  </w:style>
  <w:style w:type="character" w:customStyle="1" w:styleId="268">
    <w:name w:val="样式 正文 +"/>
    <w:qFormat/>
    <w:uiPriority w:val="0"/>
    <w:rPr>
      <w:rFonts w:eastAsia="宋体"/>
      <w:kern w:val="0"/>
      <w:sz w:val="24"/>
      <w:szCs w:val="24"/>
      <w:lang w:val="en-US" w:eastAsia="zh-CN" w:bidi="ar-SA"/>
    </w:rPr>
  </w:style>
  <w:style w:type="character" w:customStyle="1" w:styleId="269">
    <w:name w:val="样式 样式 仿宋_GB2312 四号 加粗 行距: 1.5 倍行距 + 小四 Char"/>
    <w:link w:val="270"/>
    <w:qFormat/>
    <w:uiPriority w:val="0"/>
    <w:rPr>
      <w:rFonts w:ascii="仿宋_GB2312" w:hAnsi="宋体" w:cs="宋体"/>
      <w:sz w:val="24"/>
    </w:rPr>
  </w:style>
  <w:style w:type="paragraph" w:customStyle="1" w:styleId="270">
    <w:name w:val="样式 样式 仿宋_GB2312 四号 加粗 行距: 1.5 倍行距 + 小四"/>
    <w:basedOn w:val="1"/>
    <w:link w:val="269"/>
    <w:qFormat/>
    <w:uiPriority w:val="0"/>
    <w:pPr>
      <w:spacing w:line="360" w:lineRule="auto"/>
      <w:ind w:firstLine="200" w:firstLineChars="200"/>
    </w:pPr>
    <w:rPr>
      <w:rFonts w:ascii="仿宋_GB2312" w:hAnsi="宋体"/>
      <w:kern w:val="0"/>
      <w:sz w:val="24"/>
      <w:szCs w:val="20"/>
    </w:rPr>
  </w:style>
  <w:style w:type="character" w:customStyle="1" w:styleId="271">
    <w:name w:val="样式 仿宋_GB2312 四号 加粗 行距: 1.5 倍行距 Char"/>
    <w:link w:val="272"/>
    <w:qFormat/>
    <w:uiPriority w:val="0"/>
    <w:rPr>
      <w:rFonts w:ascii="仿宋_GB2312" w:hAnsi="宋体" w:cs="宋体"/>
      <w:bCs/>
      <w:sz w:val="30"/>
    </w:rPr>
  </w:style>
  <w:style w:type="paragraph" w:customStyle="1" w:styleId="272">
    <w:name w:val="样式 仿宋_GB2312 四号 加粗 行距: 1.5 倍行距"/>
    <w:basedOn w:val="1"/>
    <w:link w:val="271"/>
    <w:qFormat/>
    <w:uiPriority w:val="0"/>
    <w:pPr>
      <w:spacing w:line="360" w:lineRule="auto"/>
      <w:ind w:firstLine="562" w:firstLineChars="200"/>
    </w:pPr>
    <w:rPr>
      <w:rFonts w:ascii="仿宋_GB2312" w:hAnsi="宋体"/>
      <w:bCs/>
      <w:kern w:val="0"/>
      <w:sz w:val="30"/>
      <w:szCs w:val="20"/>
    </w:rPr>
  </w:style>
  <w:style w:type="character" w:customStyle="1" w:styleId="273">
    <w:name w:val="3zw"/>
    <w:qFormat/>
    <w:uiPriority w:val="0"/>
  </w:style>
  <w:style w:type="character" w:customStyle="1" w:styleId="274">
    <w:name w:val="名称2 Char"/>
    <w:qFormat/>
    <w:uiPriority w:val="0"/>
    <w:rPr>
      <w:rFonts w:hint="eastAsia" w:ascii="宋体" w:hAnsi="宋体" w:eastAsia="宋体"/>
      <w:b/>
      <w:kern w:val="2"/>
      <w:sz w:val="28"/>
      <w:szCs w:val="28"/>
      <w:lang w:val="en-US" w:eastAsia="zh-CN" w:bidi="ar-SA"/>
    </w:rPr>
  </w:style>
  <w:style w:type="character" w:customStyle="1" w:styleId="275">
    <w:name w:val="正文文本缩进 Char1"/>
    <w:qFormat/>
    <w:uiPriority w:val="0"/>
    <w:rPr>
      <w:szCs w:val="24"/>
    </w:rPr>
  </w:style>
  <w:style w:type="character" w:customStyle="1" w:styleId="276">
    <w:name w:val="标题 3 Char1"/>
    <w:qFormat/>
    <w:uiPriority w:val="0"/>
    <w:rPr>
      <w:rFonts w:ascii="宋体" w:hAnsi="宋体" w:eastAsia="宋体"/>
      <w:b/>
      <w:bCs/>
      <w:kern w:val="2"/>
      <w:sz w:val="28"/>
      <w:szCs w:val="28"/>
    </w:rPr>
  </w:style>
  <w:style w:type="character" w:customStyle="1" w:styleId="277">
    <w:name w:val="Char Char9"/>
    <w:qFormat/>
    <w:uiPriority w:val="0"/>
    <w:rPr>
      <w:rFonts w:ascii="Cambria" w:hAnsi="Cambria" w:eastAsia="宋体" w:cs="宋体"/>
      <w:b/>
      <w:bCs/>
      <w:kern w:val="2"/>
      <w:sz w:val="28"/>
      <w:szCs w:val="28"/>
      <w:lang w:val="en-US" w:eastAsia="zh-CN" w:bidi="ar-SA"/>
    </w:rPr>
  </w:style>
  <w:style w:type="character" w:customStyle="1" w:styleId="278">
    <w:name w:val="content"/>
    <w:qFormat/>
    <w:uiPriority w:val="0"/>
  </w:style>
  <w:style w:type="character" w:customStyle="1" w:styleId="279">
    <w:name w:val="标题 4 z"/>
    <w:qFormat/>
    <w:uiPriority w:val="0"/>
    <w:rPr>
      <w:rFonts w:ascii="Arial" w:hAnsi="Arial" w:eastAsia="黑体"/>
      <w:b/>
      <w:bCs/>
      <w:kern w:val="2"/>
      <w:sz w:val="28"/>
      <w:szCs w:val="28"/>
      <w:lang w:val="en-US" w:eastAsia="zh-CN" w:bidi="ar-SA"/>
    </w:rPr>
  </w:style>
  <w:style w:type="character" w:customStyle="1" w:styleId="280">
    <w:name w:val="apple-converted-space"/>
    <w:qFormat/>
    <w:uiPriority w:val="0"/>
  </w:style>
  <w:style w:type="character" w:customStyle="1" w:styleId="281">
    <w:name w:val="样式 纯文本普通文字 Char纯文本 Char普通文字 Char Char标题1 + Times New Roman ... Char1"/>
    <w:link w:val="282"/>
    <w:qFormat/>
    <w:uiPriority w:val="0"/>
    <w:rPr>
      <w:rFonts w:cs="宋体"/>
      <w:sz w:val="24"/>
      <w:lang w:val="en-US" w:eastAsia="zh-CN" w:bidi="ar-SA"/>
    </w:rPr>
  </w:style>
  <w:style w:type="paragraph" w:customStyle="1" w:styleId="282">
    <w:name w:val="样式 纯文本普通文字 Char纯文本 Char普通文字 Char Char标题1 + Times New Roman ..."/>
    <w:next w:val="26"/>
    <w:link w:val="281"/>
    <w:qFormat/>
    <w:uiPriority w:val="0"/>
    <w:pPr>
      <w:autoSpaceDE w:val="0"/>
      <w:autoSpaceDN w:val="0"/>
      <w:adjustRightInd w:val="0"/>
      <w:spacing w:line="480" w:lineRule="atLeast"/>
      <w:ind w:firstLine="482"/>
    </w:pPr>
    <w:rPr>
      <w:rFonts w:ascii="Calibri" w:hAnsi="Calibri" w:eastAsia="宋体" w:cs="宋体"/>
      <w:sz w:val="24"/>
      <w:lang w:val="en-US" w:eastAsia="zh-CN" w:bidi="ar-SA"/>
    </w:rPr>
  </w:style>
  <w:style w:type="character" w:customStyle="1" w:styleId="283">
    <w:name w:val="标题2 Char Char"/>
    <w:qFormat/>
    <w:uiPriority w:val="0"/>
    <w:rPr>
      <w:rFonts w:ascii="Cambria" w:hAnsi="Cambria" w:eastAsia="宋体"/>
      <w:b/>
      <w:bCs/>
      <w:kern w:val="2"/>
      <w:sz w:val="30"/>
      <w:szCs w:val="32"/>
      <w:lang w:val="en-US" w:eastAsia="zh-CN" w:bidi="ar-SA"/>
    </w:rPr>
  </w:style>
  <w:style w:type="character" w:customStyle="1" w:styleId="284">
    <w:name w:val="txt1"/>
    <w:qFormat/>
    <w:uiPriority w:val="0"/>
  </w:style>
  <w:style w:type="character" w:customStyle="1" w:styleId="285">
    <w:name w:val="9p-201"/>
    <w:qFormat/>
    <w:uiPriority w:val="0"/>
    <w:rPr>
      <w:sz w:val="18"/>
      <w:szCs w:val="18"/>
      <w:u w:val="none"/>
    </w:rPr>
  </w:style>
  <w:style w:type="character" w:customStyle="1" w:styleId="286">
    <w:name w:val="可研报告正文 Char Char Char Char"/>
    <w:link w:val="287"/>
    <w:qFormat/>
    <w:uiPriority w:val="0"/>
    <w:rPr>
      <w:rFonts w:ascii="仿宋_GB2312" w:eastAsia="仿宋_GB2312"/>
      <w:sz w:val="28"/>
      <w:szCs w:val="28"/>
    </w:rPr>
  </w:style>
  <w:style w:type="paragraph" w:customStyle="1" w:styleId="287">
    <w:name w:val="可研报告正文 Char Char Char"/>
    <w:basedOn w:val="32"/>
    <w:link w:val="286"/>
    <w:qFormat/>
    <w:uiPriority w:val="0"/>
    <w:pPr>
      <w:ind w:firstLine="177" w:firstLineChars="177"/>
    </w:pPr>
    <w:rPr>
      <w:rFonts w:ascii="仿宋_GB2312" w:hAnsi="Calibri" w:eastAsia="仿宋_GB2312"/>
      <w:sz w:val="28"/>
      <w:szCs w:val="28"/>
    </w:rPr>
  </w:style>
  <w:style w:type="character" w:customStyle="1" w:styleId="288">
    <w:name w:val="标题 4 Char1"/>
    <w:qFormat/>
    <w:uiPriority w:val="0"/>
    <w:rPr>
      <w:rFonts w:ascii="宋体" w:hAnsi="宋体"/>
      <w:bCs/>
      <w:color w:val="365F91"/>
      <w:sz w:val="28"/>
      <w:szCs w:val="24"/>
    </w:rPr>
  </w:style>
  <w:style w:type="character" w:customStyle="1" w:styleId="289">
    <w:name w:val="样式 样式 首行缩进:  2.25 字符 + 首行缩进:  2.25 字符 Char"/>
    <w:link w:val="290"/>
    <w:qFormat/>
    <w:uiPriority w:val="0"/>
    <w:rPr>
      <w:rFonts w:ascii="仿宋_GB2312" w:eastAsia="仿宋_GB2312" w:cs="宋体"/>
      <w:sz w:val="28"/>
      <w:szCs w:val="28"/>
    </w:rPr>
  </w:style>
  <w:style w:type="paragraph" w:customStyle="1" w:styleId="290">
    <w:name w:val="样式 样式 首行缩进:  2.25 字符 + 首行缩进:  2.25 字符"/>
    <w:basedOn w:val="1"/>
    <w:link w:val="289"/>
    <w:qFormat/>
    <w:uiPriority w:val="0"/>
    <w:pPr>
      <w:spacing w:line="360" w:lineRule="auto"/>
      <w:ind w:firstLine="630" w:firstLineChars="225"/>
    </w:pPr>
    <w:rPr>
      <w:rFonts w:ascii="仿宋_GB2312" w:hAnsi="Calibri" w:eastAsia="仿宋_GB2312"/>
      <w:kern w:val="0"/>
      <w:sz w:val="28"/>
      <w:szCs w:val="28"/>
    </w:rPr>
  </w:style>
  <w:style w:type="character" w:customStyle="1" w:styleId="291">
    <w:name w:val="Char Char12"/>
    <w:qFormat/>
    <w:uiPriority w:val="99"/>
    <w:rPr>
      <w:rFonts w:ascii="Calibri" w:hAnsi="Calibri" w:eastAsia="宋体" w:cs="宋体"/>
      <w:b/>
      <w:bCs/>
      <w:kern w:val="44"/>
      <w:sz w:val="44"/>
      <w:szCs w:val="44"/>
      <w:lang w:val="en-US" w:eastAsia="zh-CN" w:bidi="ar-SA"/>
    </w:rPr>
  </w:style>
  <w:style w:type="character" w:customStyle="1" w:styleId="292">
    <w:name w:val="标五 Char"/>
    <w:link w:val="293"/>
    <w:qFormat/>
    <w:uiPriority w:val="0"/>
    <w:rPr>
      <w:rFonts w:ascii="仿宋_GB2312" w:eastAsia="仿宋_GB2312"/>
      <w:sz w:val="24"/>
      <w:szCs w:val="24"/>
      <w:lang w:val="en-US" w:eastAsia="zh-CN" w:bidi="ar-SA"/>
    </w:rPr>
  </w:style>
  <w:style w:type="paragraph" w:customStyle="1" w:styleId="293">
    <w:name w:val="标五"/>
    <w:next w:val="1"/>
    <w:link w:val="292"/>
    <w:qFormat/>
    <w:uiPriority w:val="0"/>
    <w:pPr>
      <w:spacing w:line="360" w:lineRule="auto"/>
      <w:ind w:firstLine="1"/>
      <w:outlineLvl w:val="4"/>
    </w:pPr>
    <w:rPr>
      <w:rFonts w:ascii="仿宋_GB2312" w:hAnsi="Calibri" w:eastAsia="仿宋_GB2312" w:cs="Times New Roman"/>
      <w:sz w:val="24"/>
      <w:szCs w:val="24"/>
      <w:lang w:val="en-US" w:eastAsia="zh-CN" w:bidi="ar-SA"/>
    </w:rPr>
  </w:style>
  <w:style w:type="character" w:customStyle="1" w:styleId="294">
    <w:name w:val="标题 2 Char1"/>
    <w:qFormat/>
    <w:uiPriority w:val="0"/>
    <w:rPr>
      <w:rFonts w:ascii="Times New Roman" w:hAnsi="Times New Roman"/>
      <w:b/>
      <w:bCs/>
      <w:kern w:val="2"/>
      <w:sz w:val="32"/>
      <w:szCs w:val="32"/>
    </w:rPr>
  </w:style>
  <w:style w:type="character" w:customStyle="1" w:styleId="295">
    <w:name w:val="Char Char8"/>
    <w:qFormat/>
    <w:uiPriority w:val="0"/>
    <w:rPr>
      <w:rFonts w:ascii="Calibri" w:hAnsi="Calibri" w:eastAsia="宋体" w:cs="宋体"/>
      <w:b/>
      <w:bCs/>
      <w:kern w:val="2"/>
      <w:sz w:val="28"/>
      <w:szCs w:val="28"/>
      <w:lang w:val="en-US" w:eastAsia="zh-CN" w:bidi="ar-SA"/>
    </w:rPr>
  </w:style>
  <w:style w:type="character" w:styleId="296">
    <w:name w:val="Placeholder Text"/>
    <w:qFormat/>
    <w:uiPriority w:val="0"/>
    <w:rPr>
      <w:color w:val="808080"/>
    </w:rPr>
  </w:style>
  <w:style w:type="character" w:customStyle="1" w:styleId="297">
    <w:name w:val="编制组成员"/>
    <w:qFormat/>
    <w:uiPriority w:val="0"/>
    <w:rPr>
      <w:sz w:val="32"/>
    </w:rPr>
  </w:style>
  <w:style w:type="character" w:customStyle="1" w:styleId="298">
    <w:name w:val="样式 首行缩进:  2 字符 Char"/>
    <w:link w:val="299"/>
    <w:qFormat/>
    <w:uiPriority w:val="0"/>
    <w:rPr>
      <w:rFonts w:cs="宋体"/>
      <w:sz w:val="24"/>
    </w:rPr>
  </w:style>
  <w:style w:type="paragraph" w:customStyle="1" w:styleId="299">
    <w:name w:val="样式 首行缩进:  2 字符"/>
    <w:basedOn w:val="1"/>
    <w:link w:val="298"/>
    <w:qFormat/>
    <w:uiPriority w:val="0"/>
    <w:pPr>
      <w:spacing w:line="360" w:lineRule="auto"/>
      <w:ind w:firstLine="480" w:firstLineChars="200"/>
    </w:pPr>
    <w:rPr>
      <w:rFonts w:ascii="Calibri" w:hAnsi="Calibri"/>
      <w:kern w:val="0"/>
      <w:sz w:val="24"/>
      <w:szCs w:val="20"/>
    </w:rPr>
  </w:style>
  <w:style w:type="character" w:customStyle="1" w:styleId="300">
    <w:name w:val="正文缩进 Char1"/>
    <w:qFormat/>
    <w:uiPriority w:val="0"/>
    <w:rPr>
      <w:rFonts w:ascii="宋体" w:hAnsi="宋体" w:eastAsia="宋体"/>
      <w:kern w:val="2"/>
      <w:sz w:val="24"/>
      <w:szCs w:val="24"/>
      <w:lang w:val="en-US" w:eastAsia="zh-CN" w:bidi="ar-SA"/>
    </w:rPr>
  </w:style>
  <w:style w:type="character" w:customStyle="1" w:styleId="301">
    <w:name w:val="p11b1"/>
    <w:qFormat/>
    <w:uiPriority w:val="0"/>
    <w:rPr>
      <w:rFonts w:eastAsia="楷体_GB2312"/>
      <w:spacing w:val="330"/>
      <w:sz w:val="21"/>
      <w:szCs w:val="21"/>
      <w:u w:val="none"/>
    </w:rPr>
  </w:style>
  <w:style w:type="character" w:customStyle="1" w:styleId="302">
    <w:name w:val="normalclass1"/>
    <w:qFormat/>
    <w:uiPriority w:val="0"/>
  </w:style>
  <w:style w:type="character" w:customStyle="1" w:styleId="303">
    <w:name w:val="MM Topic 4 Char"/>
    <w:qFormat/>
    <w:uiPriority w:val="0"/>
    <w:rPr>
      <w:rFonts w:ascii="Arial" w:hAnsi="Arial" w:eastAsia="黑体"/>
      <w:b/>
      <w:sz w:val="28"/>
      <w:szCs w:val="28"/>
    </w:rPr>
  </w:style>
  <w:style w:type="character" w:customStyle="1" w:styleId="304">
    <w:name w:val="Char Char10"/>
    <w:qFormat/>
    <w:uiPriority w:val="0"/>
    <w:rPr>
      <w:rFonts w:ascii="Calibri" w:hAnsi="Calibri" w:eastAsia="宋体" w:cs="宋体"/>
      <w:b/>
      <w:bCs/>
      <w:kern w:val="2"/>
      <w:sz w:val="32"/>
      <w:szCs w:val="32"/>
      <w:lang w:val="en-US" w:eastAsia="zh-CN" w:bidi="ar-SA"/>
    </w:rPr>
  </w:style>
  <w:style w:type="character" w:customStyle="1" w:styleId="305">
    <w:name w:val="inm1"/>
    <w:qFormat/>
    <w:uiPriority w:val="0"/>
    <w:rPr>
      <w:color w:val="505050"/>
      <w:spacing w:val="300"/>
      <w:sz w:val="18"/>
      <w:szCs w:val="18"/>
      <w:u w:val="none"/>
      <w:shd w:val="clear" w:color="auto" w:fill="FFFFFF"/>
    </w:rPr>
  </w:style>
  <w:style w:type="character" w:customStyle="1" w:styleId="306">
    <w:name w:val="封面单位"/>
    <w:qFormat/>
    <w:uiPriority w:val="0"/>
    <w:rPr>
      <w:rFonts w:ascii="黑体" w:hAnsi="黑体" w:eastAsia="黑体"/>
      <w:sz w:val="32"/>
    </w:rPr>
  </w:style>
  <w:style w:type="character" w:customStyle="1" w:styleId="307">
    <w:name w:val="样式 样式 (中文) 仿宋_GB2312 四号 黑色 首行缩进:  0.96 厘米 行距: 最小值 25 磅 + 自动设置 Char"/>
    <w:link w:val="308"/>
    <w:qFormat/>
    <w:uiPriority w:val="0"/>
    <w:rPr>
      <w:rFonts w:eastAsia="仿宋_GB2312" w:cs="宋体"/>
      <w:sz w:val="28"/>
      <w:szCs w:val="28"/>
    </w:rPr>
  </w:style>
  <w:style w:type="paragraph" w:customStyle="1" w:styleId="308">
    <w:name w:val="样式 样式 (中文) 仿宋_GB2312 四号 黑色 首行缩进:  0.96 厘米 行距: 最小值 25 磅 + 自动设置"/>
    <w:basedOn w:val="1"/>
    <w:link w:val="307"/>
    <w:qFormat/>
    <w:uiPriority w:val="0"/>
    <w:pPr>
      <w:spacing w:line="500" w:lineRule="atLeast"/>
      <w:ind w:firstLine="561" w:firstLineChars="200"/>
    </w:pPr>
    <w:rPr>
      <w:rFonts w:ascii="Calibri" w:hAnsi="Calibri" w:eastAsia="仿宋_GB2312"/>
      <w:kern w:val="0"/>
      <w:sz w:val="28"/>
      <w:szCs w:val="28"/>
    </w:rPr>
  </w:style>
  <w:style w:type="character" w:customStyle="1" w:styleId="309">
    <w:name w:val="五号正文（标准） Char"/>
    <w:link w:val="310"/>
    <w:qFormat/>
    <w:uiPriority w:val="0"/>
    <w:rPr>
      <w:rFonts w:ascii="宋体" w:hAnsi="宋体"/>
      <w:b/>
      <w:color w:val="000000"/>
      <w:sz w:val="24"/>
      <w:szCs w:val="24"/>
    </w:rPr>
  </w:style>
  <w:style w:type="paragraph" w:customStyle="1" w:styleId="310">
    <w:name w:val="五号正文（标准）"/>
    <w:basedOn w:val="1"/>
    <w:link w:val="309"/>
    <w:qFormat/>
    <w:uiPriority w:val="0"/>
    <w:pPr>
      <w:spacing w:line="360" w:lineRule="auto"/>
      <w:ind w:firstLine="482" w:firstLineChars="200"/>
    </w:pPr>
    <w:rPr>
      <w:rFonts w:ascii="宋体" w:hAnsi="宋体"/>
      <w:b/>
      <w:color w:val="000000"/>
      <w:kern w:val="0"/>
      <w:sz w:val="24"/>
    </w:rPr>
  </w:style>
  <w:style w:type="character" w:customStyle="1" w:styleId="311">
    <w:name w:val="一般文字 Char1"/>
    <w:link w:val="312"/>
    <w:qFormat/>
    <w:uiPriority w:val="0"/>
    <w:rPr>
      <w:rFonts w:ascii="宋体" w:hAnsi="Plotter" w:cs="Plotter"/>
      <w:kern w:val="2"/>
      <w:sz w:val="24"/>
      <w:szCs w:val="24"/>
    </w:rPr>
  </w:style>
  <w:style w:type="paragraph" w:customStyle="1" w:styleId="312">
    <w:name w:val="一般文字"/>
    <w:basedOn w:val="1"/>
    <w:link w:val="311"/>
    <w:qFormat/>
    <w:uiPriority w:val="0"/>
    <w:pPr>
      <w:widowControl/>
      <w:spacing w:line="360" w:lineRule="auto"/>
      <w:jc w:val="left"/>
    </w:pPr>
    <w:rPr>
      <w:rFonts w:ascii="宋体" w:hAnsi="Plotter"/>
      <w:sz w:val="24"/>
    </w:rPr>
  </w:style>
  <w:style w:type="character" w:customStyle="1" w:styleId="313">
    <w:name w:val="普通正文 Char"/>
    <w:link w:val="314"/>
    <w:qFormat/>
    <w:locked/>
    <w:uiPriority w:val="0"/>
    <w:rPr>
      <w:rFonts w:ascii="Arial" w:hAnsi="Arial"/>
      <w:sz w:val="24"/>
      <w:szCs w:val="24"/>
    </w:rPr>
  </w:style>
  <w:style w:type="paragraph" w:customStyle="1" w:styleId="314">
    <w:name w:val="普通正文"/>
    <w:basedOn w:val="1"/>
    <w:link w:val="313"/>
    <w:qFormat/>
    <w:uiPriority w:val="0"/>
    <w:pPr>
      <w:adjustRightInd w:val="0"/>
      <w:spacing w:before="120" w:after="120" w:line="360" w:lineRule="auto"/>
      <w:ind w:firstLine="480" w:firstLineChars="200"/>
      <w:jc w:val="left"/>
      <w:textAlignment w:val="baseline"/>
    </w:pPr>
    <w:rPr>
      <w:rFonts w:ascii="Arial" w:hAnsi="Arial"/>
      <w:kern w:val="0"/>
      <w:sz w:val="24"/>
    </w:rPr>
  </w:style>
  <w:style w:type="character" w:customStyle="1" w:styleId="315">
    <w:name w:val="文字 Char"/>
    <w:link w:val="316"/>
    <w:qFormat/>
    <w:uiPriority w:val="0"/>
    <w:rPr>
      <w:rFonts w:ascii="楷体_GB2312" w:hAnsi="Times New Roman" w:eastAsia="楷体_GB2312"/>
      <w:kern w:val="2"/>
      <w:sz w:val="28"/>
    </w:rPr>
  </w:style>
  <w:style w:type="paragraph" w:customStyle="1" w:styleId="316">
    <w:name w:val="文字"/>
    <w:basedOn w:val="1"/>
    <w:link w:val="315"/>
    <w:qFormat/>
    <w:uiPriority w:val="0"/>
    <w:pPr>
      <w:tabs>
        <w:tab w:val="left" w:pos="8520"/>
      </w:tabs>
      <w:spacing w:line="312" w:lineRule="auto"/>
      <w:ind w:right="-210" w:firstLine="556" w:firstLineChars="200"/>
    </w:pPr>
    <w:rPr>
      <w:rFonts w:ascii="楷体_GB2312" w:eastAsia="楷体_GB2312"/>
      <w:sz w:val="28"/>
      <w:szCs w:val="20"/>
    </w:rPr>
  </w:style>
  <w:style w:type="character" w:customStyle="1" w:styleId="317">
    <w:name w:val="安 Char Char"/>
    <w:link w:val="318"/>
    <w:semiHidden/>
    <w:qFormat/>
    <w:uiPriority w:val="0"/>
    <w:rPr>
      <w:rFonts w:ascii="Arial Narrow" w:hAnsi="Arial Narrow" w:eastAsia="黑体"/>
      <w:b/>
      <w:bCs/>
      <w:kern w:val="2"/>
      <w:sz w:val="28"/>
      <w:szCs w:val="24"/>
    </w:rPr>
  </w:style>
  <w:style w:type="paragraph" w:customStyle="1" w:styleId="318">
    <w:name w:val="安 Char"/>
    <w:basedOn w:val="1"/>
    <w:link w:val="317"/>
    <w:semiHidden/>
    <w:qFormat/>
    <w:uiPriority w:val="0"/>
    <w:pPr>
      <w:adjustRightInd w:val="0"/>
      <w:snapToGrid w:val="0"/>
      <w:spacing w:line="300" w:lineRule="auto"/>
      <w:textAlignment w:val="baseline"/>
    </w:pPr>
    <w:rPr>
      <w:rFonts w:ascii="Arial Narrow" w:hAnsi="Arial Narrow" w:eastAsia="黑体"/>
      <w:b/>
      <w:bCs/>
      <w:sz w:val="28"/>
    </w:rPr>
  </w:style>
  <w:style w:type="character" w:customStyle="1" w:styleId="319">
    <w:name w:val="标题 2 Char Char"/>
    <w:qFormat/>
    <w:uiPriority w:val="0"/>
    <w:rPr>
      <w:rFonts w:ascii="宋体" w:hAnsi="宋体" w:eastAsia="宋体"/>
      <w:b/>
      <w:kern w:val="2"/>
      <w:sz w:val="28"/>
      <w:lang w:val="en-US" w:eastAsia="zh-CN" w:bidi="ar-SA"/>
    </w:rPr>
  </w:style>
  <w:style w:type="character" w:customStyle="1" w:styleId="320">
    <w:name w:val="标题 3 Char Char"/>
    <w:qFormat/>
    <w:uiPriority w:val="0"/>
    <w:rPr>
      <w:rFonts w:eastAsia="宋体"/>
      <w:b/>
      <w:bCs/>
      <w:kern w:val="2"/>
      <w:sz w:val="24"/>
      <w:szCs w:val="32"/>
      <w:lang w:val="en-US" w:eastAsia="zh-CN" w:bidi="ar-SA"/>
    </w:rPr>
  </w:style>
  <w:style w:type="character" w:customStyle="1" w:styleId="321">
    <w:name w:val="标题 4 Char Char"/>
    <w:qFormat/>
    <w:uiPriority w:val="0"/>
    <w:rPr>
      <w:rFonts w:eastAsia="宋体"/>
      <w:b/>
      <w:kern w:val="2"/>
      <w:sz w:val="24"/>
      <w:szCs w:val="24"/>
      <w:lang w:val="en-US" w:eastAsia="zh-CN" w:bidi="ar-SA"/>
    </w:rPr>
  </w:style>
  <w:style w:type="character" w:customStyle="1" w:styleId="322">
    <w:name w:val="正文内容格式 Char"/>
    <w:link w:val="323"/>
    <w:qFormat/>
    <w:uiPriority w:val="0"/>
    <w:rPr>
      <w:rFonts w:ascii="宋体" w:hAnsi="宋体"/>
      <w:sz w:val="24"/>
      <w:szCs w:val="24"/>
    </w:rPr>
  </w:style>
  <w:style w:type="paragraph" w:customStyle="1" w:styleId="323">
    <w:name w:val="正文内容格式"/>
    <w:basedOn w:val="1"/>
    <w:link w:val="322"/>
    <w:qFormat/>
    <w:uiPriority w:val="0"/>
    <w:pPr>
      <w:widowControl/>
      <w:adjustRightInd w:val="0"/>
      <w:snapToGrid w:val="0"/>
      <w:spacing w:line="300" w:lineRule="auto"/>
      <w:textAlignment w:val="baseline"/>
    </w:pPr>
    <w:rPr>
      <w:rFonts w:ascii="宋体" w:hAnsi="宋体"/>
      <w:kern w:val="0"/>
      <w:sz w:val="24"/>
    </w:rPr>
  </w:style>
  <w:style w:type="character" w:customStyle="1" w:styleId="324">
    <w:name w:val="题注-题注-图表 Char Char"/>
    <w:link w:val="325"/>
    <w:qFormat/>
    <w:uiPriority w:val="0"/>
    <w:rPr>
      <w:rFonts w:ascii="黑体" w:hAnsi="宋体" w:eastAsia="黑体"/>
      <w:kern w:val="2"/>
      <w:sz w:val="24"/>
      <w:szCs w:val="24"/>
    </w:rPr>
  </w:style>
  <w:style w:type="paragraph" w:customStyle="1" w:styleId="325">
    <w:name w:val="题注-题注-图表"/>
    <w:basedOn w:val="1"/>
    <w:next w:val="1"/>
    <w:link w:val="324"/>
    <w:qFormat/>
    <w:uiPriority w:val="0"/>
    <w:pPr>
      <w:spacing w:beforeLines="50" w:afterLines="50" w:line="360" w:lineRule="auto"/>
      <w:jc w:val="center"/>
    </w:pPr>
    <w:rPr>
      <w:rFonts w:ascii="黑体" w:hAnsi="宋体" w:eastAsia="黑体"/>
      <w:sz w:val="24"/>
    </w:rPr>
  </w:style>
  <w:style w:type="character" w:customStyle="1" w:styleId="326">
    <w:name w:val="正文不空 Char"/>
    <w:link w:val="327"/>
    <w:qFormat/>
    <w:uiPriority w:val="0"/>
    <w:rPr>
      <w:rFonts w:ascii="仿宋_GB2312" w:eastAsia="仿宋_GB2312"/>
      <w:kern w:val="2"/>
      <w:sz w:val="24"/>
      <w:szCs w:val="24"/>
    </w:rPr>
  </w:style>
  <w:style w:type="paragraph" w:customStyle="1" w:styleId="327">
    <w:name w:val="正文不空"/>
    <w:basedOn w:val="1"/>
    <w:link w:val="326"/>
    <w:qFormat/>
    <w:uiPriority w:val="0"/>
    <w:pPr>
      <w:spacing w:line="360" w:lineRule="auto"/>
      <w:jc w:val="center"/>
    </w:pPr>
    <w:rPr>
      <w:rFonts w:ascii="仿宋_GB2312" w:hAnsi="Calibri" w:eastAsia="仿宋_GB2312"/>
      <w:sz w:val="24"/>
    </w:rPr>
  </w:style>
  <w:style w:type="character" w:customStyle="1" w:styleId="328">
    <w:name w:val="缩进正文 Char Char"/>
    <w:link w:val="329"/>
    <w:qFormat/>
    <w:uiPriority w:val="0"/>
    <w:rPr>
      <w:kern w:val="2"/>
      <w:sz w:val="24"/>
      <w:szCs w:val="24"/>
    </w:rPr>
  </w:style>
  <w:style w:type="paragraph" w:customStyle="1" w:styleId="329">
    <w:name w:val="缩进正文"/>
    <w:basedOn w:val="1"/>
    <w:link w:val="328"/>
    <w:qFormat/>
    <w:uiPriority w:val="0"/>
    <w:pPr>
      <w:adjustRightInd w:val="0"/>
      <w:spacing w:line="360" w:lineRule="auto"/>
      <w:ind w:firstLine="200" w:firstLineChars="200"/>
      <w:jc w:val="left"/>
    </w:pPr>
    <w:rPr>
      <w:rFonts w:ascii="Calibri" w:hAnsi="Calibri"/>
      <w:sz w:val="24"/>
    </w:rPr>
  </w:style>
  <w:style w:type="character" w:customStyle="1" w:styleId="330">
    <w:name w:val="样式10 Char"/>
    <w:link w:val="331"/>
    <w:qFormat/>
    <w:uiPriority w:val="0"/>
    <w:rPr>
      <w:rFonts w:ascii="仿宋" w:hAnsi="仿宋" w:eastAsia="仿宋"/>
      <w:b/>
      <w:bCs/>
      <w:kern w:val="44"/>
      <w:sz w:val="36"/>
      <w:szCs w:val="44"/>
    </w:rPr>
  </w:style>
  <w:style w:type="paragraph" w:customStyle="1" w:styleId="331">
    <w:name w:val="样式10"/>
    <w:basedOn w:val="3"/>
    <w:link w:val="330"/>
    <w:qFormat/>
    <w:uiPriority w:val="0"/>
    <w:pPr>
      <w:tabs>
        <w:tab w:val="left" w:pos="432"/>
        <w:tab w:val="left" w:pos="720"/>
      </w:tabs>
      <w:autoSpaceDE/>
      <w:autoSpaceDN/>
      <w:spacing w:before="100" w:beforeAutospacing="1" w:after="100" w:afterAutospacing="1" w:line="360" w:lineRule="auto"/>
      <w:ind w:left="720" w:hanging="720"/>
      <w:jc w:val="left"/>
      <w:textAlignment w:val="bottom"/>
    </w:pPr>
    <w:rPr>
      <w:rFonts w:ascii="仿宋" w:hAnsi="仿宋" w:eastAsia="仿宋"/>
      <w:bCs/>
      <w:sz w:val="36"/>
      <w:szCs w:val="44"/>
    </w:rPr>
  </w:style>
  <w:style w:type="character" w:customStyle="1" w:styleId="332">
    <w:name w:val="0 正文 Char"/>
    <w:link w:val="333"/>
    <w:qFormat/>
    <w:uiPriority w:val="0"/>
    <w:rPr>
      <w:rFonts w:ascii="仿宋_GB2312" w:eastAsia="仿宋_GB2312"/>
      <w:kern w:val="2"/>
      <w:sz w:val="28"/>
      <w:szCs w:val="28"/>
    </w:rPr>
  </w:style>
  <w:style w:type="paragraph" w:customStyle="1" w:styleId="333">
    <w:name w:val="0 正文"/>
    <w:basedOn w:val="1"/>
    <w:link w:val="332"/>
    <w:qFormat/>
    <w:uiPriority w:val="0"/>
    <w:pPr>
      <w:adjustRightInd w:val="0"/>
      <w:snapToGrid w:val="0"/>
      <w:spacing w:afterLines="50" w:line="360" w:lineRule="auto"/>
      <w:ind w:firstLine="560" w:firstLineChars="200"/>
    </w:pPr>
    <w:rPr>
      <w:rFonts w:ascii="仿宋_GB2312" w:hAnsi="Calibri" w:eastAsia="仿宋_GB2312"/>
      <w:sz w:val="28"/>
      <w:szCs w:val="28"/>
    </w:rPr>
  </w:style>
  <w:style w:type="character" w:customStyle="1" w:styleId="334">
    <w:name w:val="标题 3 Char5"/>
    <w:qFormat/>
    <w:uiPriority w:val="0"/>
    <w:rPr>
      <w:rFonts w:ascii="Arial" w:hAnsi="Arial" w:eastAsia="黑体"/>
      <w:kern w:val="2"/>
      <w:sz w:val="28"/>
      <w:szCs w:val="24"/>
    </w:rPr>
  </w:style>
  <w:style w:type="character" w:customStyle="1" w:styleId="335">
    <w:name w:val="细化编号 Char"/>
    <w:link w:val="336"/>
    <w:qFormat/>
    <w:uiPriority w:val="0"/>
    <w:rPr>
      <w:rFonts w:ascii="Times New Roman" w:hAnsi="Times New Roman"/>
      <w:kern w:val="2"/>
      <w:sz w:val="24"/>
      <w:szCs w:val="24"/>
    </w:rPr>
  </w:style>
  <w:style w:type="paragraph" w:customStyle="1" w:styleId="336">
    <w:name w:val="细化编号"/>
    <w:basedOn w:val="1"/>
    <w:link w:val="335"/>
    <w:qFormat/>
    <w:uiPriority w:val="0"/>
    <w:pPr>
      <w:spacing w:beforeLines="50" w:afterLines="50" w:line="360" w:lineRule="auto"/>
      <w:ind w:left="987"/>
    </w:pPr>
    <w:rPr>
      <w:sz w:val="24"/>
    </w:rPr>
  </w:style>
  <w:style w:type="character" w:customStyle="1" w:styleId="337">
    <w:name w:val="条目样式 Char"/>
    <w:link w:val="338"/>
    <w:qFormat/>
    <w:uiPriority w:val="0"/>
    <w:rPr>
      <w:rFonts w:ascii="Times New Roman" w:hAnsi="Times New Roman"/>
      <w:kern w:val="2"/>
      <w:sz w:val="24"/>
      <w:szCs w:val="24"/>
    </w:rPr>
  </w:style>
  <w:style w:type="paragraph" w:customStyle="1" w:styleId="338">
    <w:name w:val="条目样式"/>
    <w:basedOn w:val="195"/>
    <w:link w:val="337"/>
    <w:qFormat/>
    <w:uiPriority w:val="0"/>
    <w:pPr>
      <w:spacing w:beforeLines="50" w:afterLines="50"/>
      <w:ind w:firstLine="0" w:firstLineChars="0"/>
    </w:pPr>
  </w:style>
  <w:style w:type="character" w:customStyle="1" w:styleId="339">
    <w:name w:val="正常正文 Char"/>
    <w:link w:val="340"/>
    <w:qFormat/>
    <w:uiPriority w:val="0"/>
    <w:rPr>
      <w:rFonts w:ascii="宋体" w:hAnsi="宋体"/>
      <w:color w:val="000000"/>
      <w:kern w:val="2"/>
      <w:sz w:val="24"/>
      <w:szCs w:val="24"/>
    </w:rPr>
  </w:style>
  <w:style w:type="paragraph" w:customStyle="1" w:styleId="340">
    <w:name w:val="正常正文"/>
    <w:basedOn w:val="1"/>
    <w:link w:val="339"/>
    <w:qFormat/>
    <w:uiPriority w:val="0"/>
    <w:pPr>
      <w:widowControl/>
      <w:spacing w:line="360" w:lineRule="auto"/>
      <w:ind w:firstLine="480" w:firstLineChars="200"/>
    </w:pPr>
    <w:rPr>
      <w:rFonts w:ascii="宋体" w:hAnsi="宋体"/>
      <w:color w:val="000000"/>
      <w:sz w:val="24"/>
    </w:rPr>
  </w:style>
  <w:style w:type="character" w:customStyle="1" w:styleId="341">
    <w:name w:val="1） Char"/>
    <w:link w:val="342"/>
    <w:qFormat/>
    <w:uiPriority w:val="0"/>
    <w:rPr>
      <w:rFonts w:ascii="Cambria" w:hAnsi="Cambria" w:cs="Cambria"/>
      <w:color w:val="365F91"/>
      <w:kern w:val="2"/>
      <w:sz w:val="24"/>
      <w:szCs w:val="24"/>
    </w:rPr>
  </w:style>
  <w:style w:type="paragraph" w:customStyle="1" w:styleId="342">
    <w:name w:val="1）"/>
    <w:basedOn w:val="214"/>
    <w:link w:val="341"/>
    <w:qFormat/>
    <w:uiPriority w:val="0"/>
    <w:pPr>
      <w:widowControl w:val="0"/>
      <w:spacing w:before="0" w:beforeAutospacing="0" w:after="0" w:afterAutospacing="0" w:line="360" w:lineRule="auto"/>
      <w:ind w:firstLine="200" w:firstLineChars="200"/>
      <w:jc w:val="both"/>
      <w:outlineLvl w:val="9"/>
    </w:pPr>
    <w:rPr>
      <w:rFonts w:ascii="Cambria" w:hAnsi="Cambria" w:eastAsia="宋体"/>
      <w:color w:val="365F91"/>
      <w:kern w:val="2"/>
      <w:sz w:val="24"/>
      <w:szCs w:val="24"/>
    </w:rPr>
  </w:style>
  <w:style w:type="character" w:customStyle="1" w:styleId="343">
    <w:name w:val="_正文段落 Char"/>
    <w:link w:val="344"/>
    <w:qFormat/>
    <w:uiPriority w:val="0"/>
    <w:rPr>
      <w:rFonts w:ascii="宋体" w:hAnsi="宋体"/>
      <w:color w:val="000000"/>
      <w:sz w:val="24"/>
      <w:szCs w:val="24"/>
    </w:rPr>
  </w:style>
  <w:style w:type="paragraph" w:customStyle="1" w:styleId="344">
    <w:name w:val="_正文段落"/>
    <w:basedOn w:val="1"/>
    <w:link w:val="343"/>
    <w:qFormat/>
    <w:uiPriority w:val="0"/>
    <w:pPr>
      <w:adjustRightInd w:val="0"/>
      <w:spacing w:line="360" w:lineRule="auto"/>
      <w:ind w:firstLine="480" w:firstLineChars="200"/>
    </w:pPr>
    <w:rPr>
      <w:rFonts w:ascii="宋体" w:hAnsi="宋体"/>
      <w:color w:val="000000"/>
      <w:kern w:val="0"/>
      <w:sz w:val="24"/>
    </w:rPr>
  </w:style>
  <w:style w:type="character" w:customStyle="1" w:styleId="345">
    <w:name w:val="正文 首行缩进 Char"/>
    <w:link w:val="346"/>
    <w:qFormat/>
    <w:uiPriority w:val="0"/>
    <w:rPr>
      <w:rFonts w:ascii="宋体" w:hAnsi="宋体"/>
      <w:kern w:val="2"/>
      <w:sz w:val="24"/>
      <w:szCs w:val="22"/>
    </w:rPr>
  </w:style>
  <w:style w:type="paragraph" w:customStyle="1" w:styleId="346">
    <w:name w:val="正文 首行缩进"/>
    <w:basedOn w:val="1"/>
    <w:link w:val="345"/>
    <w:qFormat/>
    <w:uiPriority w:val="0"/>
    <w:pPr>
      <w:widowControl/>
      <w:snapToGrid w:val="0"/>
      <w:spacing w:line="360" w:lineRule="auto"/>
      <w:ind w:firstLine="480" w:firstLineChars="200"/>
      <w:jc w:val="left"/>
    </w:pPr>
    <w:rPr>
      <w:rFonts w:ascii="宋体" w:hAnsi="宋体"/>
      <w:sz w:val="24"/>
      <w:szCs w:val="22"/>
    </w:rPr>
  </w:style>
  <w:style w:type="character" w:customStyle="1" w:styleId="347">
    <w:name w:val="标题 2 字符"/>
    <w:qFormat/>
    <w:uiPriority w:val="0"/>
    <w:rPr>
      <w:rFonts w:ascii="Times New Roman" w:hAnsi="Times New Roman"/>
      <w:b/>
      <w:bCs/>
      <w:kern w:val="2"/>
      <w:sz w:val="32"/>
      <w:szCs w:val="32"/>
    </w:rPr>
  </w:style>
  <w:style w:type="character" w:customStyle="1" w:styleId="348">
    <w:name w:val="正文文本样式 Char"/>
    <w:link w:val="349"/>
    <w:qFormat/>
    <w:locked/>
    <w:uiPriority w:val="0"/>
    <w:rPr>
      <w:sz w:val="24"/>
      <w:szCs w:val="24"/>
    </w:rPr>
  </w:style>
  <w:style w:type="paragraph" w:customStyle="1" w:styleId="349">
    <w:name w:val="正文文本样式"/>
    <w:basedOn w:val="195"/>
    <w:link w:val="348"/>
    <w:qFormat/>
    <w:uiPriority w:val="0"/>
    <w:pPr>
      <w:spacing w:before="100" w:beforeAutospacing="1" w:after="100" w:afterAutospacing="1" w:line="240" w:lineRule="auto"/>
      <w:ind w:left="900" w:firstLine="0" w:firstLineChars="0"/>
    </w:pPr>
    <w:rPr>
      <w:rFonts w:ascii="Calibri" w:hAnsi="Calibri"/>
      <w:kern w:val="0"/>
    </w:rPr>
  </w:style>
  <w:style w:type="character" w:customStyle="1" w:styleId="350">
    <w:name w:val="正文首行缩进（绿盟科技） Char"/>
    <w:link w:val="351"/>
    <w:qFormat/>
    <w:locked/>
    <w:uiPriority w:val="0"/>
    <w:rPr>
      <w:rFonts w:ascii="Arial" w:hAnsi="Arial"/>
      <w:sz w:val="24"/>
      <w:szCs w:val="21"/>
    </w:rPr>
  </w:style>
  <w:style w:type="paragraph" w:customStyle="1" w:styleId="351">
    <w:name w:val="正文首行缩进（绿盟科技）"/>
    <w:basedOn w:val="1"/>
    <w:link w:val="350"/>
    <w:qFormat/>
    <w:uiPriority w:val="0"/>
    <w:pPr>
      <w:widowControl/>
      <w:autoSpaceDE w:val="0"/>
      <w:autoSpaceDN w:val="0"/>
      <w:adjustRightInd w:val="0"/>
      <w:spacing w:after="50" w:line="300" w:lineRule="auto"/>
      <w:ind w:firstLine="200" w:firstLineChars="200"/>
      <w:jc w:val="left"/>
    </w:pPr>
    <w:rPr>
      <w:rFonts w:ascii="Arial" w:hAnsi="Arial"/>
      <w:kern w:val="0"/>
      <w:sz w:val="24"/>
      <w:szCs w:val="21"/>
    </w:rPr>
  </w:style>
  <w:style w:type="character" w:customStyle="1" w:styleId="352">
    <w:name w:val="正文（绿盟科技） Char"/>
    <w:link w:val="353"/>
    <w:qFormat/>
    <w:locked/>
    <w:uiPriority w:val="0"/>
    <w:rPr>
      <w:szCs w:val="21"/>
      <w:lang w:val="en-US" w:eastAsia="zh-CN" w:bidi="ar-SA"/>
    </w:rPr>
  </w:style>
  <w:style w:type="paragraph" w:customStyle="1" w:styleId="353">
    <w:name w:val="正文（绿盟科技）"/>
    <w:link w:val="352"/>
    <w:qFormat/>
    <w:uiPriority w:val="0"/>
    <w:pPr>
      <w:spacing w:line="300" w:lineRule="auto"/>
    </w:pPr>
    <w:rPr>
      <w:rFonts w:ascii="Calibri" w:hAnsi="Calibri" w:eastAsia="宋体" w:cs="Times New Roman"/>
      <w:szCs w:val="21"/>
      <w:lang w:val="en-US" w:eastAsia="zh-CN" w:bidi="ar-SA"/>
    </w:rPr>
  </w:style>
  <w:style w:type="character" w:customStyle="1" w:styleId="354">
    <w:name w:val="列表（符号一级）（绿盟科技） Char"/>
    <w:link w:val="355"/>
    <w:qFormat/>
    <w:locked/>
    <w:uiPriority w:val="0"/>
    <w:rPr>
      <w:szCs w:val="21"/>
    </w:rPr>
  </w:style>
  <w:style w:type="paragraph" w:customStyle="1" w:styleId="355">
    <w:name w:val="列表（符号一级）（绿盟科技）"/>
    <w:basedOn w:val="353"/>
    <w:link w:val="354"/>
    <w:qFormat/>
    <w:uiPriority w:val="0"/>
    <w:pPr>
      <w:ind w:left="420" w:hanging="420"/>
    </w:pPr>
  </w:style>
  <w:style w:type="character" w:customStyle="1" w:styleId="356">
    <w:name w:val="4级标题 Char"/>
    <w:link w:val="357"/>
    <w:qFormat/>
    <w:uiPriority w:val="0"/>
    <w:rPr>
      <w:rFonts w:ascii="Times New Roman" w:hAnsi="Times New Roman" w:cs="Arial"/>
      <w:b/>
      <w:kern w:val="2"/>
      <w:sz w:val="24"/>
      <w:szCs w:val="24"/>
    </w:rPr>
  </w:style>
  <w:style w:type="paragraph" w:customStyle="1" w:styleId="357">
    <w:name w:val="4级标题"/>
    <w:basedOn w:val="358"/>
    <w:next w:val="1"/>
    <w:link w:val="356"/>
    <w:qFormat/>
    <w:uiPriority w:val="0"/>
    <w:pPr>
      <w:tabs>
        <w:tab w:val="left" w:pos="0"/>
      </w:tabs>
      <w:ind w:left="0" w:firstLine="0"/>
      <w:outlineLvl w:val="3"/>
    </w:pPr>
    <w:rPr>
      <w:rFonts w:ascii="Times New Roman" w:hAnsi="Times New Roman"/>
      <w:sz w:val="24"/>
      <w:szCs w:val="24"/>
    </w:rPr>
  </w:style>
  <w:style w:type="paragraph" w:customStyle="1" w:styleId="358">
    <w:name w:val="3级标题"/>
    <w:basedOn w:val="359"/>
    <w:next w:val="1"/>
    <w:qFormat/>
    <w:uiPriority w:val="0"/>
    <w:pPr>
      <w:ind w:left="720" w:hanging="720"/>
      <w:outlineLvl w:val="2"/>
    </w:pPr>
    <w:rPr>
      <w:sz w:val="28"/>
    </w:rPr>
  </w:style>
  <w:style w:type="paragraph" w:customStyle="1" w:styleId="359">
    <w:name w:val="2级标题"/>
    <w:basedOn w:val="360"/>
    <w:next w:val="1"/>
    <w:qFormat/>
    <w:uiPriority w:val="0"/>
    <w:pPr>
      <w:pageBreakBefore w:val="0"/>
      <w:ind w:left="425"/>
      <w:jc w:val="left"/>
      <w:outlineLvl w:val="1"/>
    </w:pPr>
    <w:rPr>
      <w:sz w:val="30"/>
      <w:szCs w:val="30"/>
    </w:rPr>
  </w:style>
  <w:style w:type="paragraph" w:customStyle="1" w:styleId="360">
    <w:name w:val="1级标题"/>
    <w:basedOn w:val="1"/>
    <w:next w:val="1"/>
    <w:qFormat/>
    <w:uiPriority w:val="0"/>
    <w:pPr>
      <w:pageBreakBefore/>
      <w:spacing w:line="360" w:lineRule="auto"/>
      <w:jc w:val="center"/>
      <w:outlineLvl w:val="0"/>
    </w:pPr>
    <w:rPr>
      <w:rFonts w:ascii="Calibri" w:hAnsi="Calibri"/>
      <w:b/>
      <w:sz w:val="32"/>
      <w:szCs w:val="22"/>
    </w:rPr>
  </w:style>
  <w:style w:type="character" w:customStyle="1" w:styleId="361">
    <w:name w:val="5级标题 Char Char"/>
    <w:link w:val="362"/>
    <w:qFormat/>
    <w:uiPriority w:val="0"/>
    <w:rPr>
      <w:rFonts w:ascii="Times New Roman" w:hAnsi="Times New Roman" w:cs="Arial"/>
      <w:b/>
      <w:kern w:val="2"/>
      <w:sz w:val="24"/>
      <w:szCs w:val="24"/>
    </w:rPr>
  </w:style>
  <w:style w:type="paragraph" w:customStyle="1" w:styleId="362">
    <w:name w:val="5级标题"/>
    <w:basedOn w:val="357"/>
    <w:link w:val="361"/>
    <w:qFormat/>
    <w:uiPriority w:val="0"/>
    <w:pPr>
      <w:ind w:left="2100" w:hanging="420"/>
      <w:outlineLvl w:val="4"/>
    </w:pPr>
  </w:style>
  <w:style w:type="character" w:customStyle="1" w:styleId="363">
    <w:name w:val="缩进强调"/>
    <w:qFormat/>
    <w:uiPriority w:val="0"/>
    <w:rPr>
      <w:rFonts w:ascii="Arial Black" w:hAnsi="Arial Black" w:eastAsia="黑体"/>
      <w:sz w:val="24"/>
    </w:rPr>
  </w:style>
  <w:style w:type="character" w:customStyle="1" w:styleId="364">
    <w:name w:val="bold1"/>
    <w:qFormat/>
    <w:uiPriority w:val="0"/>
    <w:rPr>
      <w:b/>
      <w:bCs/>
    </w:rPr>
  </w:style>
  <w:style w:type="character" w:customStyle="1" w:styleId="365">
    <w:name w:val="文档正文首行缩进 Char"/>
    <w:link w:val="366"/>
    <w:qFormat/>
    <w:uiPriority w:val="0"/>
    <w:rPr>
      <w:rFonts w:ascii="Times New Roman" w:hAnsi="Times New Roman" w:cs="宋体"/>
      <w:kern w:val="2"/>
      <w:sz w:val="24"/>
      <w:szCs w:val="24"/>
    </w:rPr>
  </w:style>
  <w:style w:type="paragraph" w:customStyle="1" w:styleId="366">
    <w:name w:val="文档正文首行缩进"/>
    <w:basedOn w:val="1"/>
    <w:link w:val="365"/>
    <w:qFormat/>
    <w:uiPriority w:val="0"/>
    <w:pPr>
      <w:spacing w:line="360" w:lineRule="auto"/>
      <w:ind w:firstLine="420"/>
    </w:pPr>
    <w:rPr>
      <w:sz w:val="24"/>
    </w:rPr>
  </w:style>
  <w:style w:type="character" w:customStyle="1" w:styleId="367">
    <w:name w:val="标题3 Char"/>
    <w:link w:val="368"/>
    <w:qFormat/>
    <w:uiPriority w:val="0"/>
    <w:rPr>
      <w:rFonts w:ascii="宋体" w:hAnsi="宋体"/>
      <w:kern w:val="2"/>
      <w:sz w:val="24"/>
      <w:szCs w:val="32"/>
    </w:rPr>
  </w:style>
  <w:style w:type="paragraph" w:customStyle="1" w:styleId="368">
    <w:name w:val="标题3"/>
    <w:basedOn w:val="6"/>
    <w:link w:val="367"/>
    <w:qFormat/>
    <w:uiPriority w:val="0"/>
    <w:pPr>
      <w:tabs>
        <w:tab w:val="left" w:pos="0"/>
        <w:tab w:val="left" w:pos="2460"/>
      </w:tabs>
      <w:autoSpaceDE/>
      <w:autoSpaceDN/>
      <w:adjustRightInd/>
      <w:snapToGrid w:val="0"/>
      <w:spacing w:before="0" w:after="0" w:line="416" w:lineRule="auto"/>
      <w:ind w:left="2460" w:hanging="720"/>
      <w:jc w:val="both"/>
    </w:pPr>
    <w:rPr>
      <w:rFonts w:hAnsi="宋体"/>
      <w:b w:val="0"/>
      <w:kern w:val="2"/>
      <w:szCs w:val="32"/>
      <w:u w:val="none"/>
    </w:rPr>
  </w:style>
  <w:style w:type="character" w:customStyle="1" w:styleId="369">
    <w:name w:val="ListBullet2 Char Char"/>
    <w:qFormat/>
    <w:uiPriority w:val="0"/>
    <w:rPr>
      <w:kern w:val="2"/>
      <w:sz w:val="21"/>
    </w:rPr>
  </w:style>
  <w:style w:type="character" w:customStyle="1" w:styleId="370">
    <w:name w:val="宏文本 Char1"/>
    <w:qFormat/>
    <w:uiPriority w:val="0"/>
    <w:rPr>
      <w:rFonts w:ascii="Courier New" w:hAnsi="Courier New" w:cs="Courier New"/>
      <w:kern w:val="2"/>
      <w:sz w:val="24"/>
      <w:szCs w:val="24"/>
    </w:rPr>
  </w:style>
  <w:style w:type="character" w:customStyle="1" w:styleId="371">
    <w:name w:val="脚注文本 Char1"/>
    <w:qFormat/>
    <w:uiPriority w:val="0"/>
    <w:rPr>
      <w:kern w:val="2"/>
      <w:sz w:val="18"/>
      <w:szCs w:val="18"/>
    </w:rPr>
  </w:style>
  <w:style w:type="character" w:customStyle="1" w:styleId="372">
    <w:name w:val="尾注文本 Char1"/>
    <w:qFormat/>
    <w:uiPriority w:val="0"/>
    <w:rPr>
      <w:kern w:val="2"/>
      <w:sz w:val="21"/>
      <w:szCs w:val="24"/>
    </w:rPr>
  </w:style>
  <w:style w:type="character" w:customStyle="1" w:styleId="373">
    <w:name w:val="正文首缩两字 Char Char"/>
    <w:link w:val="374"/>
    <w:qFormat/>
    <w:uiPriority w:val="0"/>
    <w:rPr>
      <w:rFonts w:ascii="楷体_GB2312" w:hAnsi="楷体" w:eastAsia="楷体_GB2312"/>
      <w:color w:val="000000"/>
      <w:sz w:val="24"/>
      <w:szCs w:val="24"/>
    </w:rPr>
  </w:style>
  <w:style w:type="paragraph" w:customStyle="1" w:styleId="374">
    <w:name w:val="正文首缩两字"/>
    <w:basedOn w:val="1"/>
    <w:link w:val="373"/>
    <w:qFormat/>
    <w:uiPriority w:val="0"/>
    <w:pPr>
      <w:widowControl/>
      <w:spacing w:line="440" w:lineRule="exact"/>
      <w:ind w:firstLine="523" w:firstLineChars="218"/>
    </w:pPr>
    <w:rPr>
      <w:rFonts w:ascii="楷体_GB2312" w:hAnsi="楷体" w:eastAsia="楷体_GB2312"/>
      <w:color w:val="000000"/>
      <w:kern w:val="0"/>
      <w:sz w:val="24"/>
    </w:rPr>
  </w:style>
  <w:style w:type="character" w:customStyle="1" w:styleId="375">
    <w:name w:val="正文 1 Char"/>
    <w:link w:val="376"/>
    <w:qFormat/>
    <w:uiPriority w:val="0"/>
    <w:rPr>
      <w:rFonts w:ascii="Times New Roman" w:hAnsi="Times New Roman"/>
      <w:kern w:val="2"/>
      <w:sz w:val="18"/>
    </w:rPr>
  </w:style>
  <w:style w:type="paragraph" w:customStyle="1" w:styleId="376">
    <w:name w:val="正文 1"/>
    <w:basedOn w:val="1"/>
    <w:link w:val="375"/>
    <w:qFormat/>
    <w:uiPriority w:val="0"/>
    <w:pPr>
      <w:widowControl/>
      <w:adjustRightInd w:val="0"/>
      <w:snapToGrid w:val="0"/>
      <w:spacing w:before="30" w:after="30" w:line="300" w:lineRule="auto"/>
      <w:ind w:left="680"/>
    </w:pPr>
    <w:rPr>
      <w:sz w:val="18"/>
      <w:szCs w:val="20"/>
    </w:rPr>
  </w:style>
  <w:style w:type="character" w:customStyle="1" w:styleId="377">
    <w:name w:val="正文首缩两字 Char"/>
    <w:qFormat/>
    <w:uiPriority w:val="0"/>
    <w:rPr>
      <w:rFonts w:ascii="宋体" w:hAnsi="宋体"/>
      <w:kern w:val="2"/>
      <w:sz w:val="24"/>
      <w:szCs w:val="24"/>
    </w:rPr>
  </w:style>
  <w:style w:type="character" w:customStyle="1" w:styleId="378">
    <w:name w:val="样式 小四 段前: 3 磅 段后: 3 磅 行距: 1.5 倍行距 Char"/>
    <w:link w:val="379"/>
    <w:qFormat/>
    <w:uiPriority w:val="0"/>
    <w:rPr>
      <w:rFonts w:ascii="Times New Roman" w:hAnsi="Times New Roman" w:cs="宋体"/>
      <w:kern w:val="2"/>
      <w:sz w:val="24"/>
    </w:rPr>
  </w:style>
  <w:style w:type="paragraph" w:customStyle="1" w:styleId="379">
    <w:name w:val="样式 小四 段前: 3 磅 段后: 3 磅 行距: 1.5 倍行距"/>
    <w:basedOn w:val="1"/>
    <w:link w:val="378"/>
    <w:qFormat/>
    <w:uiPriority w:val="0"/>
    <w:pPr>
      <w:spacing w:before="60" w:after="60" w:line="360" w:lineRule="auto"/>
      <w:ind w:firstLine="540" w:firstLineChars="225"/>
    </w:pPr>
    <w:rPr>
      <w:sz w:val="24"/>
      <w:szCs w:val="20"/>
    </w:rPr>
  </w:style>
  <w:style w:type="character" w:customStyle="1" w:styleId="380">
    <w:name w:val="breakword"/>
    <w:qFormat/>
    <w:uiPriority w:val="0"/>
  </w:style>
  <w:style w:type="character" w:customStyle="1" w:styleId="381">
    <w:name w:val="二级标题 Char1"/>
    <w:link w:val="382"/>
    <w:qFormat/>
    <w:uiPriority w:val="0"/>
    <w:rPr>
      <w:rFonts w:ascii="Times New Roman" w:hAnsi="Times New Roman"/>
      <w:sz w:val="24"/>
      <w:szCs w:val="24"/>
      <w:lang w:bidi="ar-SA"/>
    </w:rPr>
  </w:style>
  <w:style w:type="paragraph" w:customStyle="1" w:styleId="382">
    <w:name w:val="二级标题"/>
    <w:link w:val="381"/>
    <w:qFormat/>
    <w:uiPriority w:val="0"/>
    <w:pPr>
      <w:widowControl w:val="0"/>
      <w:spacing w:line="360" w:lineRule="auto"/>
      <w:ind w:left="900"/>
      <w:jc w:val="both"/>
    </w:pPr>
    <w:rPr>
      <w:rFonts w:ascii="Times New Roman" w:hAnsi="Times New Roman" w:eastAsia="宋体" w:cs="Times New Roman"/>
      <w:sz w:val="24"/>
      <w:szCs w:val="24"/>
      <w:lang w:val="en-US" w:eastAsia="zh-CN" w:bidi="ar-SA"/>
    </w:rPr>
  </w:style>
  <w:style w:type="character" w:customStyle="1" w:styleId="383">
    <w:name w:val="font21"/>
    <w:qFormat/>
    <w:uiPriority w:val="0"/>
    <w:rPr>
      <w:rFonts w:hint="eastAsia" w:ascii="宋体" w:hAnsi="宋体" w:eastAsia="宋体" w:cs="宋体"/>
      <w:color w:val="000000"/>
      <w:sz w:val="24"/>
      <w:szCs w:val="24"/>
      <w:u w:val="none"/>
    </w:rPr>
  </w:style>
  <w:style w:type="character" w:customStyle="1" w:styleId="384">
    <w:name w:val="font31"/>
    <w:qFormat/>
    <w:uiPriority w:val="0"/>
    <w:rPr>
      <w:rFonts w:hint="eastAsia" w:ascii="宋体" w:hAnsi="宋体" w:eastAsia="宋体" w:cs="宋体"/>
      <w:color w:val="000000"/>
      <w:sz w:val="20"/>
      <w:szCs w:val="20"/>
      <w:u w:val="none"/>
    </w:rPr>
  </w:style>
  <w:style w:type="character" w:customStyle="1" w:styleId="385">
    <w:name w:val="font71"/>
    <w:qFormat/>
    <w:uiPriority w:val="0"/>
    <w:rPr>
      <w:rFonts w:ascii="宋体" w:hAnsi="宋体" w:eastAsia="宋体" w:cs="宋体"/>
      <w:color w:val="000000"/>
      <w:sz w:val="20"/>
      <w:szCs w:val="20"/>
      <w:u w:val="none"/>
    </w:rPr>
  </w:style>
  <w:style w:type="character" w:customStyle="1" w:styleId="386">
    <w:name w:val="标题 3 字符"/>
    <w:qFormat/>
    <w:uiPriority w:val="9"/>
    <w:rPr>
      <w:b/>
      <w:bCs/>
      <w:kern w:val="2"/>
      <w:sz w:val="32"/>
      <w:szCs w:val="32"/>
    </w:rPr>
  </w:style>
  <w:style w:type="character" w:customStyle="1" w:styleId="387">
    <w:name w:val="正文文本 字符"/>
    <w:qFormat/>
    <w:uiPriority w:val="99"/>
    <w:rPr>
      <w:kern w:val="2"/>
      <w:sz w:val="21"/>
      <w:szCs w:val="24"/>
    </w:rPr>
  </w:style>
  <w:style w:type="character" w:customStyle="1" w:styleId="388">
    <w:name w:val="纯文本 字符"/>
    <w:qFormat/>
    <w:uiPriority w:val="99"/>
    <w:rPr>
      <w:rFonts w:ascii="宋体" w:hAnsi="Courier New" w:eastAsia="宋体"/>
      <w:kern w:val="2"/>
      <w:sz w:val="21"/>
      <w:lang w:val="en-US" w:eastAsia="zh-CN" w:bidi="ar-SA"/>
    </w:rPr>
  </w:style>
  <w:style w:type="character" w:customStyle="1" w:styleId="389">
    <w:name w:val="日期 字符"/>
    <w:qFormat/>
    <w:uiPriority w:val="99"/>
    <w:rPr>
      <w:kern w:val="2"/>
      <w:sz w:val="21"/>
      <w:szCs w:val="24"/>
    </w:rPr>
  </w:style>
  <w:style w:type="character" w:customStyle="1" w:styleId="390">
    <w:name w:val="批注框文本 字符"/>
    <w:qFormat/>
    <w:uiPriority w:val="99"/>
    <w:rPr>
      <w:kern w:val="2"/>
      <w:sz w:val="18"/>
      <w:szCs w:val="18"/>
    </w:rPr>
  </w:style>
  <w:style w:type="character" w:customStyle="1" w:styleId="391">
    <w:name w:val="页脚 字符"/>
    <w:qFormat/>
    <w:uiPriority w:val="99"/>
    <w:rPr>
      <w:kern w:val="2"/>
      <w:sz w:val="18"/>
      <w:szCs w:val="18"/>
    </w:rPr>
  </w:style>
  <w:style w:type="character" w:customStyle="1" w:styleId="392">
    <w:name w:val="页眉 字符"/>
    <w:qFormat/>
    <w:uiPriority w:val="99"/>
    <w:rPr>
      <w:kern w:val="2"/>
      <w:sz w:val="18"/>
      <w:szCs w:val="18"/>
    </w:rPr>
  </w:style>
  <w:style w:type="character" w:customStyle="1" w:styleId="393">
    <w:name w:val="正文文本缩进 3 字符"/>
    <w:qFormat/>
    <w:uiPriority w:val="99"/>
    <w:rPr>
      <w:kern w:val="2"/>
      <w:sz w:val="16"/>
      <w:szCs w:val="16"/>
    </w:rPr>
  </w:style>
  <w:style w:type="character" w:customStyle="1" w:styleId="394">
    <w:name w:val="林郁-一级标题 Char"/>
    <w:link w:val="395"/>
    <w:qFormat/>
    <w:uiPriority w:val="0"/>
    <w:rPr>
      <w:rFonts w:ascii="黑体" w:hAnsi="Arial" w:eastAsia="黑体"/>
      <w:color w:val="000000"/>
      <w:kern w:val="44"/>
      <w:sz w:val="30"/>
      <w:szCs w:val="30"/>
    </w:rPr>
  </w:style>
  <w:style w:type="paragraph" w:customStyle="1" w:styleId="395">
    <w:name w:val="林郁-一级标题"/>
    <w:basedOn w:val="3"/>
    <w:link w:val="394"/>
    <w:qFormat/>
    <w:uiPriority w:val="0"/>
    <w:pPr>
      <w:snapToGrid w:val="0"/>
      <w:spacing w:before="0" w:after="0" w:line="560" w:lineRule="exact"/>
      <w:ind w:firstLine="600" w:firstLineChars="200"/>
      <w:jc w:val="left"/>
    </w:pPr>
    <w:rPr>
      <w:rFonts w:ascii="黑体" w:hAnsi="Arial" w:eastAsia="黑体"/>
      <w:b w:val="0"/>
      <w:color w:val="000000"/>
      <w:sz w:val="30"/>
      <w:szCs w:val="30"/>
    </w:rPr>
  </w:style>
  <w:style w:type="character" w:customStyle="1" w:styleId="396">
    <w:name w:val="n-grey"/>
    <w:qFormat/>
    <w:uiPriority w:val="0"/>
  </w:style>
  <w:style w:type="character" w:customStyle="1" w:styleId="397">
    <w:name w:val="st1"/>
    <w:qFormat/>
    <w:uiPriority w:val="0"/>
  </w:style>
  <w:style w:type="character" w:customStyle="1" w:styleId="398">
    <w:name w:val="clampword3"/>
    <w:qFormat/>
    <w:uiPriority w:val="0"/>
  </w:style>
  <w:style w:type="character" w:customStyle="1" w:styleId="399">
    <w:name w:val="无间隔 字符"/>
    <w:qFormat/>
    <w:uiPriority w:val="1"/>
    <w:rPr>
      <w:sz w:val="22"/>
      <w:szCs w:val="22"/>
      <w:lang w:val="en-US" w:eastAsia="zh-CN" w:bidi="ar-SA"/>
    </w:rPr>
  </w:style>
  <w:style w:type="character" w:customStyle="1" w:styleId="400">
    <w:name w:val="u_name2"/>
    <w:qFormat/>
    <w:uiPriority w:val="0"/>
    <w:rPr>
      <w:color w:val="484848"/>
    </w:rPr>
  </w:style>
  <w:style w:type="character" w:customStyle="1" w:styleId="401">
    <w:name w:val="date2"/>
    <w:qFormat/>
    <w:uiPriority w:val="0"/>
  </w:style>
  <w:style w:type="character" w:customStyle="1" w:styleId="402">
    <w:name w:val="标题 3 Char"/>
    <w:qFormat/>
    <w:uiPriority w:val="0"/>
    <w:rPr>
      <w:rFonts w:ascii="宋体" w:hAnsi="Times New Roman" w:eastAsia="宋体" w:cs="Times New Roman"/>
      <w:b/>
      <w:kern w:val="0"/>
      <w:sz w:val="24"/>
      <w:szCs w:val="20"/>
      <w:u w:val="single"/>
    </w:rPr>
  </w:style>
  <w:style w:type="character" w:customStyle="1" w:styleId="403">
    <w:name w:val="Unresolved Mention"/>
    <w:unhideWhenUsed/>
    <w:qFormat/>
    <w:uiPriority w:val="99"/>
    <w:rPr>
      <w:color w:val="605E5C"/>
      <w:shd w:val="clear" w:color="auto" w:fill="E1DFDD"/>
    </w:rPr>
  </w:style>
  <w:style w:type="paragraph" w:customStyle="1" w:styleId="404">
    <w:name w:val="技术文档正文"/>
    <w:basedOn w:val="26"/>
    <w:qFormat/>
    <w:uiPriority w:val="0"/>
    <w:pPr>
      <w:spacing w:line="360" w:lineRule="auto"/>
      <w:ind w:firstLine="200" w:firstLineChars="200"/>
    </w:pPr>
    <w:rPr>
      <w:rFonts w:ascii="Tahoma" w:hAnsi="Tahoma"/>
      <w:sz w:val="24"/>
    </w:rPr>
  </w:style>
  <w:style w:type="paragraph" w:customStyle="1" w:styleId="405">
    <w:name w:val="newtext"/>
    <w:basedOn w:val="1"/>
    <w:qFormat/>
    <w:uiPriority w:val="0"/>
    <w:pPr>
      <w:widowControl/>
      <w:spacing w:before="100" w:beforeAutospacing="1" w:after="100" w:afterAutospacing="1" w:line="360" w:lineRule="atLeast"/>
      <w:ind w:firstLine="200" w:firstLineChars="200"/>
      <w:jc w:val="left"/>
    </w:pPr>
    <w:rPr>
      <w:rFonts w:ascii="宋体" w:hAnsi="宋体" w:cs="宋体"/>
      <w:kern w:val="0"/>
      <w:sz w:val="24"/>
      <w:szCs w:val="21"/>
    </w:rPr>
  </w:style>
  <w:style w:type="paragraph" w:customStyle="1" w:styleId="406">
    <w:name w:val="样式 标题 3Level 3 HeadH3Heading 3 - oldh3sect1.2.3Head33l3..."/>
    <w:basedOn w:val="6"/>
    <w:qFormat/>
    <w:uiPriority w:val="0"/>
    <w:pPr>
      <w:tabs>
        <w:tab w:val="left" w:pos="0"/>
      </w:tabs>
      <w:autoSpaceDE/>
      <w:autoSpaceDN/>
      <w:adjustRightInd/>
      <w:snapToGrid w:val="0"/>
      <w:spacing w:before="0" w:beforeLines="50" w:after="0" w:afterLines="50" w:line="360" w:lineRule="auto"/>
      <w:jc w:val="both"/>
    </w:pPr>
    <w:rPr>
      <w:rFonts w:ascii="Arial" w:hAnsi="Arial" w:cs="宋体"/>
      <w:bCs/>
      <w:kern w:val="2"/>
      <w:sz w:val="30"/>
      <w:szCs w:val="30"/>
      <w:u w:val="none"/>
    </w:rPr>
  </w:style>
  <w:style w:type="paragraph" w:customStyle="1" w:styleId="407">
    <w:name w:val="项目"/>
    <w:basedOn w:val="1"/>
    <w:qFormat/>
    <w:uiPriority w:val="0"/>
    <w:pPr>
      <w:tabs>
        <w:tab w:val="left" w:pos="907"/>
      </w:tabs>
      <w:adjustRightInd w:val="0"/>
      <w:spacing w:line="360" w:lineRule="auto"/>
      <w:ind w:left="907" w:hanging="619" w:firstLineChars="200"/>
      <w:jc w:val="left"/>
      <w:textAlignment w:val="baseline"/>
    </w:pPr>
    <w:rPr>
      <w:rFonts w:ascii="宋体" w:hAnsi="宋体"/>
      <w:kern w:val="0"/>
      <w:sz w:val="24"/>
      <w:szCs w:val="20"/>
    </w:rPr>
  </w:style>
  <w:style w:type="paragraph" w:customStyle="1" w:styleId="408">
    <w:name w:val="xl29"/>
    <w:basedOn w:val="1"/>
    <w:qFormat/>
    <w:uiPriority w:val="0"/>
    <w:pPr>
      <w:widowControl/>
      <w:pBdr>
        <w:top w:val="single" w:color="auto" w:sz="4" w:space="0"/>
        <w:left w:val="single" w:color="auto" w:sz="4" w:space="0"/>
        <w:right w:val="single" w:color="auto" w:sz="4" w:space="0"/>
      </w:pBdr>
      <w:spacing w:before="100" w:beforeAutospacing="1" w:after="100" w:afterAutospacing="1" w:line="360" w:lineRule="auto"/>
      <w:ind w:firstLine="200" w:firstLineChars="200"/>
    </w:pPr>
    <w:rPr>
      <w:rFonts w:ascii="Arial Unicode MS" w:hAnsi="Arial Unicode MS" w:eastAsia="Arial Unicode MS" w:cs="Arial Unicode MS"/>
      <w:kern w:val="0"/>
      <w:sz w:val="24"/>
    </w:rPr>
  </w:style>
  <w:style w:type="paragraph" w:customStyle="1" w:styleId="409">
    <w:name w:val="文档正文 Char"/>
    <w:basedOn w:val="1"/>
    <w:qFormat/>
    <w:uiPriority w:val="0"/>
    <w:pPr>
      <w:adjustRightInd w:val="0"/>
      <w:spacing w:line="500" w:lineRule="exact"/>
      <w:ind w:firstLine="567" w:firstLineChars="200"/>
      <w:textAlignment w:val="baseline"/>
    </w:pPr>
    <w:rPr>
      <w:rFonts w:ascii="仿宋_GB2312" w:eastAsia="仿宋_GB2312"/>
      <w:sz w:val="28"/>
    </w:rPr>
  </w:style>
  <w:style w:type="paragraph" w:customStyle="1" w:styleId="410">
    <w:name w:val="a1"/>
    <w:basedOn w:val="3"/>
    <w:qFormat/>
    <w:uiPriority w:val="0"/>
    <w:pPr>
      <w:autoSpaceDE/>
      <w:autoSpaceDN/>
      <w:adjustRightInd/>
      <w:spacing w:before="0" w:beforeLines="50" w:after="0" w:afterLines="50" w:line="360" w:lineRule="auto"/>
      <w:ind w:left="425" w:hanging="425"/>
      <w:jc w:val="left"/>
    </w:pPr>
    <w:rPr>
      <w:rFonts w:ascii="Calibri" w:hAnsi="Calibri"/>
      <w:b w:val="0"/>
      <w:bCs/>
      <w:sz w:val="44"/>
      <w:szCs w:val="44"/>
    </w:rPr>
  </w:style>
  <w:style w:type="paragraph" w:customStyle="1" w:styleId="411">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color w:val="FF0000"/>
      <w:kern w:val="0"/>
      <w:sz w:val="20"/>
      <w:szCs w:val="20"/>
    </w:rPr>
  </w:style>
  <w:style w:type="paragraph" w:customStyle="1" w:styleId="412">
    <w:name w:val="段"/>
    <w:qFormat/>
    <w:uiPriority w:val="0"/>
    <w:pPr>
      <w:tabs>
        <w:tab w:val="left" w:pos="840"/>
      </w:tabs>
      <w:autoSpaceDE w:val="0"/>
      <w:autoSpaceDN w:val="0"/>
      <w:ind w:left="840" w:firstLine="200" w:firstLineChars="200"/>
      <w:jc w:val="both"/>
    </w:pPr>
    <w:rPr>
      <w:rFonts w:ascii="宋体" w:hAnsi="Times New Roman" w:eastAsia="宋体" w:cs="Times New Roman"/>
      <w:sz w:val="21"/>
      <w:lang w:val="en-US" w:eastAsia="zh-CN" w:bidi="ar-SA"/>
    </w:rPr>
  </w:style>
  <w:style w:type="paragraph" w:customStyle="1" w:styleId="413">
    <w:name w:val="样式 Arial 小四 段前: 7.8 磅 首行缩进:  2 字符"/>
    <w:basedOn w:val="1"/>
    <w:qFormat/>
    <w:uiPriority w:val="0"/>
    <w:pPr>
      <w:spacing w:before="156" w:line="360" w:lineRule="auto"/>
      <w:ind w:firstLine="200" w:firstLineChars="200"/>
    </w:pPr>
    <w:rPr>
      <w:rFonts w:ascii="Arial" w:hAnsi="Arial" w:cs="宋体"/>
      <w:sz w:val="24"/>
      <w:szCs w:val="20"/>
    </w:rPr>
  </w:style>
  <w:style w:type="paragraph" w:customStyle="1" w:styleId="414">
    <w:name w:val="符号正文"/>
    <w:basedOn w:val="1"/>
    <w:qFormat/>
    <w:uiPriority w:val="0"/>
    <w:pPr>
      <w:tabs>
        <w:tab w:val="left" w:pos="2730"/>
      </w:tabs>
      <w:spacing w:line="360" w:lineRule="auto"/>
      <w:ind w:firstLine="200" w:firstLineChars="200"/>
    </w:pPr>
    <w:rPr>
      <w:bCs/>
      <w:sz w:val="24"/>
      <w:szCs w:val="21"/>
    </w:rPr>
  </w:style>
  <w:style w:type="paragraph" w:customStyle="1" w:styleId="415">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Arial Unicode MS" w:hAnsi="Arial Unicode MS"/>
      <w:kern w:val="0"/>
      <w:sz w:val="20"/>
      <w:szCs w:val="20"/>
    </w:rPr>
  </w:style>
  <w:style w:type="paragraph" w:customStyle="1" w:styleId="416">
    <w:name w:val="xl4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color w:val="000000"/>
      <w:kern w:val="0"/>
      <w:sz w:val="20"/>
      <w:szCs w:val="20"/>
    </w:rPr>
  </w:style>
  <w:style w:type="paragraph" w:customStyle="1" w:styleId="417">
    <w:name w:val="!BECC正文"/>
    <w:basedOn w:val="1"/>
    <w:qFormat/>
    <w:uiPriority w:val="0"/>
    <w:pPr>
      <w:tabs>
        <w:tab w:val="left" w:pos="0"/>
      </w:tabs>
      <w:spacing w:beforeLines="50" w:afterLines="50" w:line="360" w:lineRule="auto"/>
      <w:ind w:firstLine="200" w:firstLineChars="200"/>
    </w:pPr>
    <w:rPr>
      <w:sz w:val="24"/>
    </w:rPr>
  </w:style>
  <w:style w:type="paragraph" w:customStyle="1" w:styleId="418">
    <w:name w:val="font7"/>
    <w:basedOn w:val="1"/>
    <w:qFormat/>
    <w:uiPriority w:val="0"/>
    <w:pPr>
      <w:widowControl/>
      <w:spacing w:before="100" w:beforeAutospacing="1" w:after="100" w:afterAutospacing="1" w:line="360" w:lineRule="auto"/>
      <w:ind w:firstLine="200" w:firstLineChars="200"/>
      <w:jc w:val="left"/>
    </w:pPr>
    <w:rPr>
      <w:kern w:val="0"/>
      <w:sz w:val="24"/>
      <w:szCs w:val="21"/>
    </w:rPr>
  </w:style>
  <w:style w:type="paragraph" w:customStyle="1" w:styleId="419">
    <w:name w:val="图例"/>
    <w:basedOn w:val="1"/>
    <w:next w:val="5"/>
    <w:qFormat/>
    <w:uiPriority w:val="0"/>
    <w:pPr>
      <w:spacing w:line="360" w:lineRule="auto"/>
      <w:ind w:firstLine="200" w:firstLineChars="200"/>
      <w:jc w:val="center"/>
    </w:pPr>
    <w:rPr>
      <w:rFonts w:ascii="宋体" w:hAnsi="宋体"/>
      <w:sz w:val="24"/>
    </w:rPr>
  </w:style>
  <w:style w:type="paragraph" w:customStyle="1" w:styleId="420">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Arial Unicode MS" w:hAnsi="Arial Unicode MS"/>
      <w:kern w:val="0"/>
      <w:sz w:val="20"/>
      <w:szCs w:val="20"/>
    </w:rPr>
  </w:style>
  <w:style w:type="paragraph" w:customStyle="1" w:styleId="421">
    <w:name w:val="样式5"/>
    <w:basedOn w:val="216"/>
    <w:qFormat/>
    <w:uiPriority w:val="0"/>
    <w:pPr>
      <w:tabs>
        <w:tab w:val="left" w:pos="900"/>
      </w:tabs>
      <w:ind w:left="900" w:hanging="360" w:firstLineChars="0"/>
    </w:pPr>
    <w:rPr>
      <w:szCs w:val="20"/>
    </w:rPr>
  </w:style>
  <w:style w:type="paragraph" w:customStyle="1" w:styleId="422">
    <w:name w:val="Bullet"/>
    <w:basedOn w:val="1"/>
    <w:qFormat/>
    <w:uiPriority w:val="0"/>
    <w:pPr>
      <w:widowControl/>
      <w:spacing w:after="120" w:line="360" w:lineRule="auto"/>
      <w:ind w:firstLine="200" w:firstLineChars="200"/>
      <w:jc w:val="left"/>
    </w:pPr>
    <w:rPr>
      <w:rFonts w:ascii="Garamond" w:hAnsi="Garamond" w:eastAsia="Times New Roman"/>
      <w:kern w:val="0"/>
      <w:sz w:val="22"/>
      <w:szCs w:val="20"/>
      <w:lang w:eastAsia="en-US"/>
    </w:rPr>
  </w:style>
  <w:style w:type="paragraph" w:customStyle="1" w:styleId="423">
    <w:name w:val="xl2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cs="宋体"/>
      <w:b/>
      <w:bCs/>
      <w:color w:val="000000"/>
      <w:kern w:val="0"/>
      <w:sz w:val="18"/>
      <w:szCs w:val="18"/>
    </w:rPr>
  </w:style>
  <w:style w:type="paragraph" w:customStyle="1" w:styleId="424">
    <w:name w:val="xl25"/>
    <w:basedOn w:val="1"/>
    <w:qFormat/>
    <w:uiPriority w:val="0"/>
    <w:pPr>
      <w:widowControl/>
      <w:pBdr>
        <w:top w:val="single" w:color="auto" w:sz="4" w:space="0"/>
        <w:bottom w:val="single" w:color="auto" w:sz="4" w:space="0"/>
      </w:pBdr>
      <w:spacing w:before="100" w:beforeAutospacing="1" w:after="100" w:afterAutospacing="1" w:line="360" w:lineRule="auto"/>
      <w:ind w:firstLine="200" w:firstLineChars="200"/>
    </w:pPr>
    <w:rPr>
      <w:rFonts w:ascii="Arial Unicode MS" w:hAnsi="Arial Unicode MS" w:eastAsia="Arial Unicode MS" w:cs="Arial Unicode MS"/>
      <w:kern w:val="0"/>
      <w:sz w:val="24"/>
    </w:rPr>
  </w:style>
  <w:style w:type="paragraph" w:customStyle="1" w:styleId="425">
    <w:name w:val="样式 标题 4Titre4H4PIM 4h4blbbITT t4PA Micro SectionTE Head..."/>
    <w:basedOn w:val="7"/>
    <w:qFormat/>
    <w:uiPriority w:val="0"/>
    <w:pPr>
      <w:tabs>
        <w:tab w:val="left" w:pos="0"/>
      </w:tabs>
      <w:spacing w:before="0" w:beforeLines="50" w:after="163" w:line="360" w:lineRule="auto"/>
      <w:ind w:left="810"/>
    </w:pPr>
    <w:rPr>
      <w:rFonts w:eastAsia="宋体" w:cs="宋体"/>
      <w:b w:val="0"/>
      <w:color w:val="365F91"/>
      <w:szCs w:val="20"/>
    </w:rPr>
  </w:style>
  <w:style w:type="paragraph" w:customStyle="1" w:styleId="426">
    <w:name w:val="q5"/>
    <w:basedOn w:val="8"/>
    <w:qFormat/>
    <w:uiPriority w:val="0"/>
    <w:pPr>
      <w:keepNext w:val="0"/>
      <w:keepLines w:val="0"/>
      <w:tabs>
        <w:tab w:val="left" w:pos="0"/>
        <w:tab w:val="clear" w:pos="360"/>
      </w:tabs>
      <w:suppressAutoHyphens w:val="0"/>
      <w:snapToGrid w:val="0"/>
      <w:spacing w:beforeLines="50" w:afterLines="50" w:line="360" w:lineRule="auto"/>
      <w:ind w:left="0" w:firstLine="200" w:firstLineChars="200"/>
      <w:jc w:val="left"/>
    </w:pPr>
    <w:rPr>
      <w:rFonts w:ascii="Times New Roman" w:hAnsi="Times New Roman"/>
      <w:kern w:val="2"/>
      <w:sz w:val="24"/>
      <w:szCs w:val="24"/>
      <w:lang w:eastAsia="zh-CN"/>
    </w:rPr>
  </w:style>
  <w:style w:type="paragraph" w:customStyle="1" w:styleId="427">
    <w:name w:val="图编号"/>
    <w:basedOn w:val="1"/>
    <w:next w:val="1"/>
    <w:qFormat/>
    <w:uiPriority w:val="0"/>
    <w:pPr>
      <w:spacing w:line="360" w:lineRule="auto"/>
      <w:ind w:left="420"/>
      <w:jc w:val="center"/>
    </w:pPr>
    <w:rPr>
      <w:b/>
    </w:rPr>
  </w:style>
  <w:style w:type="paragraph" w:customStyle="1" w:styleId="428">
    <w:name w:val="带符号正文"/>
    <w:basedOn w:val="1"/>
    <w:qFormat/>
    <w:uiPriority w:val="0"/>
    <w:pPr>
      <w:tabs>
        <w:tab w:val="left" w:pos="840"/>
      </w:tabs>
      <w:spacing w:before="120" w:after="120" w:line="360" w:lineRule="auto"/>
      <w:ind w:left="840" w:hanging="420" w:firstLineChars="200"/>
    </w:pPr>
    <w:rPr>
      <w:rFonts w:ascii="宋体" w:hAnsi="宋体"/>
      <w:bCs/>
      <w:sz w:val="24"/>
    </w:rPr>
  </w:style>
  <w:style w:type="paragraph" w:customStyle="1" w:styleId="429">
    <w:name w:val="参编人员"/>
    <w:basedOn w:val="1"/>
    <w:qFormat/>
    <w:uiPriority w:val="0"/>
    <w:pPr>
      <w:spacing w:before="312" w:after="312" w:line="480" w:lineRule="auto"/>
      <w:ind w:firstLine="200" w:firstLineChars="200"/>
      <w:jc w:val="center"/>
    </w:pPr>
    <w:rPr>
      <w:rFonts w:ascii="Arial Black" w:hAnsi="宋体" w:cs="宋体"/>
      <w:b/>
      <w:bCs/>
      <w:sz w:val="44"/>
      <w:szCs w:val="20"/>
    </w:rPr>
  </w:style>
  <w:style w:type="paragraph" w:customStyle="1" w:styleId="430">
    <w:name w:val="Char Char1 Char Char2 Char Char"/>
    <w:basedOn w:val="1"/>
    <w:qFormat/>
    <w:uiPriority w:val="0"/>
    <w:pPr>
      <w:widowControl/>
      <w:spacing w:after="160" w:line="240" w:lineRule="exact"/>
      <w:ind w:firstLine="200" w:firstLineChars="200"/>
      <w:jc w:val="left"/>
    </w:pPr>
    <w:rPr>
      <w:rFonts w:ascii="Verdana" w:hAnsi="Verdana"/>
      <w:kern w:val="0"/>
      <w:sz w:val="20"/>
      <w:szCs w:val="20"/>
      <w:lang w:eastAsia="en-US"/>
    </w:rPr>
  </w:style>
  <w:style w:type="paragraph" w:customStyle="1" w:styleId="431">
    <w:name w:val="HD正文1"/>
    <w:basedOn w:val="1"/>
    <w:qFormat/>
    <w:uiPriority w:val="0"/>
    <w:pPr>
      <w:spacing w:line="440" w:lineRule="atLeast"/>
      <w:ind w:firstLine="540" w:firstLineChars="200"/>
    </w:pPr>
    <w:rPr>
      <w:sz w:val="24"/>
    </w:rPr>
  </w:style>
  <w:style w:type="paragraph" w:customStyle="1" w:styleId="43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kern w:val="0"/>
      <w:sz w:val="20"/>
      <w:szCs w:val="20"/>
    </w:rPr>
  </w:style>
  <w:style w:type="paragraph" w:customStyle="1" w:styleId="433">
    <w:name w:val="样式 正文（首行缩进两字） + 首行缩进:  2 字符"/>
    <w:basedOn w:val="5"/>
    <w:qFormat/>
    <w:uiPriority w:val="0"/>
    <w:pPr>
      <w:tabs>
        <w:tab w:val="left" w:pos="2730"/>
      </w:tabs>
      <w:autoSpaceDE/>
      <w:autoSpaceDN/>
      <w:adjustRightInd/>
      <w:spacing w:line="360" w:lineRule="auto"/>
      <w:ind w:firstLine="480" w:firstLineChars="200"/>
      <w:jc w:val="both"/>
    </w:pPr>
    <w:rPr>
      <w:rFonts w:ascii="Times New Roman"/>
      <w:bCs/>
      <w:kern w:val="2"/>
    </w:rPr>
  </w:style>
  <w:style w:type="paragraph" w:customStyle="1" w:styleId="434">
    <w:name w:val="默认段落字体 Para Char"/>
    <w:basedOn w:val="1"/>
    <w:qFormat/>
    <w:uiPriority w:val="0"/>
    <w:pPr>
      <w:tabs>
        <w:tab w:val="left" w:pos="907"/>
      </w:tabs>
      <w:adjustRightInd w:val="0"/>
      <w:spacing w:line="360" w:lineRule="auto"/>
      <w:ind w:left="907" w:hanging="619" w:firstLineChars="200"/>
    </w:pPr>
    <w:rPr>
      <w:kern w:val="0"/>
      <w:sz w:val="24"/>
      <w:szCs w:val="20"/>
    </w:rPr>
  </w:style>
  <w:style w:type="paragraph" w:customStyle="1" w:styleId="435">
    <w:name w:val="xl4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color w:val="000000"/>
      <w:kern w:val="0"/>
      <w:sz w:val="20"/>
      <w:szCs w:val="20"/>
    </w:rPr>
  </w:style>
  <w:style w:type="paragraph" w:customStyle="1" w:styleId="436">
    <w:name w:val="样式 首行缩进:  0.74 厘米"/>
    <w:basedOn w:val="1"/>
    <w:qFormat/>
    <w:uiPriority w:val="0"/>
    <w:pPr>
      <w:spacing w:line="360" w:lineRule="auto"/>
      <w:ind w:firstLine="420" w:firstLineChars="200"/>
    </w:pPr>
    <w:rPr>
      <w:bCs/>
      <w:sz w:val="24"/>
      <w:szCs w:val="20"/>
    </w:rPr>
  </w:style>
  <w:style w:type="paragraph" w:customStyle="1" w:styleId="437">
    <w:name w:val="q3"/>
    <w:basedOn w:val="6"/>
    <w:qFormat/>
    <w:uiPriority w:val="0"/>
    <w:pPr>
      <w:tabs>
        <w:tab w:val="left" w:pos="0"/>
      </w:tabs>
      <w:autoSpaceDE/>
      <w:autoSpaceDN/>
      <w:adjustRightInd/>
      <w:snapToGrid w:val="0"/>
      <w:spacing w:before="0" w:beforeLines="50" w:after="0" w:afterLines="50" w:line="360" w:lineRule="auto"/>
      <w:jc w:val="both"/>
    </w:pPr>
    <w:rPr>
      <w:rFonts w:hAnsi="宋体"/>
      <w:bCs/>
      <w:kern w:val="2"/>
      <w:sz w:val="28"/>
      <w:szCs w:val="28"/>
      <w:u w:val="none"/>
    </w:rPr>
  </w:style>
  <w:style w:type="paragraph" w:customStyle="1" w:styleId="438">
    <w:name w:val="0"/>
    <w:basedOn w:val="1"/>
    <w:qFormat/>
    <w:uiPriority w:val="0"/>
    <w:pPr>
      <w:widowControl/>
      <w:snapToGrid w:val="0"/>
      <w:spacing w:line="365" w:lineRule="atLeast"/>
      <w:ind w:left="1" w:firstLine="200" w:firstLineChars="200"/>
      <w:textAlignment w:val="bottom"/>
    </w:pPr>
    <w:rPr>
      <w:kern w:val="0"/>
      <w:sz w:val="20"/>
      <w:szCs w:val="20"/>
    </w:rPr>
  </w:style>
  <w:style w:type="paragraph" w:customStyle="1" w:styleId="439">
    <w:name w:val="表身"/>
    <w:qFormat/>
    <w:uiPriority w:val="0"/>
    <w:pPr>
      <w:keepNext/>
      <w:spacing w:before="60" w:after="60" w:line="300" w:lineRule="auto"/>
      <w:jc w:val="both"/>
      <w:textAlignment w:val="center"/>
    </w:pPr>
    <w:rPr>
      <w:rFonts w:ascii="Times New Roman" w:hAnsi="Times New Roman" w:eastAsia="宋体" w:cs="Times New Roman"/>
      <w:sz w:val="18"/>
      <w:lang w:val="en-US" w:eastAsia="zh-CN" w:bidi="ar-SA"/>
    </w:rPr>
  </w:style>
  <w:style w:type="paragraph" w:customStyle="1" w:styleId="440">
    <w:name w:val="my（1）"/>
    <w:basedOn w:val="216"/>
    <w:qFormat/>
    <w:uiPriority w:val="0"/>
    <w:pPr>
      <w:tabs>
        <w:tab w:val="left" w:pos="0"/>
        <w:tab w:val="left" w:pos="360"/>
      </w:tabs>
      <w:spacing w:before="156" w:after="156"/>
      <w:ind w:firstLine="0" w:firstLineChars="0"/>
    </w:pPr>
    <w:rPr>
      <w:rFonts w:ascii="Times New Roman" w:hAnsi="Times New Roman"/>
    </w:rPr>
  </w:style>
  <w:style w:type="paragraph" w:customStyle="1" w:styleId="441">
    <w:name w:val="xl30"/>
    <w:basedOn w:val="1"/>
    <w:qFormat/>
    <w:uiPriority w:val="0"/>
    <w:pPr>
      <w:widowControl/>
      <w:pBdr>
        <w:top w:val="single" w:color="auto" w:sz="4" w:space="0"/>
        <w:left w:val="single" w:color="auto" w:sz="4" w:space="0"/>
      </w:pBdr>
      <w:spacing w:before="100" w:beforeAutospacing="1" w:after="100" w:afterAutospacing="1" w:line="360" w:lineRule="auto"/>
      <w:ind w:firstLine="200" w:firstLineChars="200"/>
    </w:pPr>
    <w:rPr>
      <w:rFonts w:ascii="Arial Unicode MS" w:hAnsi="Arial Unicode MS" w:eastAsia="Arial Unicode MS" w:cs="Arial Unicode MS"/>
      <w:kern w:val="0"/>
      <w:sz w:val="24"/>
    </w:rPr>
  </w:style>
  <w:style w:type="paragraph" w:customStyle="1" w:styleId="442">
    <w:name w:val="Char Char1 Char Char Char Char Char Char Char Char Char Char Char Char Char Char Char"/>
    <w:basedOn w:val="1"/>
    <w:qFormat/>
    <w:uiPriority w:val="0"/>
    <w:pPr>
      <w:widowControl/>
      <w:spacing w:after="160" w:line="240" w:lineRule="exact"/>
      <w:ind w:firstLine="200" w:firstLineChars="200"/>
      <w:jc w:val="left"/>
    </w:pPr>
    <w:rPr>
      <w:sz w:val="24"/>
      <w:szCs w:val="20"/>
    </w:rPr>
  </w:style>
  <w:style w:type="paragraph" w:customStyle="1" w:styleId="443">
    <w:name w:val="xl31"/>
    <w:basedOn w:val="1"/>
    <w:qFormat/>
    <w:uiPriority w:val="0"/>
    <w:pPr>
      <w:widowControl/>
      <w:pBdr>
        <w:top w:val="single" w:color="auto" w:sz="4" w:space="0"/>
        <w:right w:val="single" w:color="auto" w:sz="4" w:space="0"/>
      </w:pBdr>
      <w:spacing w:before="100" w:beforeAutospacing="1" w:after="100" w:afterAutospacing="1" w:line="360" w:lineRule="auto"/>
      <w:ind w:firstLine="200" w:firstLineChars="200"/>
    </w:pPr>
    <w:rPr>
      <w:rFonts w:ascii="Arial Unicode MS" w:hAnsi="Arial Unicode MS" w:eastAsia="Arial Unicode MS" w:cs="Arial Unicode MS"/>
      <w:kern w:val="0"/>
      <w:sz w:val="24"/>
    </w:rPr>
  </w:style>
  <w:style w:type="paragraph" w:customStyle="1" w:styleId="444">
    <w:name w:val="xl426"/>
    <w:basedOn w:val="1"/>
    <w:qFormat/>
    <w:uiPriority w:val="0"/>
    <w:pPr>
      <w:widowControl/>
      <w:spacing w:before="100" w:beforeAutospacing="1" w:after="100" w:afterAutospacing="1" w:line="360" w:lineRule="auto"/>
      <w:ind w:firstLine="200" w:firstLineChars="200"/>
      <w:jc w:val="left"/>
    </w:pPr>
    <w:rPr>
      <w:rFonts w:ascii="宋体" w:hAnsi="宋体" w:cs="宋体"/>
      <w:kern w:val="0"/>
      <w:sz w:val="20"/>
      <w:szCs w:val="20"/>
    </w:rPr>
  </w:style>
  <w:style w:type="paragraph" w:customStyle="1" w:styleId="445">
    <w:name w:val="带符号正文加粗"/>
    <w:basedOn w:val="1"/>
    <w:qFormat/>
    <w:uiPriority w:val="0"/>
    <w:pPr>
      <w:tabs>
        <w:tab w:val="left" w:pos="620"/>
      </w:tabs>
      <w:spacing w:before="120" w:after="120" w:line="360" w:lineRule="auto"/>
      <w:ind w:left="620" w:hanging="420" w:firstLineChars="200"/>
    </w:pPr>
    <w:rPr>
      <w:b/>
      <w:bCs/>
      <w:sz w:val="24"/>
    </w:rPr>
  </w:style>
  <w:style w:type="paragraph" w:customStyle="1" w:styleId="446">
    <w:name w:val="样式 列表 5 + 左侧:  8 字符 悬挂缩进: 2 字符"/>
    <w:basedOn w:val="65"/>
    <w:qFormat/>
    <w:uiPriority w:val="0"/>
    <w:pPr>
      <w:ind w:left="0" w:leftChars="0" w:firstLine="0" w:firstLineChars="0"/>
      <w:jc w:val="center"/>
    </w:pPr>
    <w:rPr>
      <w:rFonts w:ascii="Calibri" w:hAnsi="Calibri" w:cs="宋体"/>
      <w:szCs w:val="20"/>
    </w:rPr>
  </w:style>
  <w:style w:type="paragraph" w:customStyle="1" w:styleId="447">
    <w:name w:val="xl2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color w:val="000000"/>
      <w:kern w:val="0"/>
      <w:sz w:val="18"/>
      <w:szCs w:val="18"/>
    </w:rPr>
  </w:style>
  <w:style w:type="paragraph" w:customStyle="1" w:styleId="448">
    <w:name w:val="!a章标题"/>
    <w:basedOn w:val="3"/>
    <w:next w:val="1"/>
    <w:qFormat/>
    <w:uiPriority w:val="0"/>
    <w:pPr>
      <w:autoSpaceDE/>
      <w:autoSpaceDN/>
      <w:adjustRightInd/>
      <w:spacing w:before="0" w:after="0" w:line="240" w:lineRule="auto"/>
      <w:ind w:left="-32767" w:firstLine="32767"/>
      <w:jc w:val="left"/>
    </w:pPr>
    <w:rPr>
      <w:rFonts w:hAnsi="宋体"/>
      <w:kern w:val="32"/>
      <w:szCs w:val="32"/>
    </w:rPr>
  </w:style>
  <w:style w:type="paragraph" w:customStyle="1" w:styleId="449">
    <w:name w:val="Body Single"/>
    <w:basedOn w:val="1"/>
    <w:qFormat/>
    <w:uiPriority w:val="0"/>
    <w:pPr>
      <w:widowControl/>
      <w:overflowPunct w:val="0"/>
      <w:autoSpaceDE w:val="0"/>
      <w:autoSpaceDN w:val="0"/>
      <w:adjustRightInd w:val="0"/>
      <w:spacing w:line="360" w:lineRule="auto"/>
      <w:ind w:firstLine="200" w:firstLineChars="200"/>
      <w:jc w:val="left"/>
      <w:textAlignment w:val="baseline"/>
    </w:pPr>
    <w:rPr>
      <w:rFonts w:eastAsia="Times New Roman"/>
      <w:kern w:val="0"/>
      <w:sz w:val="24"/>
      <w:szCs w:val="20"/>
      <w:lang w:eastAsia="en-US"/>
    </w:rPr>
  </w:style>
  <w:style w:type="paragraph" w:customStyle="1" w:styleId="450">
    <w:name w:val="xl270"/>
    <w:basedOn w:val="1"/>
    <w:qFormat/>
    <w:uiPriority w:val="0"/>
    <w:pPr>
      <w:widowControl/>
      <w:pBdr>
        <w:bottom w:val="single" w:color="auto" w:sz="4" w:space="0"/>
      </w:pBdr>
      <w:spacing w:before="100" w:beforeAutospacing="1" w:after="100" w:afterAutospacing="1" w:line="360" w:lineRule="auto"/>
      <w:ind w:firstLine="200" w:firstLineChars="200"/>
      <w:jc w:val="center"/>
    </w:pPr>
    <w:rPr>
      <w:rFonts w:ascii="宋体" w:hAnsi="宋体" w:cs="宋体"/>
      <w:b/>
      <w:bCs/>
      <w:kern w:val="0"/>
      <w:sz w:val="24"/>
    </w:rPr>
  </w:style>
  <w:style w:type="paragraph" w:customStyle="1" w:styleId="451">
    <w:name w:val="Highlight"/>
    <w:basedOn w:val="1"/>
    <w:qFormat/>
    <w:uiPriority w:val="0"/>
    <w:pPr>
      <w:widowControl/>
      <w:spacing w:before="240" w:after="120" w:line="288" w:lineRule="auto"/>
      <w:ind w:firstLine="454" w:firstLineChars="200"/>
      <w:jc w:val="left"/>
    </w:pPr>
    <w:rPr>
      <w:b/>
      <w:kern w:val="0"/>
      <w:sz w:val="24"/>
      <w:u w:val="single"/>
    </w:rPr>
  </w:style>
  <w:style w:type="paragraph" w:customStyle="1" w:styleId="452">
    <w:name w:val="xl4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kern w:val="0"/>
      <w:sz w:val="20"/>
      <w:szCs w:val="20"/>
    </w:rPr>
  </w:style>
  <w:style w:type="paragraph" w:customStyle="1" w:styleId="453">
    <w:name w:val="xl4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cs="宋体"/>
      <w:color w:val="000000"/>
      <w:kern w:val="0"/>
      <w:sz w:val="20"/>
      <w:szCs w:val="20"/>
    </w:rPr>
  </w:style>
  <w:style w:type="paragraph" w:customStyle="1" w:styleId="454">
    <w:name w:val="!封面小标题"/>
    <w:qFormat/>
    <w:uiPriority w:val="0"/>
    <w:pPr>
      <w:spacing w:before="156" w:after="156"/>
      <w:jc w:val="center"/>
    </w:pPr>
    <w:rPr>
      <w:rFonts w:ascii="Times New Roman" w:hAnsi="Times New Roman" w:eastAsia="黑体" w:cs="Times New Roman"/>
      <w:kern w:val="2"/>
      <w:sz w:val="36"/>
      <w:szCs w:val="36"/>
      <w:lang w:val="en-US" w:eastAsia="zh-CN" w:bidi="ar-SA"/>
    </w:rPr>
  </w:style>
  <w:style w:type="paragraph" w:customStyle="1" w:styleId="455">
    <w:name w:val="xl241"/>
    <w:basedOn w:val="1"/>
    <w:qFormat/>
    <w:uiPriority w:val="0"/>
    <w:pPr>
      <w:widowControl/>
      <w:spacing w:before="100" w:beforeAutospacing="1" w:after="100" w:afterAutospacing="1" w:line="360" w:lineRule="auto"/>
      <w:ind w:firstLine="200" w:firstLineChars="200"/>
      <w:jc w:val="left"/>
    </w:pPr>
    <w:rPr>
      <w:rFonts w:ascii="宋体" w:hAnsi="宋体" w:cs="宋体"/>
      <w:kern w:val="0"/>
      <w:sz w:val="18"/>
      <w:szCs w:val="18"/>
    </w:rPr>
  </w:style>
  <w:style w:type="paragraph" w:customStyle="1" w:styleId="456">
    <w:name w:val="my 标题 4(一)1."/>
    <w:basedOn w:val="1"/>
    <w:qFormat/>
    <w:uiPriority w:val="0"/>
    <w:pPr>
      <w:tabs>
        <w:tab w:val="left" w:pos="420"/>
      </w:tabs>
      <w:spacing w:line="360" w:lineRule="auto"/>
      <w:ind w:left="420" w:hanging="420" w:firstLineChars="200"/>
    </w:pPr>
    <w:rPr>
      <w:sz w:val="24"/>
    </w:rPr>
  </w:style>
  <w:style w:type="paragraph" w:customStyle="1" w:styleId="457">
    <w:name w:val="符号悬挂缩进"/>
    <w:basedOn w:val="1"/>
    <w:qFormat/>
    <w:uiPriority w:val="0"/>
    <w:pPr>
      <w:tabs>
        <w:tab w:val="left" w:pos="2730"/>
      </w:tabs>
      <w:spacing w:line="360" w:lineRule="auto"/>
      <w:ind w:firstLine="200" w:firstLineChars="200"/>
    </w:pPr>
    <w:rPr>
      <w:bCs/>
      <w:kern w:val="0"/>
      <w:sz w:val="24"/>
    </w:rPr>
  </w:style>
  <w:style w:type="paragraph" w:customStyle="1" w:styleId="458">
    <w:name w:val="xl2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b/>
      <w:bCs/>
      <w:kern w:val="0"/>
      <w:sz w:val="18"/>
      <w:szCs w:val="18"/>
    </w:rPr>
  </w:style>
  <w:style w:type="paragraph" w:customStyle="1" w:styleId="459">
    <w:name w:val="ddddd"/>
    <w:basedOn w:val="1"/>
    <w:qFormat/>
    <w:uiPriority w:val="0"/>
    <w:pPr>
      <w:pageBreakBefore/>
      <w:spacing w:line="360" w:lineRule="auto"/>
      <w:ind w:firstLine="200" w:firstLineChars="200"/>
    </w:pPr>
    <w:rPr>
      <w:rFonts w:ascii="Tahoma" w:hAnsi="Tahoma"/>
      <w:sz w:val="24"/>
      <w:szCs w:val="20"/>
    </w:rPr>
  </w:style>
  <w:style w:type="paragraph" w:customStyle="1" w:styleId="460">
    <w:name w:val="正文加粗"/>
    <w:basedOn w:val="79"/>
    <w:qFormat/>
    <w:uiPriority w:val="0"/>
    <w:pPr>
      <w:spacing w:before="120" w:line="360" w:lineRule="auto"/>
      <w:ind w:firstLine="482" w:firstLineChars="200"/>
    </w:pPr>
    <w:rPr>
      <w:b/>
      <w:kern w:val="2"/>
      <w:sz w:val="21"/>
    </w:rPr>
  </w:style>
  <w:style w:type="paragraph" w:customStyle="1" w:styleId="461">
    <w:name w:val="xl2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color w:val="000000"/>
      <w:kern w:val="0"/>
      <w:sz w:val="18"/>
      <w:szCs w:val="18"/>
    </w:rPr>
  </w:style>
  <w:style w:type="paragraph" w:customStyle="1" w:styleId="462">
    <w:name w:val="xl258"/>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center"/>
    </w:pPr>
    <w:rPr>
      <w:rFonts w:ascii="宋体" w:hAnsi="宋体" w:cs="宋体"/>
      <w:b/>
      <w:bCs/>
      <w:kern w:val="0"/>
      <w:sz w:val="18"/>
      <w:szCs w:val="18"/>
    </w:rPr>
  </w:style>
  <w:style w:type="paragraph" w:customStyle="1" w:styleId="463">
    <w:name w:val="表格内容1"/>
    <w:basedOn w:val="1"/>
    <w:qFormat/>
    <w:uiPriority w:val="0"/>
    <w:pPr>
      <w:spacing w:line="360" w:lineRule="auto"/>
      <w:ind w:firstLine="200" w:firstLineChars="200"/>
    </w:pPr>
    <w:rPr>
      <w:rFonts w:ascii="宋体"/>
      <w:sz w:val="24"/>
      <w:szCs w:val="20"/>
    </w:rPr>
  </w:style>
  <w:style w:type="paragraph" w:customStyle="1" w:styleId="464">
    <w:name w:val="xl260"/>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center"/>
    </w:pPr>
    <w:rPr>
      <w:rFonts w:ascii="宋体" w:hAnsi="宋体" w:cs="宋体"/>
      <w:b/>
      <w:bCs/>
      <w:color w:val="000000"/>
      <w:kern w:val="0"/>
      <w:sz w:val="18"/>
      <w:szCs w:val="18"/>
    </w:rPr>
  </w:style>
  <w:style w:type="paragraph" w:customStyle="1" w:styleId="465">
    <w:name w:val="Char Char Char Char Char Char1 Char Char Char Char Char Char Char Char Char Char Char Char Char Char Char Char Char"/>
    <w:basedOn w:val="1"/>
    <w:qFormat/>
    <w:uiPriority w:val="0"/>
    <w:pPr>
      <w:widowControl/>
      <w:spacing w:after="160" w:line="240" w:lineRule="exact"/>
      <w:ind w:firstLine="200" w:firstLineChars="200"/>
      <w:jc w:val="left"/>
    </w:pPr>
    <w:rPr>
      <w:rFonts w:ascii="Verdana" w:hAnsi="Verdana" w:eastAsia="仿宋_GB2312"/>
      <w:sz w:val="24"/>
      <w:lang w:eastAsia="en-US"/>
    </w:rPr>
  </w:style>
  <w:style w:type="paragraph" w:customStyle="1" w:styleId="466">
    <w:name w:val="表文"/>
    <w:basedOn w:val="5"/>
    <w:qFormat/>
    <w:uiPriority w:val="0"/>
    <w:pPr>
      <w:autoSpaceDE/>
      <w:autoSpaceDN/>
      <w:snapToGrid w:val="0"/>
      <w:spacing w:line="360" w:lineRule="auto"/>
      <w:ind w:firstLine="0" w:firstLineChars="200"/>
      <w:jc w:val="both"/>
    </w:pPr>
    <w:rPr>
      <w:rFonts w:ascii="Tahoma" w:hAnsi="Tahoma"/>
      <w:kern w:val="2"/>
      <w:szCs w:val="24"/>
    </w:rPr>
  </w:style>
  <w:style w:type="paragraph" w:customStyle="1" w:styleId="467">
    <w:name w:val="xl272"/>
    <w:basedOn w:val="1"/>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center"/>
    </w:pPr>
    <w:rPr>
      <w:rFonts w:ascii="宋体" w:hAnsi="宋体" w:cs="宋体"/>
      <w:b/>
      <w:bCs/>
      <w:kern w:val="0"/>
      <w:sz w:val="18"/>
      <w:szCs w:val="18"/>
    </w:rPr>
  </w:style>
  <w:style w:type="paragraph" w:customStyle="1" w:styleId="468">
    <w:name w:val="xl273"/>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center"/>
    </w:pPr>
    <w:rPr>
      <w:rFonts w:ascii="宋体" w:hAnsi="宋体" w:cs="宋体"/>
      <w:b/>
      <w:bCs/>
      <w:kern w:val="0"/>
      <w:sz w:val="18"/>
      <w:szCs w:val="18"/>
    </w:rPr>
  </w:style>
  <w:style w:type="paragraph" w:customStyle="1" w:styleId="469">
    <w:name w:val="@"/>
    <w:basedOn w:val="470"/>
    <w:qFormat/>
    <w:uiPriority w:val="0"/>
    <w:pPr>
      <w:tabs>
        <w:tab w:val="left" w:pos="964"/>
      </w:tabs>
      <w:ind w:firstLine="200" w:firstLineChars="200"/>
    </w:pPr>
  </w:style>
  <w:style w:type="paragraph" w:customStyle="1" w:styleId="470">
    <w:name w:val="1)"/>
    <w:basedOn w:val="1"/>
    <w:qFormat/>
    <w:uiPriority w:val="0"/>
    <w:pPr>
      <w:tabs>
        <w:tab w:val="left" w:pos="964"/>
      </w:tabs>
      <w:spacing w:line="360" w:lineRule="auto"/>
      <w:ind w:left="964" w:hanging="482"/>
    </w:pPr>
    <w:rPr>
      <w:sz w:val="24"/>
    </w:rPr>
  </w:style>
  <w:style w:type="paragraph" w:customStyle="1" w:styleId="471">
    <w:name w:val="图中文字"/>
    <w:basedOn w:val="1"/>
    <w:qFormat/>
    <w:uiPriority w:val="0"/>
    <w:pPr>
      <w:widowControl/>
      <w:spacing w:line="360" w:lineRule="auto"/>
      <w:ind w:firstLine="200" w:firstLineChars="200"/>
      <w:jc w:val="center"/>
    </w:pPr>
    <w:rPr>
      <w:rFonts w:eastAsia="仿宋_GB2312"/>
      <w:bCs/>
      <w:sz w:val="24"/>
      <w:szCs w:val="20"/>
    </w:rPr>
  </w:style>
  <w:style w:type="paragraph" w:customStyle="1" w:styleId="472">
    <w:name w:val="xl407"/>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center"/>
    </w:pPr>
    <w:rPr>
      <w:rFonts w:ascii="宋体" w:hAnsi="宋体" w:cs="宋体"/>
      <w:b/>
      <w:bCs/>
      <w:kern w:val="0"/>
      <w:sz w:val="20"/>
      <w:szCs w:val="20"/>
    </w:rPr>
  </w:style>
  <w:style w:type="paragraph" w:customStyle="1" w:styleId="473">
    <w:name w:val="项目下文字"/>
    <w:basedOn w:val="407"/>
    <w:qFormat/>
    <w:uiPriority w:val="0"/>
    <w:pPr>
      <w:tabs>
        <w:tab w:val="left" w:pos="840"/>
        <w:tab w:val="clear" w:pos="907"/>
      </w:tabs>
      <w:ind w:left="840" w:hanging="360"/>
    </w:pPr>
  </w:style>
  <w:style w:type="paragraph" w:customStyle="1" w:styleId="474">
    <w:name w:val="xl4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color w:val="000000"/>
      <w:kern w:val="0"/>
      <w:sz w:val="20"/>
      <w:szCs w:val="20"/>
    </w:rPr>
  </w:style>
  <w:style w:type="paragraph" w:customStyle="1" w:styleId="475">
    <w:name w:val="q6"/>
    <w:basedOn w:val="9"/>
    <w:qFormat/>
    <w:uiPriority w:val="0"/>
    <w:pPr>
      <w:tabs>
        <w:tab w:val="left" w:pos="0"/>
      </w:tabs>
      <w:spacing w:before="0" w:after="0" w:line="360" w:lineRule="auto"/>
      <w:ind w:left="1152" w:hanging="1152"/>
      <w:jc w:val="left"/>
    </w:pPr>
    <w:rPr>
      <w:rFonts w:ascii="黑体" w:hAnsi="黑体"/>
      <w:kern w:val="2"/>
      <w:sz w:val="21"/>
      <w:szCs w:val="21"/>
    </w:rPr>
  </w:style>
  <w:style w:type="paragraph" w:customStyle="1" w:styleId="476">
    <w:name w:val="xl4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kern w:val="0"/>
      <w:sz w:val="20"/>
      <w:szCs w:val="20"/>
    </w:rPr>
  </w:style>
  <w:style w:type="paragraph" w:customStyle="1" w:styleId="477">
    <w:name w:val="Char Char Char1"/>
    <w:basedOn w:val="1"/>
    <w:qFormat/>
    <w:uiPriority w:val="0"/>
    <w:pPr>
      <w:spacing w:line="360" w:lineRule="auto"/>
      <w:ind w:firstLine="200" w:firstLineChars="200"/>
    </w:pPr>
    <w:rPr>
      <w:sz w:val="24"/>
    </w:rPr>
  </w:style>
  <w:style w:type="paragraph" w:customStyle="1" w:styleId="478">
    <w:name w:val="#"/>
    <w:basedOn w:val="469"/>
    <w:qFormat/>
    <w:uiPriority w:val="0"/>
  </w:style>
  <w:style w:type="paragraph" w:customStyle="1" w:styleId="479">
    <w:name w:val="!封面大标题（小初黑）"/>
    <w:next w:val="454"/>
    <w:qFormat/>
    <w:uiPriority w:val="0"/>
    <w:pPr>
      <w:jc w:val="center"/>
    </w:pPr>
    <w:rPr>
      <w:rFonts w:ascii="Times New Roman" w:hAnsi="Times New Roman" w:eastAsia="黑体" w:cs="Times New Roman"/>
      <w:kern w:val="2"/>
      <w:sz w:val="72"/>
      <w:szCs w:val="72"/>
      <w:lang w:val="en-US" w:eastAsia="zh-CN" w:bidi="ar-SA"/>
    </w:rPr>
  </w:style>
  <w:style w:type="paragraph" w:customStyle="1" w:styleId="480">
    <w:name w:val="Char31"/>
    <w:basedOn w:val="1"/>
    <w:qFormat/>
    <w:uiPriority w:val="0"/>
    <w:pPr>
      <w:widowControl/>
      <w:spacing w:after="160" w:line="240" w:lineRule="exact"/>
      <w:ind w:firstLine="200" w:firstLineChars="200"/>
      <w:jc w:val="left"/>
    </w:pPr>
    <w:rPr>
      <w:rFonts w:ascii="Verdana" w:hAnsi="Verdana"/>
      <w:kern w:val="0"/>
      <w:sz w:val="20"/>
      <w:szCs w:val="20"/>
      <w:lang w:eastAsia="en-US"/>
    </w:rPr>
  </w:style>
  <w:style w:type="paragraph" w:customStyle="1" w:styleId="481">
    <w:name w:val="xl264"/>
    <w:basedOn w:val="1"/>
    <w:qFormat/>
    <w:uiPriority w:val="0"/>
    <w:pPr>
      <w:widowControl/>
      <w:spacing w:before="100" w:beforeAutospacing="1" w:after="100" w:afterAutospacing="1" w:line="360" w:lineRule="auto"/>
      <w:ind w:firstLine="200" w:firstLineChars="200"/>
      <w:jc w:val="center"/>
    </w:pPr>
    <w:rPr>
      <w:rFonts w:ascii="宋体" w:hAnsi="宋体" w:cs="宋体"/>
      <w:kern w:val="0"/>
      <w:sz w:val="18"/>
      <w:szCs w:val="18"/>
    </w:rPr>
  </w:style>
  <w:style w:type="paragraph" w:customStyle="1" w:styleId="482">
    <w:name w:val="xl27"/>
    <w:basedOn w:val="1"/>
    <w:qFormat/>
    <w:uiPriority w:val="0"/>
    <w:pPr>
      <w:widowControl/>
      <w:pBdr>
        <w:top w:val="single" w:color="auto" w:sz="4" w:space="0"/>
        <w:bottom w:val="single" w:color="auto" w:sz="4" w:space="0"/>
        <w:right w:val="single" w:color="auto" w:sz="4" w:space="0"/>
      </w:pBdr>
      <w:spacing w:before="100" w:beforeAutospacing="1" w:after="100" w:afterAutospacing="1" w:line="360" w:lineRule="auto"/>
      <w:ind w:firstLine="200" w:firstLineChars="200"/>
    </w:pPr>
    <w:rPr>
      <w:rFonts w:ascii="Arial Unicode MS" w:hAnsi="Arial Unicode MS" w:eastAsia="Arial Unicode MS" w:cs="Arial Unicode MS"/>
      <w:kern w:val="0"/>
      <w:sz w:val="24"/>
    </w:rPr>
  </w:style>
  <w:style w:type="paragraph" w:customStyle="1" w:styleId="483">
    <w:name w:val="xl265"/>
    <w:basedOn w:val="1"/>
    <w:qFormat/>
    <w:uiPriority w:val="0"/>
    <w:pPr>
      <w:widowControl/>
      <w:spacing w:before="100" w:beforeAutospacing="1" w:after="100" w:afterAutospacing="1" w:line="360" w:lineRule="auto"/>
      <w:ind w:firstLine="200" w:firstLineChars="200"/>
      <w:jc w:val="left"/>
    </w:pPr>
    <w:rPr>
      <w:rFonts w:ascii="宋体" w:hAnsi="宋体" w:cs="宋体"/>
      <w:color w:val="0000FF"/>
      <w:kern w:val="0"/>
      <w:sz w:val="18"/>
      <w:szCs w:val="18"/>
    </w:rPr>
  </w:style>
  <w:style w:type="paragraph" w:customStyle="1" w:styleId="484">
    <w:name w:val="xl2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kern w:val="0"/>
      <w:sz w:val="18"/>
      <w:szCs w:val="18"/>
    </w:rPr>
  </w:style>
  <w:style w:type="paragraph" w:customStyle="1" w:styleId="485">
    <w:name w:val="xl2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b/>
      <w:bCs/>
      <w:kern w:val="0"/>
      <w:sz w:val="18"/>
      <w:szCs w:val="18"/>
    </w:rPr>
  </w:style>
  <w:style w:type="paragraph" w:customStyle="1" w:styleId="486">
    <w:name w:val="二级节标题"/>
    <w:next w:val="1"/>
    <w:qFormat/>
    <w:uiPriority w:val="0"/>
    <w:pPr>
      <w:tabs>
        <w:tab w:val="left" w:pos="672"/>
        <w:tab w:val="left" w:pos="1191"/>
      </w:tabs>
      <w:spacing w:before="240" w:after="240" w:line="400" w:lineRule="atLeast"/>
      <w:ind w:left="851" w:hanging="738"/>
      <w:outlineLvl w:val="2"/>
    </w:pPr>
    <w:rPr>
      <w:rFonts w:ascii="Arial" w:hAnsi="Arial" w:eastAsia="宋体" w:cs="Times New Roman"/>
      <w:b/>
      <w:sz w:val="30"/>
      <w:szCs w:val="30"/>
      <w:lang w:val="en-US" w:eastAsia="zh-CN" w:bidi="ar-SA"/>
    </w:rPr>
  </w:style>
  <w:style w:type="paragraph" w:customStyle="1" w:styleId="487">
    <w:name w:val="Char1"/>
    <w:basedOn w:val="1"/>
    <w:next w:val="1"/>
    <w:qFormat/>
    <w:uiPriority w:val="99"/>
    <w:pPr>
      <w:widowControl/>
      <w:spacing w:after="160" w:line="240" w:lineRule="exact"/>
      <w:jc w:val="left"/>
    </w:pPr>
    <w:rPr>
      <w:rFonts w:ascii="Verdana" w:hAnsi="Verdana" w:eastAsia="仿宋_GB2312"/>
      <w:kern w:val="0"/>
      <w:sz w:val="20"/>
      <w:szCs w:val="20"/>
      <w:lang w:eastAsia="en-US"/>
    </w:rPr>
  </w:style>
  <w:style w:type="paragraph" w:customStyle="1" w:styleId="488">
    <w:name w:val="he"/>
    <w:basedOn w:val="1"/>
    <w:next w:val="1"/>
    <w:qFormat/>
    <w:uiPriority w:val="0"/>
    <w:pPr>
      <w:keepNext/>
      <w:keepLines/>
      <w:widowControl/>
      <w:spacing w:before="340" w:after="330"/>
      <w:jc w:val="center"/>
      <w:outlineLvl w:val="0"/>
    </w:pPr>
    <w:rPr>
      <w:rFonts w:ascii="宋体" w:hAnsi="宋体" w:eastAsia="黑体"/>
      <w:b/>
      <w:bCs/>
      <w:kern w:val="44"/>
      <w:sz w:val="44"/>
      <w:szCs w:val="44"/>
      <w:lang w:bidi="en-US"/>
    </w:rPr>
  </w:style>
  <w:style w:type="paragraph" w:customStyle="1" w:styleId="489">
    <w:name w:val="WW-正文文本缩进 3"/>
    <w:basedOn w:val="1"/>
    <w:qFormat/>
    <w:uiPriority w:val="0"/>
    <w:pPr>
      <w:suppressAutoHyphens/>
      <w:spacing w:line="360" w:lineRule="auto"/>
      <w:ind w:left="2" w:firstLine="482"/>
    </w:pPr>
    <w:rPr>
      <w:rFonts w:hint="eastAsia" w:ascii="宋体" w:hAnsi="宋体"/>
      <w:sz w:val="24"/>
      <w:lang w:val="zh-CN" w:eastAsia="ar-SA"/>
    </w:rPr>
  </w:style>
  <w:style w:type="paragraph" w:customStyle="1" w:styleId="490">
    <w:name w:val="SANGFOR_6_1级编号"/>
    <w:basedOn w:val="1"/>
    <w:qFormat/>
    <w:uiPriority w:val="0"/>
    <w:pPr>
      <w:tabs>
        <w:tab w:val="left" w:pos="0"/>
      </w:tabs>
    </w:pPr>
  </w:style>
  <w:style w:type="paragraph" w:customStyle="1" w:styleId="491">
    <w:name w:val="FA正文"/>
    <w:basedOn w:val="1"/>
    <w:qFormat/>
    <w:uiPriority w:val="0"/>
    <w:pPr>
      <w:tabs>
        <w:tab w:val="left" w:pos="960"/>
      </w:tabs>
      <w:ind w:left="960"/>
    </w:pPr>
    <w:rPr>
      <w:rFonts w:hAnsi="宋体" w:cs="宋体"/>
      <w:sz w:val="24"/>
      <w:szCs w:val="21"/>
    </w:rPr>
  </w:style>
  <w:style w:type="paragraph" w:customStyle="1" w:styleId="492">
    <w:name w:val="xl24"/>
    <w:basedOn w:val="1"/>
    <w:qFormat/>
    <w:uiPriority w:val="0"/>
    <w:pPr>
      <w:widowControl/>
      <w:spacing w:before="100" w:after="100"/>
      <w:jc w:val="center"/>
      <w:textAlignment w:val="center"/>
    </w:pPr>
    <w:rPr>
      <w:rFonts w:ascii="宋体" w:hAnsi="宋体"/>
      <w:kern w:val="0"/>
      <w:sz w:val="24"/>
      <w:szCs w:val="20"/>
    </w:rPr>
  </w:style>
  <w:style w:type="paragraph" w:customStyle="1" w:styleId="493">
    <w:name w:val="xl92"/>
    <w:basedOn w:val="1"/>
    <w:qFormat/>
    <w:uiPriority w:val="0"/>
    <w:pPr>
      <w:widowControl/>
      <w:pBdr>
        <w:top w:val="single" w:color="auto" w:sz="4" w:space="0"/>
        <w:bottom w:val="single" w:color="auto" w:sz="4" w:space="0"/>
        <w:right w:val="single" w:color="auto" w:sz="4" w:space="0"/>
      </w:pBdr>
      <w:spacing w:beforeAutospacing="1" w:afterAutospacing="1"/>
      <w:jc w:val="center"/>
    </w:pPr>
    <w:rPr>
      <w:rFonts w:ascii="华文中宋" w:hAnsi="华文中宋" w:eastAsia="华文中宋" w:cs="华文中宋"/>
      <w:kern w:val="0"/>
      <w:sz w:val="20"/>
      <w:szCs w:val="20"/>
    </w:rPr>
  </w:style>
  <w:style w:type="paragraph" w:customStyle="1" w:styleId="494">
    <w:name w:val="首行缩进"/>
    <w:qFormat/>
    <w:uiPriority w:val="0"/>
    <w:pPr>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495">
    <w:name w:val="文档正文"/>
    <w:basedOn w:val="1"/>
    <w:qFormat/>
    <w:uiPriority w:val="0"/>
    <w:pPr>
      <w:suppressAutoHyphens/>
      <w:spacing w:line="360" w:lineRule="auto"/>
      <w:ind w:firstLine="560"/>
      <w:jc w:val="left"/>
    </w:pPr>
    <w:rPr>
      <w:rFonts w:eastAsia="仿宋_GB2312"/>
      <w:sz w:val="28"/>
      <w:szCs w:val="20"/>
      <w:lang w:eastAsia="ar-SA"/>
    </w:rPr>
  </w:style>
  <w:style w:type="paragraph" w:customStyle="1" w:styleId="496">
    <w:name w:val="p17"/>
    <w:basedOn w:val="1"/>
    <w:qFormat/>
    <w:uiPriority w:val="0"/>
    <w:pPr>
      <w:widowControl/>
    </w:pPr>
    <w:rPr>
      <w:kern w:val="0"/>
      <w:szCs w:val="21"/>
    </w:rPr>
  </w:style>
  <w:style w:type="paragraph" w:customStyle="1" w:styleId="497">
    <w:name w:val="样式 题注 + (西文) 宋体 五号 加粗 段前: 2.4 磅 段后: 2.4 磅 行距: 1.5 倍行距"/>
    <w:basedOn w:val="21"/>
    <w:qFormat/>
    <w:uiPriority w:val="0"/>
    <w:pPr>
      <w:suppressAutoHyphens w:val="0"/>
      <w:spacing w:before="48" w:after="48" w:line="360" w:lineRule="auto"/>
    </w:pPr>
    <w:rPr>
      <w:rFonts w:ascii="宋体" w:hAnsi="宋体" w:cs="宋体"/>
      <w:b/>
      <w:bCs/>
      <w:kern w:val="0"/>
      <w:sz w:val="24"/>
    </w:rPr>
  </w:style>
  <w:style w:type="paragraph" w:customStyle="1" w:styleId="498">
    <w:name w:val="Char Char Char Char Char Char"/>
    <w:basedOn w:val="1"/>
    <w:qFormat/>
    <w:uiPriority w:val="0"/>
    <w:pPr>
      <w:adjustRightInd w:val="0"/>
      <w:spacing w:line="360" w:lineRule="auto"/>
    </w:pPr>
    <w:rPr>
      <w:kern w:val="0"/>
      <w:sz w:val="24"/>
      <w:szCs w:val="20"/>
    </w:rPr>
  </w:style>
  <w:style w:type="paragraph" w:customStyle="1" w:styleId="499">
    <w:name w:val="图标"/>
    <w:basedOn w:val="1"/>
    <w:next w:val="1"/>
    <w:qFormat/>
    <w:uiPriority w:val="0"/>
    <w:pPr>
      <w:tabs>
        <w:tab w:val="left" w:pos="567"/>
      </w:tabs>
      <w:autoSpaceDE w:val="0"/>
      <w:autoSpaceDN w:val="0"/>
      <w:adjustRightInd w:val="0"/>
      <w:snapToGrid w:val="0"/>
      <w:spacing w:before="120" w:after="120" w:line="320" w:lineRule="atLeast"/>
      <w:jc w:val="center"/>
      <w:textAlignment w:val="baseline"/>
    </w:pPr>
    <w:rPr>
      <w:rFonts w:eastAsia="仿宋_GB2312"/>
      <w:kern w:val="0"/>
      <w:sz w:val="24"/>
    </w:rPr>
  </w:style>
  <w:style w:type="paragraph" w:customStyle="1" w:styleId="500">
    <w:name w:val="样式 标题 1 + 黑体 三号 非加粗 居中 段前: 6 磅 段后: 6 磅 行距: 固定值 20 磅"/>
    <w:basedOn w:val="3"/>
    <w:qFormat/>
    <w:uiPriority w:val="0"/>
    <w:pPr>
      <w:autoSpaceDE/>
      <w:autoSpaceDN/>
      <w:adjustRightInd/>
      <w:spacing w:before="120" w:line="400" w:lineRule="exact"/>
    </w:pPr>
    <w:rPr>
      <w:rFonts w:ascii="黑体" w:hAnsi="黑体" w:eastAsia="黑体" w:cs="宋体"/>
      <w:b w:val="0"/>
    </w:rPr>
  </w:style>
  <w:style w:type="paragraph" w:customStyle="1" w:styleId="501">
    <w:name w:val="XW正文"/>
    <w:basedOn w:val="32"/>
    <w:qFormat/>
    <w:uiPriority w:val="0"/>
    <w:pPr>
      <w:adjustRightInd w:val="0"/>
      <w:snapToGrid w:val="0"/>
      <w:spacing w:line="300" w:lineRule="auto"/>
      <w:ind w:firstLine="520" w:firstLineChars="200"/>
      <w:jc w:val="left"/>
    </w:pPr>
    <w:rPr>
      <w:sz w:val="21"/>
    </w:rPr>
  </w:style>
  <w:style w:type="paragraph" w:customStyle="1" w:styleId="502">
    <w:name w:val="Char"/>
    <w:basedOn w:val="1"/>
    <w:qFormat/>
    <w:uiPriority w:val="0"/>
    <w:pPr>
      <w:suppressAutoHyphens/>
    </w:pPr>
    <w:rPr>
      <w:rFonts w:ascii="Tahoma" w:hAnsi="Tahoma"/>
      <w:sz w:val="24"/>
      <w:szCs w:val="20"/>
      <w:lang w:eastAsia="ar-SA"/>
    </w:rPr>
  </w:style>
  <w:style w:type="paragraph" w:customStyle="1" w:styleId="503">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504">
    <w:name w:val="列表1"/>
    <w:basedOn w:val="1"/>
    <w:qFormat/>
    <w:uiPriority w:val="0"/>
    <w:pPr>
      <w:tabs>
        <w:tab w:val="left" w:pos="360"/>
      </w:tabs>
      <w:spacing w:line="328" w:lineRule="auto"/>
      <w:ind w:left="360" w:hanging="360"/>
      <w:jc w:val="center"/>
    </w:pPr>
    <w:rPr>
      <w:rFonts w:ascii="宋体" w:hAnsi="宋体"/>
      <w:sz w:val="24"/>
      <w:szCs w:val="44"/>
    </w:rPr>
  </w:style>
  <w:style w:type="paragraph" w:customStyle="1" w:styleId="505">
    <w:name w:val="评标报告_标题-国际"/>
    <w:basedOn w:val="6"/>
    <w:next w:val="1"/>
    <w:qFormat/>
    <w:uiPriority w:val="99"/>
    <w:pPr>
      <w:autoSpaceDE/>
      <w:autoSpaceDN/>
      <w:adjustRightInd/>
      <w:spacing w:before="0" w:after="0" w:line="440" w:lineRule="exact"/>
      <w:jc w:val="both"/>
    </w:pPr>
    <w:rPr>
      <w:rFonts w:ascii="仿宋_GB2312" w:cs="仿宋_GB2312"/>
      <w:bCs/>
      <w:kern w:val="2"/>
      <w:szCs w:val="24"/>
      <w:u w:val="none"/>
    </w:rPr>
  </w:style>
  <w:style w:type="paragraph" w:customStyle="1" w:styleId="506">
    <w:name w:val="正文缩进1"/>
    <w:basedOn w:val="1"/>
    <w:qFormat/>
    <w:uiPriority w:val="0"/>
    <w:pPr>
      <w:autoSpaceDE w:val="0"/>
      <w:autoSpaceDN w:val="0"/>
      <w:adjustRightInd w:val="0"/>
      <w:ind w:firstLine="420"/>
      <w:jc w:val="left"/>
    </w:pPr>
    <w:rPr>
      <w:rFonts w:ascii="宋体"/>
      <w:kern w:val="0"/>
      <w:sz w:val="24"/>
      <w:szCs w:val="20"/>
    </w:rPr>
  </w:style>
  <w:style w:type="paragraph" w:customStyle="1" w:styleId="507">
    <w:name w:val="MM Topic 6"/>
    <w:basedOn w:val="9"/>
    <w:qFormat/>
    <w:uiPriority w:val="0"/>
    <w:pPr>
      <w:spacing w:line="319" w:lineRule="auto"/>
      <w:ind w:firstLine="200" w:firstLineChars="200"/>
    </w:pPr>
  </w:style>
  <w:style w:type="paragraph" w:customStyle="1" w:styleId="508">
    <w:name w:val="底端对齐"/>
    <w:basedOn w:val="1"/>
    <w:next w:val="1"/>
    <w:qFormat/>
    <w:uiPriority w:val="0"/>
    <w:pPr>
      <w:textAlignment w:val="bottom"/>
    </w:pPr>
    <w:rPr>
      <w:rFonts w:ascii="宋体" w:hAnsi="宋体"/>
      <w:szCs w:val="21"/>
    </w:rPr>
  </w:style>
  <w:style w:type="paragraph" w:customStyle="1" w:styleId="509">
    <w:name w:val="xl91"/>
    <w:basedOn w:val="1"/>
    <w:qFormat/>
    <w:uiPriority w:val="0"/>
    <w:pPr>
      <w:widowControl/>
      <w:pBdr>
        <w:top w:val="single" w:color="auto" w:sz="4" w:space="0"/>
        <w:left w:val="single" w:color="auto" w:sz="4" w:space="0"/>
        <w:bottom w:val="single" w:color="auto" w:sz="4" w:space="0"/>
      </w:pBdr>
      <w:spacing w:beforeAutospacing="1" w:afterAutospacing="1"/>
      <w:jc w:val="center"/>
    </w:pPr>
    <w:rPr>
      <w:rFonts w:ascii="华文中宋" w:hAnsi="华文中宋" w:eastAsia="华文中宋" w:cs="华文中宋"/>
      <w:kern w:val="0"/>
      <w:sz w:val="20"/>
      <w:szCs w:val="20"/>
    </w:rPr>
  </w:style>
  <w:style w:type="paragraph" w:customStyle="1" w:styleId="510">
    <w:name w:val="p0"/>
    <w:basedOn w:val="1"/>
    <w:qFormat/>
    <w:uiPriority w:val="0"/>
    <w:pPr>
      <w:widowControl/>
    </w:pPr>
    <w:rPr>
      <w:kern w:val="0"/>
      <w:szCs w:val="21"/>
    </w:rPr>
  </w:style>
  <w:style w:type="paragraph" w:customStyle="1" w:styleId="511">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512">
    <w:name w:val="样式 标题 3 + (中文) 黑体 小四 非加粗 段前: 7.8 磅 段后: 0 磅 行距: 固定值 20 磅"/>
    <w:basedOn w:val="6"/>
    <w:qFormat/>
    <w:uiPriority w:val="0"/>
    <w:pPr>
      <w:autoSpaceDE/>
      <w:autoSpaceDN/>
      <w:adjustRightInd/>
      <w:spacing w:before="0" w:after="0" w:line="400" w:lineRule="exact"/>
      <w:jc w:val="both"/>
    </w:pPr>
    <w:rPr>
      <w:rFonts w:ascii="Times New Roman" w:eastAsia="黑体"/>
      <w:b w:val="0"/>
      <w:kern w:val="2"/>
      <w:u w:val="none"/>
    </w:rPr>
  </w:style>
  <w:style w:type="paragraph" w:customStyle="1" w:styleId="513">
    <w:name w:val="2"/>
    <w:basedOn w:val="1"/>
    <w:qFormat/>
    <w:uiPriority w:val="0"/>
  </w:style>
  <w:style w:type="paragraph" w:customStyle="1" w:styleId="514">
    <w:name w:val="Char Char13"/>
    <w:basedOn w:val="26"/>
    <w:qFormat/>
    <w:uiPriority w:val="0"/>
    <w:rPr>
      <w:rFonts w:ascii="Tahoma" w:hAnsi="Tahoma"/>
      <w:sz w:val="24"/>
    </w:rPr>
  </w:style>
  <w:style w:type="paragraph" w:customStyle="1" w:styleId="515">
    <w:name w:val="列表段落1"/>
    <w:qFormat/>
    <w:uiPriority w:val="34"/>
    <w:pPr>
      <w:ind w:firstLine="420" w:firstLineChars="200"/>
    </w:pPr>
    <w:rPr>
      <w:rFonts w:ascii="Times New Roman" w:hAnsi="Times New Roman" w:eastAsia="宋体" w:cs="Times New Roman"/>
      <w:lang w:val="en-US" w:eastAsia="zh-CN" w:bidi="ar-SA"/>
    </w:rPr>
  </w:style>
  <w:style w:type="paragraph" w:customStyle="1" w:styleId="516">
    <w:name w:val="样式 右侧:  0.05 厘米 段前: 2 磅 段后: 2 磅"/>
    <w:basedOn w:val="1"/>
    <w:qFormat/>
    <w:uiPriority w:val="0"/>
    <w:pPr>
      <w:ind w:right="28" w:firstLine="420"/>
    </w:pPr>
  </w:style>
  <w:style w:type="paragraph" w:customStyle="1" w:styleId="517">
    <w:name w:val="代码"/>
    <w:basedOn w:val="1"/>
    <w:qFormat/>
    <w:uiPriority w:val="0"/>
    <w:pPr>
      <w:spacing w:beforeLines="50" w:afterLines="50"/>
      <w:ind w:left="960" w:leftChars="400"/>
    </w:pPr>
    <w:rPr>
      <w:rFonts w:ascii="Courier New" w:hAnsi="Courier New" w:eastAsia="楷体_GB2312"/>
      <w:szCs w:val="21"/>
    </w:rPr>
  </w:style>
  <w:style w:type="paragraph" w:customStyle="1" w:styleId="518">
    <w:name w:val="1"/>
    <w:basedOn w:val="1"/>
    <w:next w:val="42"/>
    <w:qFormat/>
    <w:uiPriority w:val="0"/>
    <w:rPr>
      <w:rFonts w:ascii="宋体" w:hAnsi="Courier New"/>
      <w:szCs w:val="20"/>
    </w:rPr>
  </w:style>
  <w:style w:type="paragraph" w:customStyle="1" w:styleId="519">
    <w:name w:val="列出段落1"/>
    <w:basedOn w:val="1"/>
    <w:qFormat/>
    <w:uiPriority w:val="0"/>
    <w:pPr>
      <w:ind w:firstLine="420" w:firstLineChars="200"/>
    </w:pPr>
    <w:rPr>
      <w:rFonts w:ascii="Calibri" w:hAnsi="Calibri"/>
      <w:szCs w:val="22"/>
    </w:rPr>
  </w:style>
  <w:style w:type="paragraph" w:customStyle="1" w:styleId="520">
    <w:name w:val="3"/>
    <w:basedOn w:val="1"/>
    <w:qFormat/>
    <w:uiPriority w:val="0"/>
    <w:rPr>
      <w:szCs w:val="20"/>
    </w:rPr>
  </w:style>
  <w:style w:type="paragraph" w:customStyle="1" w:styleId="521">
    <w:name w:val="1."/>
    <w:basedOn w:val="1"/>
    <w:qFormat/>
    <w:uiPriority w:val="0"/>
    <w:pPr>
      <w:spacing w:line="360" w:lineRule="auto"/>
    </w:pPr>
    <w:rPr>
      <w:sz w:val="24"/>
    </w:rPr>
  </w:style>
  <w:style w:type="paragraph" w:customStyle="1" w:styleId="522">
    <w:name w:val="MM Topic 5"/>
    <w:basedOn w:val="8"/>
    <w:qFormat/>
    <w:uiPriority w:val="0"/>
    <w:pPr>
      <w:suppressAutoHyphens w:val="0"/>
      <w:spacing w:line="374" w:lineRule="auto"/>
      <w:ind w:left="0" w:firstLine="200" w:firstLineChars="200"/>
    </w:pPr>
    <w:rPr>
      <w:rFonts w:ascii="Times New Roman" w:hAnsi="Times New Roman"/>
    </w:rPr>
  </w:style>
  <w:style w:type="paragraph" w:customStyle="1" w:styleId="523">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Autospacing="1" w:afterAutospacing="1"/>
      <w:jc w:val="center"/>
    </w:pPr>
    <w:rPr>
      <w:rFonts w:ascii="华文中宋" w:hAnsi="华文中宋" w:eastAsia="华文中宋" w:cs="华文中宋"/>
      <w:b/>
      <w:bCs/>
      <w:kern w:val="0"/>
      <w:sz w:val="24"/>
    </w:rPr>
  </w:style>
  <w:style w:type="paragraph" w:customStyle="1" w:styleId="524">
    <w:name w:val="图片"/>
    <w:basedOn w:val="1"/>
    <w:next w:val="151"/>
    <w:qFormat/>
    <w:uiPriority w:val="0"/>
    <w:pPr>
      <w:jc w:val="center"/>
    </w:pPr>
    <w:rPr>
      <w:rFonts w:cs="宋体"/>
      <w:sz w:val="24"/>
    </w:rPr>
  </w:style>
  <w:style w:type="paragraph" w:customStyle="1" w:styleId="525">
    <w:name w:val="默认段落字体 Para Char Char Char Char Char Char Char"/>
    <w:basedOn w:val="26"/>
    <w:qFormat/>
    <w:uiPriority w:val="0"/>
    <w:pPr>
      <w:adjustRightInd w:val="0"/>
      <w:spacing w:line="436" w:lineRule="exact"/>
      <w:ind w:left="357"/>
      <w:jc w:val="left"/>
      <w:outlineLvl w:val="3"/>
    </w:pPr>
    <w:rPr>
      <w:rFonts w:eastAsia="Times New Roman"/>
      <w:szCs w:val="20"/>
    </w:rPr>
  </w:style>
  <w:style w:type="paragraph" w:customStyle="1" w:styleId="526">
    <w:name w:val="第一章"/>
    <w:basedOn w:val="1"/>
    <w:qFormat/>
    <w:uiPriority w:val="0"/>
    <w:pPr>
      <w:pageBreakBefore/>
      <w:spacing w:afterLines="100" w:line="360" w:lineRule="auto"/>
      <w:ind w:firstLine="200" w:firstLineChars="200"/>
      <w:jc w:val="left"/>
    </w:pPr>
    <w:rPr>
      <w:rFonts w:eastAsia="黑体"/>
      <w:b/>
      <w:sz w:val="32"/>
    </w:rPr>
  </w:style>
  <w:style w:type="paragraph" w:customStyle="1" w:styleId="527">
    <w:name w:val="Char Char111"/>
    <w:basedOn w:val="26"/>
    <w:qFormat/>
    <w:uiPriority w:val="0"/>
    <w:rPr>
      <w:rFonts w:ascii="Tahoma" w:hAnsi="Tahoma"/>
      <w:sz w:val="24"/>
    </w:rPr>
  </w:style>
  <w:style w:type="paragraph" w:customStyle="1" w:styleId="528">
    <w:name w:val="xl76"/>
    <w:basedOn w:val="1"/>
    <w:qFormat/>
    <w:uiPriority w:val="0"/>
    <w:pPr>
      <w:widowControl/>
      <w:pBdr>
        <w:left w:val="single" w:color="auto" w:sz="4" w:space="0"/>
        <w:bottom w:val="single" w:color="auto" w:sz="4" w:space="0"/>
        <w:right w:val="single" w:color="auto" w:sz="4" w:space="0"/>
      </w:pBdr>
      <w:shd w:val="clear" w:color="000000" w:fill="99CCFF"/>
      <w:spacing w:beforeAutospacing="1" w:afterAutospacing="1"/>
      <w:jc w:val="left"/>
    </w:pPr>
    <w:rPr>
      <w:rFonts w:ascii="华文中宋" w:hAnsi="华文中宋" w:eastAsia="华文中宋" w:cs="华文中宋"/>
      <w:b/>
      <w:bCs/>
      <w:color w:val="FF0000"/>
      <w:kern w:val="0"/>
      <w:sz w:val="24"/>
    </w:rPr>
  </w:style>
  <w:style w:type="paragraph" w:customStyle="1" w:styleId="529">
    <w:name w:val="style4"/>
    <w:basedOn w:val="1"/>
    <w:qFormat/>
    <w:uiPriority w:val="0"/>
    <w:pPr>
      <w:widowControl/>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530">
    <w:name w:val="Pa4"/>
    <w:basedOn w:val="1"/>
    <w:next w:val="1"/>
    <w:qFormat/>
    <w:uiPriority w:val="0"/>
    <w:pPr>
      <w:autoSpaceDE w:val="0"/>
      <w:autoSpaceDN w:val="0"/>
      <w:adjustRightInd w:val="0"/>
      <w:spacing w:before="80" w:line="140" w:lineRule="auto"/>
      <w:jc w:val="left"/>
    </w:pPr>
    <w:rPr>
      <w:rFonts w:ascii="Helvetica-Condensed-Bold" w:eastAsia="Helvetica-Condensed-Bold"/>
      <w:kern w:val="0"/>
      <w:sz w:val="20"/>
    </w:rPr>
  </w:style>
  <w:style w:type="paragraph" w:customStyle="1" w:styleId="531">
    <w:name w:val="Char Char Char Char Char Char Char Char Char 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532">
    <w:name w:val="chap"/>
    <w:basedOn w:val="1"/>
    <w:qFormat/>
    <w:uiPriority w:val="0"/>
    <w:pPr>
      <w:widowControl/>
      <w:ind w:right="-30"/>
    </w:pPr>
    <w:rPr>
      <w:rFonts w:ascii="Arial" w:hAnsi="Arial"/>
      <w:b/>
      <w:caps/>
      <w:kern w:val="0"/>
      <w:sz w:val="24"/>
      <w:szCs w:val="20"/>
      <w:lang w:val="fr-FR" w:eastAsia="fr-FR"/>
    </w:rPr>
  </w:style>
  <w:style w:type="paragraph" w:customStyle="1" w:styleId="533">
    <w:name w:val="xl77"/>
    <w:basedOn w:val="1"/>
    <w:qFormat/>
    <w:uiPriority w:val="0"/>
    <w:pPr>
      <w:widowControl/>
      <w:pBdr>
        <w:top w:val="single" w:color="auto" w:sz="4" w:space="0"/>
        <w:left w:val="single" w:color="auto" w:sz="4" w:space="0"/>
        <w:bottom w:val="single" w:color="auto" w:sz="4" w:space="0"/>
      </w:pBdr>
      <w:spacing w:beforeAutospacing="1" w:afterAutospacing="1"/>
      <w:jc w:val="center"/>
    </w:pPr>
    <w:rPr>
      <w:rFonts w:ascii="华文中宋" w:hAnsi="华文中宋" w:eastAsia="华文中宋" w:cs="华文中宋"/>
      <w:kern w:val="0"/>
      <w:sz w:val="20"/>
      <w:szCs w:val="20"/>
    </w:rPr>
  </w:style>
  <w:style w:type="paragraph" w:customStyle="1" w:styleId="534">
    <w:name w:val="样式 宋体 加粗 首行缩进:  0.74 厘米 行距: 1.5 倍行距"/>
    <w:basedOn w:val="1"/>
    <w:qFormat/>
    <w:uiPriority w:val="0"/>
    <w:pPr>
      <w:ind w:firstLine="420"/>
    </w:pPr>
    <w:rPr>
      <w:rFonts w:ascii="宋体" w:hAnsi="宋体" w:cs="宋体"/>
      <w:b/>
      <w:bCs/>
      <w:spacing w:val="4"/>
      <w:sz w:val="24"/>
    </w:rPr>
  </w:style>
  <w:style w:type="paragraph" w:customStyle="1" w:styleId="535">
    <w:name w:val="Char Char Char Char"/>
    <w:basedOn w:val="1"/>
    <w:qFormat/>
    <w:uiPriority w:val="0"/>
    <w:pPr>
      <w:widowControl/>
      <w:spacing w:after="160" w:line="240" w:lineRule="exact"/>
      <w:jc w:val="left"/>
    </w:pPr>
    <w:rPr>
      <w:szCs w:val="20"/>
    </w:rPr>
  </w:style>
  <w:style w:type="paragraph" w:customStyle="1" w:styleId="536">
    <w:name w:val="样式2"/>
    <w:basedOn w:val="1"/>
    <w:qFormat/>
    <w:uiPriority w:val="0"/>
    <w:pPr>
      <w:spacing w:beforeLines="50" w:afterLines="50"/>
      <w:ind w:left="420"/>
    </w:pPr>
    <w:rPr>
      <w:sz w:val="24"/>
    </w:rPr>
  </w:style>
  <w:style w:type="paragraph" w:customStyle="1" w:styleId="537">
    <w:name w:val="表格文字"/>
    <w:basedOn w:val="1"/>
    <w:qFormat/>
    <w:uiPriority w:val="0"/>
    <w:pPr>
      <w:adjustRightInd w:val="0"/>
      <w:spacing w:line="420" w:lineRule="atLeast"/>
      <w:jc w:val="left"/>
      <w:textAlignment w:val="baseline"/>
    </w:pPr>
    <w:rPr>
      <w:kern w:val="0"/>
      <w:szCs w:val="20"/>
    </w:rPr>
  </w:style>
  <w:style w:type="paragraph" w:customStyle="1" w:styleId="53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539">
    <w:name w:val="样式一"/>
    <w:basedOn w:val="1"/>
    <w:qFormat/>
    <w:uiPriority w:val="0"/>
    <w:pPr>
      <w:autoSpaceDE w:val="0"/>
      <w:autoSpaceDN w:val="0"/>
      <w:adjustRightInd w:val="0"/>
      <w:spacing w:line="360" w:lineRule="auto"/>
      <w:textAlignment w:val="baseline"/>
    </w:pPr>
    <w:rPr>
      <w:rFonts w:ascii="宋体" w:hAnsi="宋体"/>
      <w:kern w:val="0"/>
      <w:sz w:val="24"/>
      <w:szCs w:val="20"/>
      <w:lang w:val="en-GB"/>
    </w:rPr>
  </w:style>
  <w:style w:type="paragraph" w:customStyle="1" w:styleId="540">
    <w:name w:val="Char Char1 Char Char Char Char Char Char Char"/>
    <w:basedOn w:val="1"/>
    <w:qFormat/>
    <w:uiPriority w:val="0"/>
    <w:rPr>
      <w:rFonts w:ascii="Tahoma" w:hAnsi="Tahoma"/>
      <w:sz w:val="24"/>
      <w:szCs w:val="20"/>
    </w:rPr>
  </w:style>
  <w:style w:type="paragraph" w:customStyle="1" w:styleId="541">
    <w:name w:val="标题2"/>
    <w:basedOn w:val="4"/>
    <w:qFormat/>
    <w:uiPriority w:val="0"/>
    <w:pPr>
      <w:widowControl/>
      <w:autoSpaceDE/>
      <w:autoSpaceDN/>
      <w:adjustRightInd/>
      <w:spacing w:before="260" w:after="260" w:line="360" w:lineRule="auto"/>
      <w:ind w:left="426"/>
    </w:pPr>
    <w:rPr>
      <w:rFonts w:ascii="Times New Roman" w:hAnsi="Times New Roman" w:eastAsia="宋体"/>
      <w:bCs/>
      <w:sz w:val="36"/>
      <w:szCs w:val="36"/>
      <w:lang w:bidi="en-US"/>
    </w:rPr>
  </w:style>
  <w:style w:type="paragraph" w:customStyle="1" w:styleId="542">
    <w:name w:val="样式 正文缩进 + 首行缩进:  2.06 字符"/>
    <w:basedOn w:val="5"/>
    <w:qFormat/>
    <w:uiPriority w:val="0"/>
    <w:pPr>
      <w:autoSpaceDE/>
      <w:autoSpaceDN/>
      <w:adjustRightInd/>
      <w:spacing w:line="360" w:lineRule="auto"/>
      <w:ind w:right="31" w:rightChars="15" w:firstLine="433" w:firstLineChars="206"/>
      <w:jc w:val="both"/>
    </w:pPr>
    <w:rPr>
      <w:rFonts w:hAnsi="宋体" w:cs="宋体"/>
      <w:kern w:val="2"/>
    </w:rPr>
  </w:style>
  <w:style w:type="paragraph" w:customStyle="1" w:styleId="543">
    <w:name w:val="Char Char Char Char Char Char1 Char"/>
    <w:basedOn w:val="1"/>
    <w:qFormat/>
    <w:uiPriority w:val="0"/>
    <w:pPr>
      <w:widowControl/>
      <w:wordWrap w:val="0"/>
      <w:jc w:val="left"/>
    </w:pPr>
    <w:rPr>
      <w:rFonts w:ascii="Tahoma" w:hAnsi="Tahoma"/>
      <w:sz w:val="24"/>
      <w:szCs w:val="20"/>
    </w:rPr>
  </w:style>
  <w:style w:type="paragraph" w:customStyle="1" w:styleId="544">
    <w:name w:val="字元 字元"/>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45">
    <w:name w:val="xl78"/>
    <w:basedOn w:val="1"/>
    <w:qFormat/>
    <w:uiPriority w:val="0"/>
    <w:pPr>
      <w:widowControl/>
      <w:spacing w:beforeAutospacing="1" w:afterAutospacing="1"/>
      <w:jc w:val="center"/>
    </w:pPr>
    <w:rPr>
      <w:rFonts w:ascii="华文中宋" w:hAnsi="华文中宋" w:eastAsia="华文中宋" w:cs="华文中宋"/>
      <w:kern w:val="0"/>
      <w:sz w:val="20"/>
      <w:szCs w:val="20"/>
    </w:rPr>
  </w:style>
  <w:style w:type="paragraph" w:customStyle="1" w:styleId="546">
    <w:name w:val="纯文本1"/>
    <w:basedOn w:val="1"/>
    <w:qFormat/>
    <w:uiPriority w:val="0"/>
    <w:rPr>
      <w:rFonts w:ascii="宋体" w:hAnsi="Courier New"/>
      <w:szCs w:val="20"/>
    </w:rPr>
  </w:style>
  <w:style w:type="paragraph" w:customStyle="1" w:styleId="547">
    <w:name w:val="xl9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pPr>
    <w:rPr>
      <w:rFonts w:ascii="华文中宋" w:hAnsi="华文中宋" w:eastAsia="华文中宋" w:cs="华文中宋"/>
      <w:kern w:val="0"/>
      <w:sz w:val="20"/>
      <w:szCs w:val="20"/>
    </w:rPr>
  </w:style>
  <w:style w:type="paragraph" w:customStyle="1" w:styleId="548">
    <w:name w:val="样式 标题 2 + Times New Roman 四号 非加粗 段前: 5 磅 段后: 0 磅 行距: 固定值 20..."/>
    <w:basedOn w:val="4"/>
    <w:qFormat/>
    <w:uiPriority w:val="0"/>
    <w:pPr>
      <w:autoSpaceDE/>
      <w:autoSpaceDN/>
      <w:adjustRightInd/>
      <w:spacing w:before="100" w:line="400" w:lineRule="exact"/>
      <w:jc w:val="both"/>
    </w:pPr>
    <w:rPr>
      <w:rFonts w:ascii="Times New Roman" w:hAnsi="Times New Roman" w:cs="宋体"/>
      <w:b w:val="0"/>
      <w:kern w:val="2"/>
      <w:sz w:val="28"/>
    </w:rPr>
  </w:style>
  <w:style w:type="paragraph" w:customStyle="1" w:styleId="549">
    <w:name w:val="xl85"/>
    <w:basedOn w:val="1"/>
    <w:qFormat/>
    <w:uiPriority w:val="0"/>
    <w:pPr>
      <w:widowControl/>
      <w:pBdr>
        <w:top w:val="single" w:color="auto" w:sz="4" w:space="0"/>
        <w:left w:val="single" w:color="auto" w:sz="4" w:space="0"/>
        <w:right w:val="single" w:color="auto" w:sz="4" w:space="0"/>
      </w:pBdr>
      <w:spacing w:beforeAutospacing="1" w:afterAutospacing="1"/>
      <w:jc w:val="left"/>
    </w:pPr>
    <w:rPr>
      <w:rFonts w:ascii="华文中宋" w:hAnsi="华文中宋" w:eastAsia="华文中宋" w:cs="华文中宋"/>
      <w:kern w:val="0"/>
      <w:sz w:val="20"/>
      <w:szCs w:val="20"/>
    </w:rPr>
  </w:style>
  <w:style w:type="paragraph" w:customStyle="1" w:styleId="550">
    <w:name w:val="Char111"/>
    <w:basedOn w:val="1"/>
    <w:qFormat/>
    <w:uiPriority w:val="0"/>
    <w:rPr>
      <w:rFonts w:ascii="Tahoma" w:hAnsi="Tahoma"/>
      <w:sz w:val="24"/>
      <w:szCs w:val="20"/>
    </w:rPr>
  </w:style>
  <w:style w:type="paragraph" w:customStyle="1" w:styleId="551">
    <w:name w:val="金安桥正文"/>
    <w:basedOn w:val="32"/>
    <w:qFormat/>
    <w:uiPriority w:val="0"/>
    <w:pPr>
      <w:adjustRightInd w:val="0"/>
      <w:spacing w:line="300" w:lineRule="auto"/>
      <w:ind w:firstLine="200" w:firstLineChars="200"/>
      <w:jc w:val="left"/>
    </w:pPr>
    <w:rPr>
      <w:szCs w:val="20"/>
    </w:rPr>
  </w:style>
  <w:style w:type="paragraph" w:customStyle="1" w:styleId="552">
    <w:name w:val="Revision"/>
    <w:qFormat/>
    <w:uiPriority w:val="99"/>
    <w:rPr>
      <w:rFonts w:ascii="Times New Roman" w:hAnsi="Times New Roman" w:eastAsia="宋体" w:cs="Times New Roman"/>
      <w:kern w:val="2"/>
      <w:sz w:val="21"/>
      <w:szCs w:val="24"/>
      <w:lang w:val="en-US" w:eastAsia="zh-CN" w:bidi="ar-SA"/>
    </w:rPr>
  </w:style>
  <w:style w:type="paragraph" w:customStyle="1" w:styleId="553">
    <w:name w:val="TOC Heading"/>
    <w:basedOn w:val="3"/>
    <w:next w:val="1"/>
    <w:qFormat/>
    <w:uiPriority w:val="39"/>
    <w:pPr>
      <w:widowControl/>
      <w:autoSpaceDE/>
      <w:autoSpaceDN/>
      <w:adjustRightInd/>
      <w:spacing w:before="480" w:after="0" w:line="276" w:lineRule="auto"/>
      <w:jc w:val="left"/>
      <w:outlineLvl w:val="9"/>
    </w:pPr>
    <w:rPr>
      <w:rFonts w:ascii="Cambria" w:hAnsi="Cambria"/>
      <w:bCs/>
      <w:color w:val="365F91"/>
      <w:kern w:val="0"/>
      <w:sz w:val="28"/>
      <w:szCs w:val="28"/>
    </w:rPr>
  </w:style>
  <w:style w:type="paragraph" w:customStyle="1" w:styleId="554">
    <w:name w:val="Normal_0"/>
    <w:qFormat/>
    <w:uiPriority w:val="0"/>
    <w:pPr>
      <w:spacing w:before="120" w:after="240"/>
      <w:jc w:val="both"/>
    </w:pPr>
    <w:rPr>
      <w:rFonts w:ascii="Calibri" w:hAnsi="Calibri" w:eastAsia="Calibri" w:cs="Times New Roman"/>
      <w:sz w:val="22"/>
      <w:szCs w:val="22"/>
      <w:lang w:val="ru-RU" w:eastAsia="en-US" w:bidi="ar-SA"/>
    </w:rPr>
  </w:style>
  <w:style w:type="paragraph" w:customStyle="1" w:styleId="555">
    <w:name w:val="Style Heading 2 + Line spacing:  1.5 lines"/>
    <w:basedOn w:val="4"/>
    <w:qFormat/>
    <w:uiPriority w:val="0"/>
    <w:pPr>
      <w:autoSpaceDE/>
      <w:autoSpaceDN/>
      <w:adjustRightInd/>
      <w:spacing w:after="120" w:line="360" w:lineRule="auto"/>
    </w:pPr>
    <w:rPr>
      <w:bCs/>
      <w:kern w:val="2"/>
      <w:sz w:val="32"/>
      <w:szCs w:val="32"/>
    </w:rPr>
  </w:style>
  <w:style w:type="paragraph" w:customStyle="1" w:styleId="556">
    <w:name w:val="列出段落2"/>
    <w:basedOn w:val="1"/>
    <w:qFormat/>
    <w:uiPriority w:val="0"/>
    <w:pPr>
      <w:ind w:firstLine="420"/>
    </w:pPr>
    <w:rPr>
      <w:kern w:val="0"/>
      <w:sz w:val="24"/>
    </w:rPr>
  </w:style>
  <w:style w:type="paragraph" w:customStyle="1" w:styleId="557">
    <w:name w:val="xl2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cs="宋体"/>
      <w:b/>
      <w:bCs/>
      <w:color w:val="000000"/>
      <w:kern w:val="0"/>
      <w:sz w:val="18"/>
      <w:szCs w:val="18"/>
    </w:rPr>
  </w:style>
  <w:style w:type="paragraph" w:customStyle="1" w:styleId="558">
    <w:name w:val="font5"/>
    <w:basedOn w:val="1"/>
    <w:qFormat/>
    <w:uiPriority w:val="0"/>
    <w:pPr>
      <w:widowControl/>
      <w:spacing w:beforeAutospacing="1" w:afterAutospacing="1"/>
      <w:jc w:val="left"/>
    </w:pPr>
    <w:rPr>
      <w:rFonts w:ascii="宋体" w:hAnsi="宋体" w:cs="宋体"/>
      <w:kern w:val="0"/>
      <w:sz w:val="18"/>
      <w:szCs w:val="18"/>
    </w:rPr>
  </w:style>
  <w:style w:type="paragraph" w:customStyle="1" w:styleId="559">
    <w:name w:val="xl87"/>
    <w:basedOn w:val="1"/>
    <w:qFormat/>
    <w:uiPriority w:val="0"/>
    <w:pPr>
      <w:widowControl/>
      <w:spacing w:beforeAutospacing="1" w:afterAutospacing="1"/>
      <w:jc w:val="center"/>
    </w:pPr>
    <w:rPr>
      <w:rFonts w:ascii="华文中宋" w:hAnsi="华文中宋" w:eastAsia="华文中宋" w:cs="华文中宋"/>
      <w:b/>
      <w:bCs/>
      <w:kern w:val="0"/>
      <w:sz w:val="30"/>
      <w:szCs w:val="30"/>
    </w:rPr>
  </w:style>
  <w:style w:type="paragraph" w:customStyle="1" w:styleId="560">
    <w:name w:val="Char Char Char Char11"/>
    <w:basedOn w:val="1"/>
    <w:qFormat/>
    <w:uiPriority w:val="0"/>
    <w:rPr>
      <w:szCs w:val="21"/>
    </w:rPr>
  </w:style>
  <w:style w:type="paragraph" w:customStyle="1" w:styleId="561">
    <w:name w:val="图标号"/>
    <w:basedOn w:val="195"/>
    <w:qFormat/>
    <w:uiPriority w:val="0"/>
    <w:pPr>
      <w:ind w:firstLine="0" w:firstLineChars="0"/>
      <w:jc w:val="center"/>
    </w:pPr>
    <w:rPr>
      <w:rFonts w:ascii="Calibri" w:hAnsi="Calibri" w:eastAsia="仿宋_GB2312"/>
      <w:kern w:val="0"/>
      <w:szCs w:val="21"/>
    </w:rPr>
  </w:style>
  <w:style w:type="paragraph" w:customStyle="1" w:styleId="562">
    <w:name w:val="修订1"/>
    <w:qFormat/>
    <w:uiPriority w:val="99"/>
    <w:rPr>
      <w:rFonts w:ascii="Times New Roman" w:hAnsi="Times New Roman" w:eastAsia="宋体" w:cs="Times New Roman"/>
      <w:kern w:val="2"/>
      <w:sz w:val="21"/>
      <w:szCs w:val="24"/>
      <w:lang w:val="en-US" w:eastAsia="zh-CN" w:bidi="ar-SA"/>
    </w:rPr>
  </w:style>
  <w:style w:type="paragraph" w:customStyle="1" w:styleId="563">
    <w:name w:val="xl2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right"/>
    </w:pPr>
    <w:rPr>
      <w:rFonts w:ascii="宋体" w:hAnsi="宋体" w:cs="宋体"/>
      <w:color w:val="000000"/>
      <w:kern w:val="0"/>
      <w:sz w:val="18"/>
      <w:szCs w:val="18"/>
    </w:rPr>
  </w:style>
  <w:style w:type="paragraph" w:customStyle="1" w:styleId="564">
    <w:name w:val="Indent 1"/>
    <w:basedOn w:val="1"/>
    <w:qFormat/>
    <w:uiPriority w:val="99"/>
    <w:pPr>
      <w:widowControl/>
      <w:spacing w:line="260" w:lineRule="atLeast"/>
      <w:ind w:left="454" w:hanging="454"/>
      <w:jc w:val="left"/>
    </w:pPr>
    <w:rPr>
      <w:rFonts w:ascii="Arial" w:hAnsi="Arial" w:cs="Arial"/>
      <w:kern w:val="0"/>
      <w:sz w:val="22"/>
      <w:szCs w:val="22"/>
      <w:lang w:eastAsia="en-US"/>
    </w:rPr>
  </w:style>
  <w:style w:type="paragraph" w:customStyle="1" w:styleId="565">
    <w:name w:val="样式 标题 4H4Ref Heading 1rh1Heading sqlsect 1.2.3.4h4First S...2"/>
    <w:basedOn w:val="7"/>
    <w:qFormat/>
    <w:uiPriority w:val="0"/>
    <w:pPr>
      <w:tabs>
        <w:tab w:val="left" w:pos="1080"/>
      </w:tabs>
      <w:spacing w:before="0" w:beforeLines="50" w:after="163" w:line="360" w:lineRule="auto"/>
      <w:ind w:left="1180" w:hanging="1180"/>
    </w:pPr>
    <w:rPr>
      <w:rFonts w:ascii="Arial Black" w:hAnsi="Arial Black" w:eastAsia="宋体" w:cs="宋体"/>
      <w:bCs w:val="0"/>
      <w:color w:val="365F91"/>
      <w:kern w:val="2"/>
      <w:szCs w:val="20"/>
    </w:rPr>
  </w:style>
  <w:style w:type="paragraph" w:customStyle="1" w:styleId="566">
    <w:name w:val="ePMS正文"/>
    <w:basedOn w:val="1"/>
    <w:qFormat/>
    <w:uiPriority w:val="0"/>
    <w:pPr>
      <w:widowControl/>
      <w:spacing w:line="360" w:lineRule="auto"/>
      <w:ind w:firstLine="200" w:firstLineChars="200"/>
      <w:jc w:val="left"/>
    </w:pPr>
    <w:rPr>
      <w:kern w:val="0"/>
      <w:sz w:val="24"/>
      <w:szCs w:val="20"/>
      <w:lang w:val="en-AU"/>
    </w:rPr>
  </w:style>
  <w:style w:type="paragraph" w:customStyle="1" w:styleId="567">
    <w:name w:val="q4"/>
    <w:basedOn w:val="7"/>
    <w:qFormat/>
    <w:uiPriority w:val="0"/>
    <w:pPr>
      <w:tabs>
        <w:tab w:val="left" w:pos="0"/>
      </w:tabs>
      <w:spacing w:before="0" w:beforeLines="50" w:after="163" w:line="360" w:lineRule="auto"/>
      <w:ind w:left="810"/>
    </w:pPr>
    <w:rPr>
      <w:rFonts w:ascii="宋体" w:hAnsi="宋体" w:eastAsia="宋体"/>
      <w:b w:val="0"/>
      <w:color w:val="365F91"/>
      <w:kern w:val="2"/>
      <w:szCs w:val="24"/>
    </w:rPr>
  </w:style>
  <w:style w:type="paragraph" w:customStyle="1" w:styleId="568">
    <w:name w:val="并列样式"/>
    <w:basedOn w:val="1"/>
    <w:qFormat/>
    <w:uiPriority w:val="0"/>
    <w:pPr>
      <w:spacing w:before="60" w:after="60" w:line="360" w:lineRule="auto"/>
      <w:ind w:firstLine="200" w:firstLineChars="200"/>
    </w:pPr>
    <w:rPr>
      <w:sz w:val="24"/>
      <w:szCs w:val="20"/>
    </w:rPr>
  </w:style>
  <w:style w:type="paragraph" w:customStyle="1" w:styleId="569">
    <w:name w:val="样式"/>
    <w:qFormat/>
    <w:uiPriority w:val="99"/>
    <w:rPr>
      <w:rFonts w:ascii="Times New Roman" w:hAnsi="Times New Roman" w:eastAsia="宋体" w:cs="Times New Roman"/>
      <w:kern w:val="2"/>
      <w:sz w:val="21"/>
      <w:szCs w:val="21"/>
      <w:lang w:val="en-US" w:eastAsia="zh-CN" w:bidi="ar-SA"/>
    </w:rPr>
  </w:style>
  <w:style w:type="paragraph" w:customStyle="1" w:styleId="570">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pPr>
    <w:rPr>
      <w:rFonts w:ascii="Arial Unicode MS" w:hAnsi="Arial Unicode MS"/>
      <w:color w:val="FF0000"/>
      <w:kern w:val="0"/>
      <w:sz w:val="20"/>
      <w:szCs w:val="20"/>
    </w:rPr>
  </w:style>
  <w:style w:type="paragraph" w:customStyle="1" w:styleId="571">
    <w:name w:val="title2"/>
    <w:basedOn w:val="1"/>
    <w:qFormat/>
    <w:uiPriority w:val="0"/>
    <w:pPr>
      <w:widowControl/>
      <w:spacing w:before="100" w:beforeAutospacing="1" w:after="100" w:afterAutospacing="1" w:line="360" w:lineRule="auto"/>
      <w:ind w:firstLine="200" w:firstLineChars="200"/>
      <w:jc w:val="left"/>
    </w:pPr>
    <w:rPr>
      <w:rFonts w:ascii="宋体" w:hAnsi="宋体"/>
      <w:kern w:val="0"/>
      <w:sz w:val="24"/>
    </w:rPr>
  </w:style>
  <w:style w:type="paragraph" w:customStyle="1" w:styleId="572">
    <w:name w:val="xl6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pPr>
    <w:rPr>
      <w:rFonts w:ascii="华文中宋" w:hAnsi="华文中宋" w:eastAsia="华文中宋" w:cs="华文中宋"/>
      <w:kern w:val="0"/>
      <w:sz w:val="20"/>
      <w:szCs w:val="20"/>
    </w:rPr>
  </w:style>
  <w:style w:type="paragraph" w:customStyle="1" w:styleId="573">
    <w:name w:val="font8"/>
    <w:basedOn w:val="1"/>
    <w:qFormat/>
    <w:uiPriority w:val="0"/>
    <w:pPr>
      <w:widowControl/>
      <w:spacing w:before="100" w:beforeAutospacing="1" w:after="100" w:afterAutospacing="1" w:line="360" w:lineRule="auto"/>
      <w:ind w:firstLine="200" w:firstLineChars="200"/>
      <w:jc w:val="left"/>
    </w:pPr>
    <w:rPr>
      <w:rFonts w:hint="eastAsia" w:ascii="宋体" w:hAnsi="宋体"/>
      <w:kern w:val="0"/>
      <w:sz w:val="24"/>
      <w:szCs w:val="21"/>
    </w:rPr>
  </w:style>
  <w:style w:type="paragraph" w:customStyle="1" w:styleId="574">
    <w:name w:val="xl434"/>
    <w:basedOn w:val="1"/>
    <w:qFormat/>
    <w:uiPriority w:val="0"/>
    <w:pPr>
      <w:widowControl/>
      <w:spacing w:before="100" w:beforeAutospacing="1" w:after="100" w:afterAutospacing="1" w:line="360" w:lineRule="auto"/>
      <w:ind w:firstLine="200" w:firstLineChars="200"/>
      <w:jc w:val="center"/>
    </w:pPr>
    <w:rPr>
      <w:rFonts w:ascii="宋体" w:hAnsi="宋体" w:cs="宋体"/>
      <w:kern w:val="0"/>
      <w:sz w:val="20"/>
      <w:szCs w:val="20"/>
    </w:rPr>
  </w:style>
  <w:style w:type="paragraph" w:customStyle="1" w:styleId="575">
    <w:name w:val="xl2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color w:val="000000"/>
      <w:kern w:val="0"/>
      <w:sz w:val="18"/>
      <w:szCs w:val="18"/>
    </w:rPr>
  </w:style>
  <w:style w:type="paragraph" w:customStyle="1" w:styleId="576">
    <w:name w:val="xl6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pPr>
    <w:rPr>
      <w:rFonts w:ascii="华文中宋" w:hAnsi="华文中宋" w:eastAsia="华文中宋" w:cs="华文中宋"/>
      <w:kern w:val="0"/>
      <w:sz w:val="20"/>
      <w:szCs w:val="20"/>
    </w:rPr>
  </w:style>
  <w:style w:type="paragraph" w:customStyle="1" w:styleId="577">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right"/>
    </w:pPr>
    <w:rPr>
      <w:rFonts w:ascii="Arial Unicode MS" w:hAnsi="Arial Unicode MS"/>
      <w:kern w:val="0"/>
      <w:sz w:val="20"/>
      <w:szCs w:val="20"/>
    </w:rPr>
  </w:style>
  <w:style w:type="paragraph" w:customStyle="1" w:styleId="578">
    <w:name w:val="xl8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pPr>
    <w:rPr>
      <w:rFonts w:ascii="华文中宋" w:hAnsi="华文中宋" w:eastAsia="华文中宋" w:cs="华文中宋"/>
      <w:b/>
      <w:bCs/>
      <w:kern w:val="0"/>
      <w:szCs w:val="21"/>
    </w:rPr>
  </w:style>
  <w:style w:type="paragraph" w:customStyle="1" w:styleId="579">
    <w:name w:val="表头"/>
    <w:basedOn w:val="1"/>
    <w:qFormat/>
    <w:uiPriority w:val="0"/>
    <w:pPr>
      <w:jc w:val="center"/>
    </w:pPr>
    <w:rPr>
      <w:rFonts w:eastAsia="黑体"/>
      <w:b/>
      <w:bCs/>
      <w:szCs w:val="21"/>
    </w:rPr>
  </w:style>
  <w:style w:type="paragraph" w:customStyle="1" w:styleId="580">
    <w:name w:val="xl4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cs="宋体"/>
      <w:kern w:val="0"/>
      <w:sz w:val="20"/>
      <w:szCs w:val="20"/>
    </w:rPr>
  </w:style>
  <w:style w:type="paragraph" w:customStyle="1" w:styleId="581">
    <w:name w:val="TOC 标题1"/>
    <w:basedOn w:val="3"/>
    <w:next w:val="1"/>
    <w:qFormat/>
    <w:uiPriority w:val="99"/>
    <w:pPr>
      <w:autoSpaceDE/>
      <w:autoSpaceDN/>
      <w:adjustRightInd/>
      <w:spacing w:before="0" w:beforeLines="50" w:after="0" w:afterLines="50" w:line="360" w:lineRule="auto"/>
      <w:jc w:val="both"/>
      <w:outlineLvl w:val="9"/>
    </w:pPr>
    <w:rPr>
      <w:rFonts w:hAnsi="宋体"/>
      <w:bCs/>
      <w:sz w:val="36"/>
      <w:szCs w:val="36"/>
    </w:rPr>
  </w:style>
  <w:style w:type="paragraph" w:customStyle="1" w:styleId="582">
    <w:name w:val="xl64"/>
    <w:basedOn w:val="1"/>
    <w:qFormat/>
    <w:uiPriority w:val="0"/>
    <w:pPr>
      <w:widowControl/>
      <w:spacing w:beforeAutospacing="1" w:afterAutospacing="1"/>
      <w:jc w:val="center"/>
    </w:pPr>
    <w:rPr>
      <w:rFonts w:ascii="华文中宋" w:hAnsi="华文中宋" w:eastAsia="华文中宋" w:cs="华文中宋"/>
      <w:kern w:val="0"/>
      <w:sz w:val="24"/>
    </w:rPr>
  </w:style>
  <w:style w:type="paragraph" w:customStyle="1" w:styleId="583">
    <w:name w:val="reader-word-layer"/>
    <w:basedOn w:val="1"/>
    <w:qFormat/>
    <w:uiPriority w:val="99"/>
    <w:pPr>
      <w:widowControl/>
      <w:spacing w:before="100" w:beforeAutospacing="1" w:after="100" w:afterAutospacing="1"/>
      <w:jc w:val="left"/>
    </w:pPr>
    <w:rPr>
      <w:rFonts w:ascii="宋体" w:hAnsi="宋体" w:cs="宋体"/>
      <w:kern w:val="0"/>
      <w:sz w:val="24"/>
    </w:rPr>
  </w:style>
  <w:style w:type="paragraph" w:customStyle="1" w:styleId="584">
    <w:name w:val="样式 样式 小四 段前: 0.5 行 + 首行缩进:  2 字符"/>
    <w:basedOn w:val="1"/>
    <w:qFormat/>
    <w:uiPriority w:val="0"/>
    <w:pPr>
      <w:spacing w:beforeLines="50" w:line="360" w:lineRule="auto"/>
      <w:ind w:firstLine="480" w:firstLineChars="200"/>
    </w:pPr>
    <w:rPr>
      <w:rFonts w:cs="宋体"/>
      <w:sz w:val="24"/>
      <w:szCs w:val="20"/>
    </w:rPr>
  </w:style>
  <w:style w:type="paragraph" w:customStyle="1" w:styleId="585">
    <w:name w:val="xl255"/>
    <w:basedOn w:val="1"/>
    <w:qFormat/>
    <w:uiPriority w:val="0"/>
    <w:pPr>
      <w:widowControl/>
      <w:spacing w:before="100" w:beforeAutospacing="1" w:after="100" w:afterAutospacing="1" w:line="360" w:lineRule="auto"/>
      <w:ind w:firstLine="200" w:firstLineChars="200"/>
      <w:jc w:val="left"/>
    </w:pPr>
    <w:rPr>
      <w:rFonts w:ascii="宋体" w:hAnsi="宋体" w:cs="宋体"/>
      <w:b/>
      <w:bCs/>
      <w:kern w:val="0"/>
      <w:sz w:val="18"/>
      <w:szCs w:val="18"/>
    </w:rPr>
  </w:style>
  <w:style w:type="paragraph" w:customStyle="1" w:styleId="586">
    <w:name w:val="wmcz"/>
    <w:basedOn w:val="1"/>
    <w:qFormat/>
    <w:uiPriority w:val="0"/>
    <w:pPr>
      <w:widowControl/>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587">
    <w:name w:val="样式 标题 1H1PIM 1h1标书1第*部分第A章L1bocLevel 1 Topic HeadingHe..."/>
    <w:basedOn w:val="3"/>
    <w:qFormat/>
    <w:uiPriority w:val="0"/>
    <w:pPr>
      <w:tabs>
        <w:tab w:val="left" w:pos="0"/>
      </w:tabs>
      <w:autoSpaceDE/>
      <w:autoSpaceDN/>
      <w:adjustRightInd/>
      <w:spacing w:before="0" w:beforeLines="50" w:after="0" w:afterLines="50" w:line="360" w:lineRule="auto"/>
      <w:ind w:left="1440"/>
      <w:jc w:val="left"/>
    </w:pPr>
    <w:rPr>
      <w:rFonts w:ascii="Times New Roman" w:cs="宋体"/>
      <w:bCs/>
      <w:sz w:val="44"/>
    </w:rPr>
  </w:style>
  <w:style w:type="paragraph" w:customStyle="1" w:styleId="588">
    <w:name w:val="msolistparagraph"/>
    <w:basedOn w:val="1"/>
    <w:qFormat/>
    <w:uiPriority w:val="99"/>
    <w:pPr>
      <w:ind w:left="720"/>
    </w:pPr>
    <w:rPr>
      <w:szCs w:val="21"/>
    </w:rPr>
  </w:style>
  <w:style w:type="paragraph" w:customStyle="1" w:styleId="589">
    <w:name w:val="No. list"/>
    <w:basedOn w:val="1"/>
    <w:qFormat/>
    <w:uiPriority w:val="99"/>
    <w:pPr>
      <w:widowControl/>
      <w:tabs>
        <w:tab w:val="left" w:pos="1500"/>
      </w:tabs>
      <w:ind w:left="1500" w:hanging="420"/>
    </w:pPr>
    <w:rPr>
      <w:kern w:val="0"/>
      <w:sz w:val="24"/>
      <w:lang w:val="en-GB" w:eastAsia="en-US"/>
    </w:rPr>
  </w:style>
  <w:style w:type="paragraph" w:customStyle="1" w:styleId="590">
    <w:name w:val="xl237"/>
    <w:basedOn w:val="1"/>
    <w:qFormat/>
    <w:uiPriority w:val="0"/>
    <w:pPr>
      <w:widowControl/>
      <w:pBdr>
        <w:top w:val="single" w:color="auto" w:sz="4" w:space="0"/>
        <w:left w:val="single" w:color="auto" w:sz="4" w:space="0"/>
        <w:bottom w:val="single" w:color="auto" w:sz="4" w:space="0"/>
        <w:right w:val="single" w:color="auto" w:sz="4" w:space="0"/>
      </w:pBdr>
      <w:shd w:val="clear" w:color="000000" w:fill="33CCCC"/>
      <w:spacing w:before="100" w:beforeAutospacing="1" w:after="100" w:afterAutospacing="1" w:line="360" w:lineRule="auto"/>
      <w:ind w:firstLine="200" w:firstLineChars="200"/>
      <w:jc w:val="center"/>
    </w:pPr>
    <w:rPr>
      <w:rFonts w:ascii="宋体" w:hAnsi="宋体" w:cs="宋体"/>
      <w:b/>
      <w:bCs/>
      <w:color w:val="000000"/>
      <w:kern w:val="0"/>
      <w:sz w:val="18"/>
      <w:szCs w:val="18"/>
    </w:rPr>
  </w:style>
  <w:style w:type="paragraph" w:customStyle="1" w:styleId="591">
    <w:name w:val="xl4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cs="宋体"/>
      <w:kern w:val="0"/>
      <w:sz w:val="20"/>
      <w:szCs w:val="20"/>
    </w:rPr>
  </w:style>
  <w:style w:type="paragraph" w:customStyle="1" w:styleId="592">
    <w:name w:val="样式 Arial 小四 行距: 1.5 倍行距 首行缩进:  2 字符 Char Char"/>
    <w:qFormat/>
    <w:uiPriority w:val="99"/>
    <w:pPr>
      <w:spacing w:line="360" w:lineRule="auto"/>
      <w:ind w:firstLine="480" w:firstLineChars="200"/>
    </w:pPr>
    <w:rPr>
      <w:rFonts w:ascii="Arial" w:hAnsi="Arial" w:eastAsia="宋体" w:cs="Arial"/>
      <w:sz w:val="24"/>
      <w:szCs w:val="24"/>
      <w:lang w:val="en-US" w:eastAsia="zh-CN" w:bidi="ar-SA"/>
    </w:rPr>
  </w:style>
  <w:style w:type="paragraph" w:customStyle="1" w:styleId="59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594">
    <w:name w:val="Plain Text1"/>
    <w:basedOn w:val="1"/>
    <w:qFormat/>
    <w:uiPriority w:val="0"/>
    <w:pPr>
      <w:autoSpaceDE w:val="0"/>
      <w:autoSpaceDN w:val="0"/>
      <w:adjustRightInd w:val="0"/>
      <w:spacing w:line="312" w:lineRule="atLeast"/>
      <w:ind w:firstLine="200" w:firstLineChars="200"/>
      <w:textAlignment w:val="baseline"/>
    </w:pPr>
    <w:rPr>
      <w:rFonts w:ascii="宋体"/>
      <w:kern w:val="0"/>
      <w:sz w:val="24"/>
      <w:szCs w:val="20"/>
    </w:rPr>
  </w:style>
  <w:style w:type="paragraph" w:customStyle="1" w:styleId="595">
    <w:name w:val="xl234"/>
    <w:basedOn w:val="1"/>
    <w:qFormat/>
    <w:uiPriority w:val="0"/>
    <w:pPr>
      <w:widowControl/>
      <w:spacing w:before="100" w:beforeAutospacing="1" w:after="100" w:afterAutospacing="1" w:line="360" w:lineRule="auto"/>
      <w:ind w:firstLine="200" w:firstLineChars="200"/>
      <w:jc w:val="left"/>
    </w:pPr>
    <w:rPr>
      <w:rFonts w:ascii="仿宋_GB2312" w:hAnsi="宋体" w:eastAsia="仿宋_GB2312" w:cs="宋体"/>
      <w:b/>
      <w:bCs/>
      <w:kern w:val="0"/>
      <w:sz w:val="24"/>
    </w:rPr>
  </w:style>
  <w:style w:type="paragraph" w:customStyle="1" w:styleId="596">
    <w:name w:val="xl236"/>
    <w:basedOn w:val="1"/>
    <w:qFormat/>
    <w:uiPriority w:val="0"/>
    <w:pPr>
      <w:widowControl/>
      <w:spacing w:before="100" w:beforeAutospacing="1" w:after="100" w:afterAutospacing="1" w:line="360" w:lineRule="auto"/>
      <w:ind w:firstLine="200" w:firstLineChars="200"/>
      <w:jc w:val="left"/>
    </w:pPr>
    <w:rPr>
      <w:rFonts w:ascii="宋体" w:hAnsi="宋体" w:cs="宋体"/>
      <w:kern w:val="0"/>
      <w:sz w:val="18"/>
      <w:szCs w:val="18"/>
    </w:rPr>
  </w:style>
  <w:style w:type="paragraph" w:customStyle="1" w:styleId="597">
    <w:name w:val="xl239"/>
    <w:basedOn w:val="1"/>
    <w:qFormat/>
    <w:uiPriority w:val="0"/>
    <w:pPr>
      <w:widowControl/>
      <w:pBdr>
        <w:top w:val="single" w:color="auto" w:sz="4" w:space="0"/>
        <w:left w:val="single" w:color="auto" w:sz="4" w:space="0"/>
        <w:bottom w:val="single" w:color="auto" w:sz="4" w:space="0"/>
        <w:right w:val="single" w:color="auto" w:sz="4" w:space="0"/>
      </w:pBdr>
      <w:shd w:val="clear" w:color="000000" w:fill="33CCCC"/>
      <w:spacing w:before="100" w:beforeAutospacing="1" w:after="100" w:afterAutospacing="1" w:line="360" w:lineRule="auto"/>
      <w:ind w:firstLine="200" w:firstLineChars="200"/>
      <w:jc w:val="left"/>
    </w:pPr>
    <w:rPr>
      <w:rFonts w:ascii="宋体" w:hAnsi="宋体" w:cs="宋体"/>
      <w:b/>
      <w:bCs/>
      <w:kern w:val="0"/>
      <w:sz w:val="18"/>
      <w:szCs w:val="18"/>
    </w:rPr>
  </w:style>
  <w:style w:type="paragraph" w:customStyle="1" w:styleId="598">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Autospacing="1" w:afterAutospacing="1"/>
      <w:jc w:val="center"/>
    </w:pPr>
    <w:rPr>
      <w:rFonts w:ascii="华文中宋" w:hAnsi="华文中宋" w:eastAsia="华文中宋" w:cs="华文中宋"/>
      <w:kern w:val="0"/>
      <w:sz w:val="20"/>
      <w:szCs w:val="20"/>
    </w:rPr>
  </w:style>
  <w:style w:type="paragraph" w:customStyle="1" w:styleId="599">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Autospacing="1" w:afterAutospacing="1"/>
      <w:jc w:val="left"/>
    </w:pPr>
    <w:rPr>
      <w:rFonts w:ascii="华文中宋" w:hAnsi="华文中宋" w:eastAsia="华文中宋" w:cs="华文中宋"/>
      <w:kern w:val="0"/>
      <w:sz w:val="20"/>
      <w:szCs w:val="20"/>
    </w:rPr>
  </w:style>
  <w:style w:type="paragraph" w:customStyle="1" w:styleId="600">
    <w:name w:val="xl2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kern w:val="0"/>
      <w:sz w:val="18"/>
      <w:szCs w:val="18"/>
    </w:rPr>
  </w:style>
  <w:style w:type="paragraph" w:customStyle="1" w:styleId="601">
    <w:name w:val="xl411"/>
    <w:basedOn w:val="1"/>
    <w:qFormat/>
    <w:uiPriority w:val="0"/>
    <w:pPr>
      <w:widowControl/>
      <w:pBdr>
        <w:top w:val="single" w:color="auto" w:sz="4" w:space="0"/>
        <w:left w:val="single" w:color="auto" w:sz="4" w:space="0"/>
        <w:bottom w:val="single" w:color="auto" w:sz="4" w:space="0"/>
        <w:right w:val="single" w:color="auto" w:sz="4" w:space="0"/>
      </w:pBdr>
      <w:shd w:val="clear" w:color="000000" w:fill="33CCCC"/>
      <w:spacing w:before="100" w:beforeAutospacing="1" w:after="100" w:afterAutospacing="1" w:line="360" w:lineRule="auto"/>
      <w:ind w:firstLine="200" w:firstLineChars="200"/>
      <w:jc w:val="left"/>
    </w:pPr>
    <w:rPr>
      <w:rFonts w:ascii="宋体" w:hAnsi="宋体" w:cs="宋体"/>
      <w:b/>
      <w:bCs/>
      <w:color w:val="000000"/>
      <w:kern w:val="0"/>
      <w:sz w:val="20"/>
      <w:szCs w:val="20"/>
    </w:rPr>
  </w:style>
  <w:style w:type="paragraph" w:customStyle="1" w:styleId="602">
    <w:name w:val="王霞正文"/>
    <w:basedOn w:val="1"/>
    <w:qFormat/>
    <w:uiPriority w:val="99"/>
    <w:pPr>
      <w:ind w:left="420"/>
    </w:pPr>
    <w:rPr>
      <w:rFonts w:ascii="Calibri" w:hAnsi="Calibri" w:eastAsia="华文楷体" w:cs="Calibri"/>
      <w:sz w:val="28"/>
      <w:szCs w:val="28"/>
    </w:rPr>
  </w:style>
  <w:style w:type="paragraph" w:customStyle="1" w:styleId="603">
    <w:name w:val="页眉1"/>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604">
    <w:name w:val="标题首行"/>
    <w:basedOn w:val="1"/>
    <w:qFormat/>
    <w:uiPriority w:val="0"/>
    <w:pPr>
      <w:spacing w:line="360" w:lineRule="auto"/>
      <w:ind w:firstLine="200" w:firstLineChars="200"/>
      <w:jc w:val="center"/>
    </w:pPr>
    <w:rPr>
      <w:rFonts w:ascii="黑体" w:eastAsia="黑体" w:cs="宋体"/>
      <w:sz w:val="44"/>
      <w:szCs w:val="20"/>
    </w:rPr>
  </w:style>
  <w:style w:type="paragraph" w:customStyle="1" w:styleId="605">
    <w:name w:val="Char Char Char Char1"/>
    <w:basedOn w:val="1"/>
    <w:qFormat/>
    <w:uiPriority w:val="99"/>
    <w:pPr>
      <w:widowControl/>
      <w:spacing w:line="240" w:lineRule="exact"/>
      <w:jc w:val="left"/>
    </w:pPr>
    <w:rPr>
      <w:szCs w:val="21"/>
    </w:rPr>
  </w:style>
  <w:style w:type="paragraph" w:customStyle="1" w:styleId="606">
    <w:name w:val="xl63"/>
    <w:basedOn w:val="1"/>
    <w:qFormat/>
    <w:uiPriority w:val="0"/>
    <w:pPr>
      <w:widowControl/>
      <w:spacing w:beforeAutospacing="1" w:afterAutospacing="1"/>
      <w:jc w:val="left"/>
    </w:pPr>
    <w:rPr>
      <w:rFonts w:ascii="华文中宋" w:hAnsi="华文中宋" w:eastAsia="华文中宋" w:cs="华文中宋"/>
      <w:kern w:val="0"/>
      <w:sz w:val="20"/>
      <w:szCs w:val="20"/>
    </w:rPr>
  </w:style>
  <w:style w:type="paragraph" w:customStyle="1" w:styleId="607">
    <w:name w:val="样式 标题 2H2h2l22nd level2Header 2节Titre2Heading 2 Hidden..."/>
    <w:basedOn w:val="4"/>
    <w:qFormat/>
    <w:uiPriority w:val="0"/>
    <w:pPr>
      <w:tabs>
        <w:tab w:val="left" w:pos="540"/>
      </w:tabs>
      <w:autoSpaceDE/>
      <w:autoSpaceDN/>
      <w:adjustRightInd/>
      <w:spacing w:before="0" w:line="360" w:lineRule="auto"/>
      <w:ind w:left="1116" w:hanging="1116"/>
      <w:jc w:val="both"/>
    </w:pPr>
    <w:rPr>
      <w:rFonts w:ascii="仿宋_GB2312" w:hAnsi="宋体" w:eastAsia="仿宋_GB2312" w:cs="仿宋_GB2312"/>
      <w:bCs/>
      <w:sz w:val="24"/>
      <w:szCs w:val="24"/>
    </w:rPr>
  </w:style>
  <w:style w:type="paragraph" w:customStyle="1" w:styleId="608">
    <w:name w:val="Notes Text"/>
    <w:qFormat/>
    <w:uiPriority w:val="0"/>
    <w:pPr>
      <w:pBdr>
        <w:bottom w:val="single" w:color="auto" w:sz="8" w:space="5"/>
      </w:pBdr>
    </w:pPr>
    <w:rPr>
      <w:rFonts w:ascii="Arial" w:hAnsi="Arial" w:eastAsia="楷体_GB2312" w:cs="Times New Roman"/>
      <w:color w:val="000000"/>
      <w:sz w:val="21"/>
      <w:lang w:val="en-US" w:eastAsia="zh-CN" w:bidi="ar-SA"/>
    </w:rPr>
  </w:style>
  <w:style w:type="paragraph" w:customStyle="1" w:styleId="609">
    <w:name w:val="!beccList"/>
    <w:basedOn w:val="1"/>
    <w:qFormat/>
    <w:uiPriority w:val="0"/>
    <w:pPr>
      <w:tabs>
        <w:tab w:val="left" w:pos="0"/>
      </w:tabs>
      <w:spacing w:beforeLines="50" w:afterLines="50" w:line="360" w:lineRule="auto"/>
      <w:ind w:firstLine="200" w:firstLineChars="200"/>
    </w:pPr>
    <w:rPr>
      <w:sz w:val="24"/>
    </w:rPr>
  </w:style>
  <w:style w:type="paragraph" w:customStyle="1" w:styleId="610">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Autospacing="1" w:afterAutospacing="1"/>
      <w:jc w:val="left"/>
    </w:pPr>
    <w:rPr>
      <w:rFonts w:ascii="华文中宋" w:hAnsi="华文中宋" w:eastAsia="华文中宋" w:cs="华文中宋"/>
      <w:kern w:val="0"/>
      <w:sz w:val="20"/>
      <w:szCs w:val="20"/>
    </w:rPr>
  </w:style>
  <w:style w:type="paragraph" w:customStyle="1" w:styleId="611">
    <w:name w:val="xl4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kern w:val="0"/>
      <w:sz w:val="20"/>
      <w:szCs w:val="20"/>
    </w:rPr>
  </w:style>
  <w:style w:type="paragraph" w:customStyle="1" w:styleId="612">
    <w:name w:val="Text"/>
    <w:qFormat/>
    <w:uiPriority w:val="0"/>
    <w:pPr>
      <w:tabs>
        <w:tab w:val="left" w:pos="420"/>
        <w:tab w:val="left" w:pos="840"/>
        <w:tab w:val="left" w:pos="1260"/>
      </w:tabs>
      <w:adjustRightInd w:val="0"/>
      <w:snapToGrid w:val="0"/>
      <w:spacing w:beforeLines="75" w:afterLines="50" w:line="300" w:lineRule="auto"/>
      <w:ind w:firstLine="540" w:firstLineChars="225"/>
      <w:jc w:val="both"/>
    </w:pPr>
    <w:rPr>
      <w:rFonts w:ascii="仿宋_GB2312" w:hAnsi="Palatino Linotype" w:eastAsia="仿宋_GB2312" w:cs="Times New Roman"/>
      <w:sz w:val="24"/>
      <w:szCs w:val="22"/>
      <w:lang w:val="en-US" w:eastAsia="zh-CN" w:bidi="ar-SA"/>
    </w:rPr>
  </w:style>
  <w:style w:type="paragraph" w:customStyle="1" w:styleId="613">
    <w:name w:val="!k三级标题"/>
    <w:basedOn w:val="6"/>
    <w:next w:val="1"/>
    <w:qFormat/>
    <w:uiPriority w:val="0"/>
    <w:pPr>
      <w:tabs>
        <w:tab w:val="left" w:pos="0"/>
      </w:tabs>
      <w:autoSpaceDE/>
      <w:autoSpaceDN/>
      <w:adjustRightInd/>
      <w:snapToGrid w:val="0"/>
      <w:spacing w:before="0" w:beforeLines="50" w:after="0" w:afterLines="50"/>
      <w:ind w:left="-32767" w:firstLine="32767"/>
      <w:jc w:val="both"/>
    </w:pPr>
    <w:rPr>
      <w:rFonts w:hAnsi="宋体"/>
      <w:szCs w:val="32"/>
      <w:u w:val="none"/>
    </w:rPr>
  </w:style>
  <w:style w:type="paragraph" w:customStyle="1" w:styleId="614">
    <w:name w:val="xl6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pPr>
    <w:rPr>
      <w:rFonts w:ascii="华文中宋" w:hAnsi="华文中宋" w:eastAsia="华文中宋" w:cs="华文中宋"/>
      <w:b/>
      <w:bCs/>
      <w:color w:val="FF0000"/>
      <w:kern w:val="0"/>
      <w:sz w:val="24"/>
    </w:rPr>
  </w:style>
  <w:style w:type="paragraph" w:customStyle="1" w:styleId="615">
    <w:name w:val="xl235"/>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center"/>
    </w:pPr>
    <w:rPr>
      <w:rFonts w:ascii="宋体" w:hAnsi="宋体" w:cs="宋体"/>
      <w:b/>
      <w:bCs/>
      <w:kern w:val="0"/>
      <w:sz w:val="18"/>
      <w:szCs w:val="18"/>
    </w:rPr>
  </w:style>
  <w:style w:type="paragraph" w:customStyle="1" w:styleId="616">
    <w:name w:val="q1"/>
    <w:basedOn w:val="3"/>
    <w:qFormat/>
    <w:uiPriority w:val="0"/>
    <w:pPr>
      <w:tabs>
        <w:tab w:val="left" w:pos="0"/>
      </w:tabs>
      <w:autoSpaceDE/>
      <w:autoSpaceDN/>
      <w:adjustRightInd/>
      <w:spacing w:before="0" w:beforeLines="50" w:after="0" w:afterLines="50" w:line="360" w:lineRule="auto"/>
      <w:jc w:val="left"/>
    </w:pPr>
    <w:rPr>
      <w:rFonts w:ascii="Times New Roman"/>
      <w:bCs/>
      <w:sz w:val="44"/>
      <w:szCs w:val="44"/>
    </w:rPr>
  </w:style>
  <w:style w:type="paragraph" w:customStyle="1" w:styleId="617">
    <w:name w:val="title1"/>
    <w:basedOn w:val="1"/>
    <w:qFormat/>
    <w:uiPriority w:val="0"/>
    <w:pPr>
      <w:widowControl/>
      <w:spacing w:before="100" w:beforeAutospacing="1" w:after="100" w:afterAutospacing="1" w:line="360" w:lineRule="auto"/>
      <w:ind w:firstLine="200" w:firstLineChars="200"/>
      <w:jc w:val="left"/>
    </w:pPr>
    <w:rPr>
      <w:rFonts w:ascii="宋体" w:hAnsi="宋体"/>
      <w:kern w:val="0"/>
      <w:sz w:val="24"/>
    </w:rPr>
  </w:style>
  <w:style w:type="paragraph" w:customStyle="1" w:styleId="618">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pPr>
    <w:rPr>
      <w:color w:val="FF0000"/>
      <w:kern w:val="0"/>
      <w:sz w:val="20"/>
      <w:szCs w:val="20"/>
    </w:rPr>
  </w:style>
  <w:style w:type="paragraph" w:customStyle="1" w:styleId="619">
    <w:name w:val="xl81"/>
    <w:basedOn w:val="1"/>
    <w:qFormat/>
    <w:uiPriority w:val="0"/>
    <w:pPr>
      <w:widowControl/>
      <w:pBdr>
        <w:top w:val="single" w:color="auto" w:sz="4" w:space="0"/>
        <w:left w:val="single" w:color="auto" w:sz="4" w:space="0"/>
        <w:bottom w:val="single" w:color="auto" w:sz="4" w:space="0"/>
      </w:pBdr>
      <w:spacing w:beforeAutospacing="1" w:afterAutospacing="1"/>
      <w:jc w:val="center"/>
    </w:pPr>
    <w:rPr>
      <w:rFonts w:ascii="华文中宋" w:hAnsi="华文中宋" w:eastAsia="华文中宋" w:cs="华文中宋"/>
      <w:kern w:val="0"/>
      <w:sz w:val="20"/>
      <w:szCs w:val="20"/>
    </w:rPr>
  </w:style>
  <w:style w:type="paragraph" w:customStyle="1" w:styleId="620">
    <w:name w:val="Char Char1 Char Char Char Char Char Char"/>
    <w:basedOn w:val="1"/>
    <w:qFormat/>
    <w:uiPriority w:val="0"/>
    <w:pPr>
      <w:widowControl/>
      <w:spacing w:after="160" w:line="240" w:lineRule="exact"/>
      <w:ind w:firstLine="200" w:firstLineChars="200"/>
      <w:jc w:val="left"/>
    </w:pPr>
    <w:rPr>
      <w:rFonts w:ascii="Verdana" w:hAnsi="Verdana" w:eastAsia="仿宋_GB2312"/>
      <w:kern w:val="0"/>
      <w:sz w:val="24"/>
      <w:szCs w:val="20"/>
      <w:lang w:eastAsia="en-US"/>
    </w:rPr>
  </w:style>
  <w:style w:type="paragraph" w:customStyle="1" w:styleId="621">
    <w:name w:val="xl83"/>
    <w:basedOn w:val="1"/>
    <w:qFormat/>
    <w:uiPriority w:val="0"/>
    <w:pPr>
      <w:widowControl/>
      <w:spacing w:beforeAutospacing="1" w:afterAutospacing="1"/>
      <w:jc w:val="center"/>
    </w:pPr>
    <w:rPr>
      <w:rFonts w:ascii="华文中宋" w:hAnsi="华文中宋" w:eastAsia="华文中宋" w:cs="华文中宋"/>
      <w:kern w:val="0"/>
      <w:sz w:val="20"/>
      <w:szCs w:val="20"/>
    </w:rPr>
  </w:style>
  <w:style w:type="paragraph" w:customStyle="1" w:styleId="622">
    <w:name w:val="xl410"/>
    <w:basedOn w:val="1"/>
    <w:qFormat/>
    <w:uiPriority w:val="0"/>
    <w:pPr>
      <w:widowControl/>
      <w:pBdr>
        <w:top w:val="single" w:color="auto" w:sz="4" w:space="0"/>
        <w:left w:val="single" w:color="auto" w:sz="4" w:space="0"/>
        <w:bottom w:val="single" w:color="auto" w:sz="4" w:space="0"/>
        <w:right w:val="single" w:color="auto" w:sz="4" w:space="0"/>
      </w:pBdr>
      <w:shd w:val="clear" w:color="000000" w:fill="33CCCC"/>
      <w:spacing w:before="100" w:beforeAutospacing="1" w:after="100" w:afterAutospacing="1" w:line="360" w:lineRule="auto"/>
      <w:ind w:firstLine="200" w:firstLineChars="200"/>
      <w:jc w:val="center"/>
    </w:pPr>
    <w:rPr>
      <w:rFonts w:ascii="宋体" w:hAnsi="宋体" w:cs="宋体"/>
      <w:b/>
      <w:bCs/>
      <w:color w:val="000000"/>
      <w:kern w:val="0"/>
      <w:sz w:val="20"/>
      <w:szCs w:val="20"/>
    </w:rPr>
  </w:style>
  <w:style w:type="paragraph" w:customStyle="1" w:styleId="623">
    <w:name w:val="Char2"/>
    <w:basedOn w:val="1"/>
    <w:qFormat/>
    <w:uiPriority w:val="0"/>
  </w:style>
  <w:style w:type="paragraph" w:customStyle="1" w:styleId="624">
    <w:name w:val="样式 标题 3h3Level 3 Topic HeadingHeading 3 - oldH3l33rd level..."/>
    <w:basedOn w:val="6"/>
    <w:qFormat/>
    <w:uiPriority w:val="99"/>
    <w:pPr>
      <w:autoSpaceDE/>
      <w:autoSpaceDN/>
      <w:adjustRightInd/>
      <w:spacing w:before="0" w:after="0" w:line="360" w:lineRule="auto"/>
      <w:ind w:left="1080" w:hanging="1080"/>
      <w:jc w:val="both"/>
    </w:pPr>
    <w:rPr>
      <w:rFonts w:ascii="仿宋_GB2312" w:hAnsi="宋体" w:eastAsia="仿宋_GB2312" w:cs="仿宋_GB2312"/>
      <w:bCs/>
      <w:kern w:val="2"/>
      <w:szCs w:val="24"/>
      <w:u w:val="none"/>
    </w:rPr>
  </w:style>
  <w:style w:type="paragraph" w:customStyle="1" w:styleId="625">
    <w:name w:val="a2"/>
    <w:basedOn w:val="4"/>
    <w:qFormat/>
    <w:uiPriority w:val="0"/>
    <w:pPr>
      <w:tabs>
        <w:tab w:val="left" w:pos="0"/>
      </w:tabs>
      <w:autoSpaceDE/>
      <w:autoSpaceDN/>
      <w:spacing w:before="0" w:beforeLines="50" w:afterLines="50" w:line="360" w:lineRule="auto"/>
      <w:ind w:left="425" w:hanging="425"/>
      <w:jc w:val="both"/>
    </w:pPr>
    <w:rPr>
      <w:rFonts w:ascii="Cambria" w:hAnsi="Cambria" w:eastAsia="宋体"/>
      <w:bCs/>
      <w:kern w:val="2"/>
      <w:sz w:val="32"/>
      <w:szCs w:val="32"/>
    </w:rPr>
  </w:style>
  <w:style w:type="paragraph" w:customStyle="1" w:styleId="626">
    <w:name w:val="xl268"/>
    <w:basedOn w:val="1"/>
    <w:qFormat/>
    <w:uiPriority w:val="0"/>
    <w:pPr>
      <w:widowControl/>
      <w:spacing w:before="100" w:beforeAutospacing="1" w:after="100" w:afterAutospacing="1" w:line="360" w:lineRule="auto"/>
      <w:ind w:firstLine="200" w:firstLineChars="200"/>
      <w:jc w:val="left"/>
    </w:pPr>
    <w:rPr>
      <w:rFonts w:ascii="宋体" w:hAnsi="宋体" w:cs="宋体"/>
      <w:color w:val="0000FF"/>
      <w:kern w:val="0"/>
      <w:sz w:val="18"/>
      <w:szCs w:val="18"/>
    </w:rPr>
  </w:style>
  <w:style w:type="paragraph" w:customStyle="1" w:styleId="627">
    <w:name w:val="xl65"/>
    <w:basedOn w:val="1"/>
    <w:qFormat/>
    <w:uiPriority w:val="0"/>
    <w:pPr>
      <w:widowControl/>
      <w:pBdr>
        <w:top w:val="single" w:color="auto" w:sz="4" w:space="0"/>
        <w:left w:val="single" w:color="auto" w:sz="4" w:space="0"/>
        <w:right w:val="single" w:color="auto" w:sz="4" w:space="0"/>
      </w:pBdr>
      <w:spacing w:beforeAutospacing="1" w:afterAutospacing="1"/>
      <w:jc w:val="left"/>
    </w:pPr>
    <w:rPr>
      <w:rFonts w:ascii="华文中宋" w:hAnsi="华文中宋" w:eastAsia="华文中宋" w:cs="华文中宋"/>
      <w:b/>
      <w:bCs/>
      <w:kern w:val="0"/>
      <w:szCs w:val="21"/>
    </w:rPr>
  </w:style>
  <w:style w:type="paragraph" w:customStyle="1" w:styleId="628">
    <w:name w:val="名称"/>
    <w:basedOn w:val="1"/>
    <w:next w:val="1"/>
    <w:qFormat/>
    <w:uiPriority w:val="0"/>
    <w:pPr>
      <w:tabs>
        <w:tab w:val="left" w:pos="2730"/>
      </w:tabs>
      <w:spacing w:before="240" w:after="240" w:line="360" w:lineRule="auto"/>
      <w:ind w:firstLine="113" w:firstLineChars="200"/>
      <w:jc w:val="center"/>
    </w:pPr>
    <w:rPr>
      <w:rFonts w:ascii="宋体" w:hAnsi="宋体"/>
      <w:b/>
      <w:bCs/>
      <w:sz w:val="44"/>
      <w:szCs w:val="44"/>
    </w:rPr>
  </w:style>
  <w:style w:type="paragraph" w:customStyle="1" w:styleId="629">
    <w:name w:val="xl84"/>
    <w:basedOn w:val="1"/>
    <w:qFormat/>
    <w:uiPriority w:val="0"/>
    <w:pPr>
      <w:widowControl/>
      <w:pBdr>
        <w:top w:val="single" w:color="auto" w:sz="4" w:space="0"/>
        <w:left w:val="single" w:color="auto" w:sz="4" w:space="0"/>
        <w:bottom w:val="single" w:color="auto" w:sz="4" w:space="0"/>
      </w:pBdr>
      <w:spacing w:beforeAutospacing="1" w:afterAutospacing="1"/>
      <w:jc w:val="center"/>
    </w:pPr>
    <w:rPr>
      <w:rFonts w:ascii="华文中宋" w:hAnsi="华文中宋" w:eastAsia="华文中宋" w:cs="华文中宋"/>
      <w:kern w:val="0"/>
      <w:sz w:val="20"/>
      <w:szCs w:val="20"/>
    </w:rPr>
  </w:style>
  <w:style w:type="paragraph" w:customStyle="1" w:styleId="630">
    <w:name w:val="xl4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kern w:val="0"/>
      <w:sz w:val="20"/>
      <w:szCs w:val="20"/>
    </w:rPr>
  </w:style>
  <w:style w:type="paragraph" w:customStyle="1" w:styleId="631">
    <w:name w:val="黑体小初中"/>
    <w:basedOn w:val="216"/>
    <w:qFormat/>
    <w:uiPriority w:val="0"/>
    <w:pPr>
      <w:tabs>
        <w:tab w:val="left" w:pos="0"/>
      </w:tabs>
      <w:spacing w:before="156" w:after="156"/>
      <w:ind w:firstLine="0" w:firstLineChars="0"/>
      <w:jc w:val="center"/>
    </w:pPr>
    <w:rPr>
      <w:rFonts w:ascii="黑体" w:hAnsi="Times New Roman" w:eastAsia="黑体"/>
      <w:sz w:val="72"/>
      <w:szCs w:val="72"/>
    </w:rPr>
  </w:style>
  <w:style w:type="paragraph" w:customStyle="1" w:styleId="632">
    <w:name w:val="xl35"/>
    <w:basedOn w:val="1"/>
    <w:qFormat/>
    <w:uiPriority w:val="0"/>
    <w:pPr>
      <w:widowControl/>
      <w:pBdr>
        <w:top w:val="single" w:color="auto" w:sz="4" w:space="0"/>
        <w:bottom w:val="single" w:color="auto" w:sz="4" w:space="0"/>
      </w:pBdr>
      <w:spacing w:before="100" w:beforeAutospacing="1" w:after="100" w:afterAutospacing="1" w:line="360" w:lineRule="auto"/>
      <w:ind w:firstLine="200" w:firstLineChars="200"/>
      <w:textAlignment w:val="top"/>
    </w:pPr>
    <w:rPr>
      <w:rFonts w:ascii="Arial Unicode MS" w:hAnsi="Arial Unicode MS" w:eastAsia="Arial Unicode MS" w:cs="Arial Unicode MS"/>
      <w:kern w:val="0"/>
      <w:sz w:val="24"/>
    </w:rPr>
  </w:style>
  <w:style w:type="paragraph" w:customStyle="1" w:styleId="633">
    <w:name w:val="a3"/>
    <w:basedOn w:val="6"/>
    <w:qFormat/>
    <w:uiPriority w:val="0"/>
    <w:pPr>
      <w:tabs>
        <w:tab w:val="left" w:pos="0"/>
      </w:tabs>
      <w:autoSpaceDE/>
      <w:autoSpaceDN/>
      <w:adjustRightInd/>
      <w:snapToGrid w:val="0"/>
      <w:spacing w:before="0" w:beforeLines="50" w:after="0" w:afterLines="50" w:line="360" w:lineRule="auto"/>
      <w:ind w:left="425" w:hanging="425"/>
      <w:jc w:val="both"/>
    </w:pPr>
    <w:rPr>
      <w:rFonts w:ascii="Calibri" w:hAnsi="Calibri"/>
      <w:b w:val="0"/>
      <w:bCs/>
      <w:kern w:val="2"/>
      <w:sz w:val="28"/>
      <w:szCs w:val="28"/>
      <w:u w:val="none"/>
    </w:rPr>
  </w:style>
  <w:style w:type="paragraph" w:customStyle="1" w:styleId="634">
    <w:name w:val="Char Char Char Char Char Char Char"/>
    <w:basedOn w:val="1"/>
    <w:qFormat/>
    <w:uiPriority w:val="0"/>
    <w:rPr>
      <w:rFonts w:ascii="Arial" w:hAnsi="Arial" w:cs="Arial"/>
      <w:sz w:val="20"/>
      <w:szCs w:val="20"/>
    </w:rPr>
  </w:style>
  <w:style w:type="paragraph" w:customStyle="1" w:styleId="635">
    <w:name w:val="样式 正文缩进表正文正文非缩进ALT+Z四号特点段1正文不缩进特点 Char水上软件标题4正文（首行缩进两..."/>
    <w:basedOn w:val="1"/>
    <w:qFormat/>
    <w:uiPriority w:val="0"/>
    <w:pPr>
      <w:tabs>
        <w:tab w:val="left" w:pos="907"/>
      </w:tabs>
      <w:spacing w:line="360" w:lineRule="auto"/>
      <w:ind w:left="907" w:hanging="619" w:firstLineChars="200"/>
    </w:pPr>
    <w:rPr>
      <w:rFonts w:ascii="宋体" w:hAnsi="宋体"/>
      <w:sz w:val="24"/>
      <w:szCs w:val="20"/>
    </w:rPr>
  </w:style>
  <w:style w:type="paragraph" w:customStyle="1" w:styleId="636">
    <w:name w:val="xl89"/>
    <w:basedOn w:val="1"/>
    <w:qFormat/>
    <w:uiPriority w:val="0"/>
    <w:pPr>
      <w:widowControl/>
      <w:pBdr>
        <w:top w:val="single" w:color="auto" w:sz="4" w:space="0"/>
        <w:bottom w:val="single" w:color="auto" w:sz="4" w:space="0"/>
      </w:pBdr>
      <w:spacing w:beforeAutospacing="1" w:afterAutospacing="1"/>
      <w:jc w:val="center"/>
    </w:pPr>
    <w:rPr>
      <w:rFonts w:ascii="华文中宋" w:hAnsi="华文中宋" w:eastAsia="华文中宋" w:cs="华文中宋"/>
      <w:kern w:val="0"/>
      <w:sz w:val="20"/>
      <w:szCs w:val="20"/>
    </w:rPr>
  </w:style>
  <w:style w:type="paragraph" w:customStyle="1" w:styleId="637">
    <w:name w:val="正文缩进2"/>
    <w:basedOn w:val="1"/>
    <w:qFormat/>
    <w:uiPriority w:val="0"/>
    <w:pPr>
      <w:spacing w:line="360" w:lineRule="auto"/>
      <w:ind w:firstLine="420" w:firstLineChars="200"/>
    </w:pPr>
    <w:rPr>
      <w:sz w:val="24"/>
    </w:rPr>
  </w:style>
  <w:style w:type="paragraph" w:customStyle="1" w:styleId="638">
    <w:name w:val="xl86"/>
    <w:basedOn w:val="1"/>
    <w:qFormat/>
    <w:uiPriority w:val="0"/>
    <w:pPr>
      <w:widowControl/>
      <w:pBdr>
        <w:left w:val="single" w:color="auto" w:sz="4" w:space="0"/>
        <w:bottom w:val="single" w:color="auto" w:sz="4" w:space="0"/>
        <w:right w:val="single" w:color="auto" w:sz="4" w:space="0"/>
      </w:pBdr>
      <w:spacing w:beforeAutospacing="1" w:afterAutospacing="1"/>
      <w:jc w:val="center"/>
    </w:pPr>
    <w:rPr>
      <w:rFonts w:ascii="华文中宋" w:hAnsi="华文中宋" w:eastAsia="华文中宋" w:cs="华文中宋"/>
      <w:b/>
      <w:bCs/>
      <w:kern w:val="0"/>
      <w:sz w:val="24"/>
    </w:rPr>
  </w:style>
  <w:style w:type="paragraph" w:customStyle="1" w:styleId="639">
    <w:name w:val="xl4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textAlignment w:val="top"/>
    </w:pPr>
    <w:rPr>
      <w:rFonts w:ascii="宋体" w:hAnsi="宋体" w:cs="宋体"/>
      <w:kern w:val="0"/>
      <w:sz w:val="20"/>
      <w:szCs w:val="20"/>
    </w:rPr>
  </w:style>
  <w:style w:type="paragraph" w:customStyle="1" w:styleId="640">
    <w:name w:val="样式 正文（首行缩进两字） + 首行缩进:  2 字符1"/>
    <w:basedOn w:val="5"/>
    <w:qFormat/>
    <w:uiPriority w:val="0"/>
    <w:pPr>
      <w:tabs>
        <w:tab w:val="left" w:pos="2730"/>
      </w:tabs>
      <w:autoSpaceDE/>
      <w:autoSpaceDN/>
      <w:adjustRightInd/>
      <w:spacing w:line="360" w:lineRule="auto"/>
      <w:ind w:firstLine="480" w:firstLineChars="200"/>
      <w:jc w:val="both"/>
    </w:pPr>
    <w:rPr>
      <w:rFonts w:ascii="Times New Roman"/>
      <w:bCs/>
      <w:kern w:val="2"/>
    </w:rPr>
  </w:style>
  <w:style w:type="paragraph" w:customStyle="1" w:styleId="641">
    <w:name w:val="xl26"/>
    <w:basedOn w:val="1"/>
    <w:qFormat/>
    <w:uiPriority w:val="0"/>
    <w:pPr>
      <w:widowControl/>
      <w:pBdr>
        <w:top w:val="single" w:color="auto" w:sz="4" w:space="0"/>
        <w:left w:val="single" w:color="auto" w:sz="4" w:space="0"/>
        <w:bottom w:val="single" w:color="auto" w:sz="4" w:space="0"/>
      </w:pBdr>
      <w:spacing w:before="100" w:beforeAutospacing="1" w:after="100" w:afterAutospacing="1" w:line="360" w:lineRule="auto"/>
      <w:ind w:firstLine="200" w:firstLineChars="200"/>
    </w:pPr>
    <w:rPr>
      <w:rFonts w:ascii="Arial Unicode MS" w:hAnsi="Arial Unicode MS" w:eastAsia="Arial Unicode MS" w:cs="Arial Unicode MS"/>
      <w:kern w:val="0"/>
      <w:sz w:val="24"/>
    </w:rPr>
  </w:style>
  <w:style w:type="paragraph" w:customStyle="1" w:styleId="642">
    <w:name w:val="xl82"/>
    <w:basedOn w:val="1"/>
    <w:qFormat/>
    <w:uiPriority w:val="0"/>
    <w:pPr>
      <w:widowControl/>
      <w:pBdr>
        <w:top w:val="single" w:color="auto" w:sz="4" w:space="0"/>
        <w:left w:val="single" w:color="auto" w:sz="4" w:space="0"/>
        <w:bottom w:val="single" w:color="auto" w:sz="4" w:space="0"/>
      </w:pBdr>
      <w:shd w:val="clear" w:color="000000" w:fill="99CCFF"/>
      <w:spacing w:beforeAutospacing="1" w:afterAutospacing="1"/>
      <w:jc w:val="center"/>
    </w:pPr>
    <w:rPr>
      <w:rFonts w:ascii="华文中宋" w:hAnsi="华文中宋" w:eastAsia="华文中宋" w:cs="华文中宋"/>
      <w:kern w:val="0"/>
      <w:sz w:val="20"/>
      <w:szCs w:val="20"/>
    </w:rPr>
  </w:style>
  <w:style w:type="paragraph" w:customStyle="1" w:styleId="643">
    <w:name w:val="xl34"/>
    <w:basedOn w:val="1"/>
    <w:qFormat/>
    <w:uiPriority w:val="0"/>
    <w:pPr>
      <w:widowControl/>
      <w:pBdr>
        <w:top w:val="single" w:color="auto" w:sz="4" w:space="0"/>
        <w:left w:val="single" w:color="auto" w:sz="4" w:space="0"/>
        <w:bottom w:val="single" w:color="auto" w:sz="4" w:space="0"/>
      </w:pBdr>
      <w:spacing w:before="100" w:beforeAutospacing="1" w:after="100" w:afterAutospacing="1" w:line="360" w:lineRule="auto"/>
      <w:ind w:firstLine="200" w:firstLineChars="200"/>
      <w:textAlignment w:val="top"/>
    </w:pPr>
    <w:rPr>
      <w:rFonts w:ascii="Arial Unicode MS" w:hAnsi="Arial Unicode MS" w:eastAsia="Arial Unicode MS" w:cs="Arial Unicode MS"/>
      <w:kern w:val="0"/>
      <w:sz w:val="24"/>
    </w:rPr>
  </w:style>
  <w:style w:type="paragraph" w:customStyle="1" w:styleId="644">
    <w:name w:val="标书正文1"/>
    <w:basedOn w:val="1"/>
    <w:qFormat/>
    <w:uiPriority w:val="0"/>
    <w:pPr>
      <w:spacing w:line="360" w:lineRule="auto"/>
      <w:ind w:firstLine="360" w:firstLineChars="150"/>
    </w:pPr>
    <w:rPr>
      <w:rFonts w:ascii="宋体"/>
      <w:kern w:val="0"/>
      <w:sz w:val="24"/>
    </w:rPr>
  </w:style>
  <w:style w:type="paragraph" w:customStyle="1" w:styleId="64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646">
    <w:name w:val="xl90"/>
    <w:basedOn w:val="1"/>
    <w:qFormat/>
    <w:uiPriority w:val="0"/>
    <w:pPr>
      <w:widowControl/>
      <w:pBdr>
        <w:top w:val="single" w:color="auto" w:sz="4" w:space="0"/>
        <w:bottom w:val="single" w:color="auto" w:sz="4" w:space="0"/>
        <w:right w:val="single" w:color="auto" w:sz="4" w:space="0"/>
      </w:pBdr>
      <w:spacing w:beforeAutospacing="1" w:afterAutospacing="1"/>
      <w:jc w:val="center"/>
    </w:pPr>
    <w:rPr>
      <w:rFonts w:ascii="华文中宋" w:hAnsi="华文中宋" w:eastAsia="华文中宋" w:cs="华文中宋"/>
      <w:kern w:val="0"/>
      <w:sz w:val="20"/>
      <w:szCs w:val="20"/>
    </w:rPr>
  </w:style>
  <w:style w:type="paragraph" w:customStyle="1" w:styleId="647">
    <w:name w:val="xl412"/>
    <w:basedOn w:val="1"/>
    <w:qFormat/>
    <w:uiPriority w:val="0"/>
    <w:pPr>
      <w:widowControl/>
      <w:pBdr>
        <w:top w:val="single" w:color="auto" w:sz="4" w:space="0"/>
        <w:left w:val="single" w:color="auto" w:sz="4" w:space="0"/>
        <w:bottom w:val="single" w:color="auto" w:sz="4" w:space="0"/>
        <w:right w:val="single" w:color="auto" w:sz="4" w:space="0"/>
      </w:pBdr>
      <w:shd w:val="clear" w:color="000000" w:fill="33CCCC"/>
      <w:spacing w:before="100" w:beforeAutospacing="1" w:after="100" w:afterAutospacing="1" w:line="360" w:lineRule="auto"/>
      <w:ind w:firstLine="200" w:firstLineChars="200"/>
      <w:jc w:val="center"/>
    </w:pPr>
    <w:rPr>
      <w:rFonts w:ascii="宋体" w:hAnsi="宋体" w:cs="宋体"/>
      <w:b/>
      <w:bCs/>
      <w:color w:val="000000"/>
      <w:kern w:val="0"/>
      <w:sz w:val="20"/>
      <w:szCs w:val="20"/>
    </w:rPr>
  </w:style>
  <w:style w:type="paragraph" w:customStyle="1" w:styleId="648">
    <w:name w:val="样式 居中"/>
    <w:basedOn w:val="1"/>
    <w:qFormat/>
    <w:uiPriority w:val="99"/>
    <w:pPr>
      <w:ind w:right="280" w:rightChars="100"/>
      <w:jc w:val="center"/>
    </w:pPr>
    <w:rPr>
      <w:rFonts w:ascii="华文中宋" w:hAnsi="华文中宋" w:eastAsia="华文中宋" w:cs="华文中宋"/>
      <w:b/>
      <w:bCs/>
      <w:sz w:val="32"/>
      <w:szCs w:val="32"/>
    </w:rPr>
  </w:style>
  <w:style w:type="paragraph" w:customStyle="1" w:styleId="649">
    <w:name w:val="我的标题2"/>
    <w:basedOn w:val="1"/>
    <w:next w:val="1"/>
    <w:qFormat/>
    <w:uiPriority w:val="0"/>
    <w:pPr>
      <w:widowControl/>
      <w:spacing w:line="300" w:lineRule="auto"/>
      <w:ind w:firstLine="200" w:firstLineChars="200"/>
      <w:jc w:val="left"/>
    </w:pPr>
    <w:rPr>
      <w:rFonts w:ascii="宋体" w:hAnsi="宋体"/>
      <w:b/>
      <w:bCs/>
      <w:spacing w:val="6"/>
      <w:sz w:val="24"/>
      <w:szCs w:val="20"/>
    </w:rPr>
  </w:style>
  <w:style w:type="paragraph" w:customStyle="1" w:styleId="650">
    <w:name w:val="font10"/>
    <w:basedOn w:val="1"/>
    <w:qFormat/>
    <w:uiPriority w:val="0"/>
    <w:pPr>
      <w:widowControl/>
      <w:spacing w:before="100" w:beforeAutospacing="1" w:after="100" w:afterAutospacing="1" w:line="360" w:lineRule="auto"/>
      <w:ind w:firstLine="200" w:firstLineChars="200"/>
      <w:jc w:val="left"/>
    </w:pPr>
    <w:rPr>
      <w:b/>
      <w:bCs/>
      <w:kern w:val="0"/>
      <w:sz w:val="20"/>
      <w:szCs w:val="20"/>
    </w:rPr>
  </w:style>
  <w:style w:type="paragraph" w:customStyle="1" w:styleId="651">
    <w:name w:val="xl2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b/>
      <w:bCs/>
      <w:color w:val="000000"/>
      <w:kern w:val="0"/>
      <w:sz w:val="18"/>
      <w:szCs w:val="18"/>
    </w:rPr>
  </w:style>
  <w:style w:type="paragraph" w:customStyle="1" w:styleId="652">
    <w:name w:val="List Paragraph1"/>
    <w:basedOn w:val="1"/>
    <w:qFormat/>
    <w:uiPriority w:val="0"/>
    <w:pPr>
      <w:ind w:firstLine="420" w:firstLineChars="200"/>
    </w:pPr>
    <w:rPr>
      <w:rFonts w:ascii="Arial Narrow" w:hAnsi="Arial Narrow" w:eastAsia="楷体_GB2312" w:cs="Arial Narrow"/>
      <w:sz w:val="26"/>
      <w:szCs w:val="26"/>
    </w:rPr>
  </w:style>
  <w:style w:type="paragraph" w:customStyle="1" w:styleId="653">
    <w:name w:val="xl6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pPr>
    <w:rPr>
      <w:rFonts w:ascii="华文中宋" w:hAnsi="华文中宋" w:eastAsia="华文中宋" w:cs="华文中宋"/>
      <w:kern w:val="0"/>
      <w:sz w:val="20"/>
      <w:szCs w:val="20"/>
    </w:rPr>
  </w:style>
  <w:style w:type="paragraph" w:customStyle="1" w:styleId="654">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Autospacing="1" w:afterAutospacing="1"/>
      <w:jc w:val="center"/>
    </w:pPr>
    <w:rPr>
      <w:rFonts w:ascii="华文中宋" w:hAnsi="华文中宋" w:eastAsia="华文中宋" w:cs="华文中宋"/>
      <w:b/>
      <w:bCs/>
      <w:kern w:val="0"/>
      <w:sz w:val="24"/>
    </w:rPr>
  </w:style>
  <w:style w:type="paragraph" w:customStyle="1" w:styleId="655">
    <w:name w:val="xl4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pPr>
    <w:rPr>
      <w:rFonts w:ascii="宋体" w:hAnsi="宋体" w:cs="宋体"/>
      <w:kern w:val="0"/>
      <w:sz w:val="20"/>
      <w:szCs w:val="20"/>
    </w:rPr>
  </w:style>
  <w:style w:type="paragraph" w:customStyle="1" w:styleId="656">
    <w:name w:val="章标题"/>
    <w:next w:val="1"/>
    <w:qFormat/>
    <w:uiPriority w:val="0"/>
    <w:pPr>
      <w:spacing w:beforeLines="50" w:afterLines="50"/>
      <w:jc w:val="both"/>
      <w:outlineLvl w:val="1"/>
    </w:pPr>
    <w:rPr>
      <w:rFonts w:ascii="黑体" w:hAnsi="Times New Roman" w:eastAsia="黑体" w:cs="黑体"/>
      <w:sz w:val="21"/>
      <w:szCs w:val="21"/>
      <w:lang w:val="en-US" w:eastAsia="zh-CN" w:bidi="ar-SA"/>
    </w:rPr>
  </w:style>
  <w:style w:type="paragraph" w:customStyle="1" w:styleId="657">
    <w:name w:val="样式 小四 行距: 1.5 倍行距"/>
    <w:basedOn w:val="1"/>
    <w:qFormat/>
    <w:uiPriority w:val="0"/>
    <w:pPr>
      <w:spacing w:line="360" w:lineRule="auto"/>
      <w:ind w:firstLine="540" w:firstLineChars="225"/>
    </w:pPr>
    <w:rPr>
      <w:color w:val="3366FF"/>
      <w:sz w:val="24"/>
      <w:szCs w:val="20"/>
    </w:rPr>
  </w:style>
  <w:style w:type="paragraph" w:customStyle="1" w:styleId="658">
    <w:name w:val="xl28"/>
    <w:basedOn w:val="1"/>
    <w:qFormat/>
    <w:uiPriority w:val="0"/>
    <w:pPr>
      <w:widowControl/>
      <w:pBdr>
        <w:bottom w:val="single" w:color="auto" w:sz="4" w:space="0"/>
      </w:pBdr>
      <w:spacing w:before="100" w:beforeAutospacing="1" w:after="100" w:afterAutospacing="1" w:line="360" w:lineRule="auto"/>
      <w:ind w:firstLine="200" w:firstLineChars="200"/>
    </w:pPr>
    <w:rPr>
      <w:rFonts w:ascii="Arial Unicode MS" w:hAnsi="Arial Unicode MS" w:eastAsia="Arial Unicode MS" w:cs="Arial Unicode MS"/>
      <w:kern w:val="0"/>
      <w:sz w:val="24"/>
    </w:rPr>
  </w:style>
  <w:style w:type="paragraph" w:customStyle="1" w:styleId="659">
    <w:name w:val="cellheading"/>
    <w:basedOn w:val="1"/>
    <w:qFormat/>
    <w:uiPriority w:val="0"/>
    <w:pPr>
      <w:widowControl/>
      <w:spacing w:after="144" w:line="360" w:lineRule="auto"/>
      <w:ind w:firstLine="200" w:firstLineChars="200"/>
      <w:jc w:val="left"/>
    </w:pPr>
    <w:rPr>
      <w:rFonts w:ascii="Verdana" w:hAnsi="Verdana" w:eastAsia="Arial Unicode MS" w:cs="Arial Unicode MS"/>
      <w:b/>
      <w:bCs/>
      <w:color w:val="000000"/>
      <w:kern w:val="0"/>
      <w:sz w:val="20"/>
      <w:szCs w:val="20"/>
      <w:lang w:eastAsia="en-US"/>
    </w:rPr>
  </w:style>
  <w:style w:type="paragraph" w:customStyle="1" w:styleId="660">
    <w:name w:val="Char Char Char1 Char Char1 Char Char Char"/>
    <w:basedOn w:val="1"/>
    <w:qFormat/>
    <w:uiPriority w:val="0"/>
    <w:pPr>
      <w:spacing w:line="360" w:lineRule="auto"/>
      <w:ind w:firstLine="200" w:firstLineChars="200"/>
    </w:pPr>
    <w:rPr>
      <w:rFonts w:ascii="Tahoma" w:hAnsi="Tahoma"/>
      <w:sz w:val="24"/>
      <w:szCs w:val="20"/>
    </w:rPr>
  </w:style>
  <w:style w:type="paragraph" w:customStyle="1" w:styleId="661">
    <w:name w:val="一级条标题"/>
    <w:next w:val="1"/>
    <w:qFormat/>
    <w:uiPriority w:val="0"/>
    <w:pPr>
      <w:outlineLvl w:val="2"/>
    </w:pPr>
    <w:rPr>
      <w:rFonts w:ascii="Times New Roman" w:hAnsi="Times New Roman" w:eastAsia="黑体" w:cs="Times New Roman"/>
      <w:sz w:val="21"/>
      <w:szCs w:val="21"/>
      <w:lang w:val="en-US" w:eastAsia="zh-CN" w:bidi="ar-SA"/>
    </w:rPr>
  </w:style>
  <w:style w:type="paragraph" w:customStyle="1" w:styleId="662">
    <w:name w:val="应答"/>
    <w:basedOn w:val="1"/>
    <w:qFormat/>
    <w:uiPriority w:val="0"/>
    <w:pPr>
      <w:widowControl/>
      <w:spacing w:before="240" w:after="120" w:line="288" w:lineRule="auto"/>
      <w:ind w:left="720" w:firstLine="200" w:firstLineChars="200"/>
      <w:jc w:val="left"/>
    </w:pPr>
    <w:rPr>
      <w:rFonts w:eastAsia="黑体"/>
      <w:bCs/>
      <w:kern w:val="0"/>
      <w:sz w:val="24"/>
    </w:rPr>
  </w:style>
  <w:style w:type="paragraph" w:customStyle="1" w:styleId="663">
    <w:name w:val="样式3"/>
    <w:basedOn w:val="502"/>
    <w:qFormat/>
    <w:uiPriority w:val="0"/>
    <w:pPr>
      <w:suppressAutoHyphens w:val="0"/>
      <w:spacing w:line="360" w:lineRule="auto"/>
    </w:pPr>
    <w:rPr>
      <w:lang w:eastAsia="zh-CN"/>
    </w:rPr>
  </w:style>
  <w:style w:type="paragraph" w:customStyle="1" w:styleId="664">
    <w:name w:val="四级无标题条"/>
    <w:basedOn w:val="1"/>
    <w:qFormat/>
    <w:uiPriority w:val="0"/>
    <w:pPr>
      <w:tabs>
        <w:tab w:val="left" w:pos="2580"/>
      </w:tabs>
      <w:spacing w:line="360" w:lineRule="auto"/>
      <w:ind w:left="2580" w:hanging="420" w:firstLineChars="200"/>
    </w:pPr>
    <w:rPr>
      <w:rFonts w:ascii="宋体" w:hAnsi="宋体"/>
      <w:sz w:val="24"/>
    </w:rPr>
  </w:style>
  <w:style w:type="paragraph" w:customStyle="1" w:styleId="665">
    <w:name w:val="Table Text"/>
    <w:basedOn w:val="1"/>
    <w:qFormat/>
    <w:uiPriority w:val="0"/>
    <w:pPr>
      <w:widowControl/>
      <w:spacing w:before="60" w:after="60" w:line="360" w:lineRule="auto"/>
      <w:ind w:firstLine="200" w:firstLineChars="200"/>
      <w:jc w:val="left"/>
    </w:pPr>
    <w:rPr>
      <w:kern w:val="0"/>
      <w:sz w:val="24"/>
    </w:rPr>
  </w:style>
  <w:style w:type="paragraph" w:customStyle="1" w:styleId="666">
    <w:name w:val="样式 样式 首行缩进:  2 字符 + 首行缩进:  2 字符 Char Char"/>
    <w:basedOn w:val="1"/>
    <w:qFormat/>
    <w:uiPriority w:val="99"/>
    <w:pPr>
      <w:ind w:firstLine="480" w:firstLineChars="200"/>
    </w:pPr>
    <w:rPr>
      <w:sz w:val="24"/>
    </w:rPr>
  </w:style>
  <w:style w:type="paragraph" w:customStyle="1" w:styleId="667">
    <w:name w:val="xl4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color w:val="000000"/>
      <w:kern w:val="0"/>
      <w:sz w:val="20"/>
      <w:szCs w:val="20"/>
    </w:rPr>
  </w:style>
  <w:style w:type="paragraph" w:customStyle="1" w:styleId="668">
    <w:name w:val="Char Char Char Char3 Char Char Char1 Char Char Char Char Char Char Char Char Char Char"/>
    <w:basedOn w:val="1"/>
    <w:qFormat/>
    <w:uiPriority w:val="0"/>
    <w:pPr>
      <w:spacing w:line="360" w:lineRule="auto"/>
      <w:ind w:firstLine="200" w:firstLineChars="200"/>
    </w:pPr>
    <w:rPr>
      <w:rFonts w:ascii="Tahoma" w:hAnsi="Tahoma" w:cs="Tahoma"/>
      <w:sz w:val="24"/>
      <w:szCs w:val="21"/>
    </w:rPr>
  </w:style>
  <w:style w:type="paragraph" w:customStyle="1" w:styleId="669">
    <w:name w:val="Char1 Char Char Char"/>
    <w:basedOn w:val="1"/>
    <w:qFormat/>
    <w:uiPriority w:val="0"/>
    <w:pPr>
      <w:spacing w:line="360" w:lineRule="auto"/>
      <w:ind w:firstLine="200" w:firstLineChars="200"/>
    </w:pPr>
    <w:rPr>
      <w:rFonts w:ascii="Tahoma" w:hAnsi="Tahoma"/>
      <w:sz w:val="24"/>
      <w:szCs w:val="20"/>
    </w:rPr>
  </w:style>
  <w:style w:type="paragraph" w:customStyle="1" w:styleId="670">
    <w:name w:val="Default Text"/>
    <w:basedOn w:val="1"/>
    <w:qFormat/>
    <w:uiPriority w:val="0"/>
    <w:pPr>
      <w:widowControl/>
      <w:overflowPunct w:val="0"/>
      <w:autoSpaceDE w:val="0"/>
      <w:autoSpaceDN w:val="0"/>
      <w:adjustRightInd w:val="0"/>
      <w:spacing w:line="360" w:lineRule="auto"/>
      <w:ind w:firstLine="200" w:firstLineChars="200"/>
      <w:jc w:val="left"/>
      <w:textAlignment w:val="baseline"/>
    </w:pPr>
    <w:rPr>
      <w:rFonts w:eastAsia="Times New Roman"/>
      <w:kern w:val="0"/>
      <w:sz w:val="24"/>
      <w:szCs w:val="20"/>
      <w:lang w:eastAsia="en-US"/>
    </w:rPr>
  </w:style>
  <w:style w:type="paragraph" w:customStyle="1" w:styleId="671">
    <w:name w:val="列出段落11"/>
    <w:basedOn w:val="1"/>
    <w:qFormat/>
    <w:uiPriority w:val="99"/>
    <w:pPr>
      <w:ind w:firstLine="420" w:firstLineChars="200"/>
    </w:pPr>
    <w:rPr>
      <w:szCs w:val="21"/>
    </w:rPr>
  </w:style>
  <w:style w:type="paragraph" w:customStyle="1" w:styleId="672">
    <w:name w:val="xl406"/>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center"/>
    </w:pPr>
    <w:rPr>
      <w:rFonts w:ascii="宋体" w:hAnsi="宋体" w:cs="宋体"/>
      <w:b/>
      <w:bCs/>
      <w:kern w:val="0"/>
      <w:sz w:val="20"/>
      <w:szCs w:val="20"/>
    </w:rPr>
  </w:style>
  <w:style w:type="paragraph" w:customStyle="1" w:styleId="673">
    <w:name w:val="font6"/>
    <w:basedOn w:val="1"/>
    <w:qFormat/>
    <w:uiPriority w:val="0"/>
    <w:pPr>
      <w:widowControl/>
      <w:spacing w:before="100" w:beforeAutospacing="1" w:after="100" w:afterAutospacing="1" w:line="360" w:lineRule="auto"/>
      <w:ind w:firstLine="200" w:firstLineChars="200"/>
      <w:jc w:val="left"/>
    </w:pPr>
    <w:rPr>
      <w:kern w:val="0"/>
      <w:sz w:val="20"/>
      <w:szCs w:val="20"/>
    </w:rPr>
  </w:style>
  <w:style w:type="paragraph" w:customStyle="1" w:styleId="674">
    <w:name w:val="_Style 6"/>
    <w:basedOn w:val="3"/>
    <w:next w:val="1"/>
    <w:qFormat/>
    <w:uiPriority w:val="0"/>
    <w:pPr>
      <w:autoSpaceDE/>
      <w:autoSpaceDN/>
      <w:adjustRightInd/>
      <w:spacing w:before="0" w:after="0" w:line="576" w:lineRule="auto"/>
      <w:jc w:val="both"/>
      <w:outlineLvl w:val="9"/>
    </w:pPr>
    <w:rPr>
      <w:rFonts w:ascii="Times New Roman"/>
      <w:bCs/>
      <w:sz w:val="44"/>
      <w:szCs w:val="44"/>
    </w:rPr>
  </w:style>
  <w:style w:type="paragraph" w:customStyle="1" w:styleId="675">
    <w:name w:val="列表项目"/>
    <w:basedOn w:val="1"/>
    <w:qFormat/>
    <w:uiPriority w:val="0"/>
    <w:pPr>
      <w:tabs>
        <w:tab w:val="left" w:pos="420"/>
        <w:tab w:val="left" w:pos="902"/>
      </w:tabs>
      <w:spacing w:line="288" w:lineRule="auto"/>
      <w:ind w:left="1249" w:hanging="767" w:firstLineChars="200"/>
    </w:pPr>
    <w:rPr>
      <w:sz w:val="24"/>
      <w:szCs w:val="20"/>
    </w:rPr>
  </w:style>
  <w:style w:type="paragraph" w:customStyle="1" w:styleId="676">
    <w:name w:val="xl262"/>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right"/>
    </w:pPr>
    <w:rPr>
      <w:rFonts w:ascii="宋体" w:hAnsi="宋体" w:cs="宋体"/>
      <w:b/>
      <w:bCs/>
      <w:color w:val="000000"/>
      <w:kern w:val="0"/>
      <w:sz w:val="18"/>
      <w:szCs w:val="18"/>
    </w:rPr>
  </w:style>
  <w:style w:type="paragraph" w:customStyle="1" w:styleId="677">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right"/>
    </w:pPr>
    <w:rPr>
      <w:rFonts w:ascii="Tahoma" w:hAnsi="Tahoma" w:cs="Tahoma"/>
      <w:color w:val="FF0000"/>
      <w:kern w:val="0"/>
      <w:sz w:val="20"/>
      <w:szCs w:val="20"/>
    </w:rPr>
  </w:style>
  <w:style w:type="paragraph" w:customStyle="1" w:styleId="678">
    <w:name w:val="h10"/>
    <w:basedOn w:val="8"/>
    <w:qFormat/>
    <w:uiPriority w:val="0"/>
    <w:pPr>
      <w:keepNext w:val="0"/>
      <w:keepLines w:val="0"/>
      <w:tabs>
        <w:tab w:val="left" w:pos="907"/>
        <w:tab w:val="left" w:pos="1704"/>
        <w:tab w:val="clear" w:pos="360"/>
      </w:tabs>
      <w:suppressAutoHyphens w:val="0"/>
      <w:snapToGrid w:val="0"/>
      <w:spacing w:beforeLines="50" w:afterLines="50" w:line="360" w:lineRule="auto"/>
      <w:ind w:left="907" w:hanging="619" w:firstLineChars="200"/>
      <w:jc w:val="left"/>
    </w:pPr>
    <w:rPr>
      <w:rFonts w:ascii="Times New Roman" w:hAnsi="Times New Roman"/>
      <w:kern w:val="2"/>
      <w:sz w:val="24"/>
      <w:szCs w:val="24"/>
      <w:lang w:eastAsia="zh-CN"/>
    </w:rPr>
  </w:style>
  <w:style w:type="paragraph" w:customStyle="1" w:styleId="679">
    <w:name w:val="Tabletext"/>
    <w:basedOn w:val="1"/>
    <w:qFormat/>
    <w:uiPriority w:val="0"/>
    <w:pPr>
      <w:keepLines/>
      <w:spacing w:before="60" w:after="120" w:line="240" w:lineRule="atLeast"/>
      <w:ind w:firstLine="200" w:firstLineChars="200"/>
      <w:jc w:val="left"/>
    </w:pPr>
    <w:rPr>
      <w:kern w:val="0"/>
      <w:sz w:val="24"/>
      <w:szCs w:val="20"/>
      <w:lang w:eastAsia="en-US"/>
    </w:rPr>
  </w:style>
  <w:style w:type="paragraph" w:customStyle="1" w:styleId="680">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681">
    <w:name w:val="正文文字 4"/>
    <w:basedOn w:val="32"/>
    <w:qFormat/>
    <w:uiPriority w:val="0"/>
    <w:pPr>
      <w:tabs>
        <w:tab w:val="left" w:pos="900"/>
        <w:tab w:val="left" w:pos="2730"/>
      </w:tabs>
      <w:adjustRightInd w:val="0"/>
      <w:spacing w:after="120" w:line="312" w:lineRule="atLeast"/>
      <w:ind w:firstLine="420" w:firstLineChars="200"/>
      <w:textAlignment w:val="baseline"/>
    </w:pPr>
    <w:rPr>
      <w:rFonts w:eastAsia="楷体_GB2312"/>
      <w:bCs/>
      <w:sz w:val="32"/>
      <w:szCs w:val="20"/>
    </w:rPr>
  </w:style>
  <w:style w:type="paragraph" w:customStyle="1" w:styleId="682">
    <w:name w:val="默认段落字体 Para Char Char Char Char Char Char Char Char Char Char"/>
    <w:basedOn w:val="1"/>
    <w:qFormat/>
    <w:uiPriority w:val="0"/>
    <w:pPr>
      <w:spacing w:line="360" w:lineRule="auto"/>
      <w:ind w:firstLine="200" w:firstLineChars="200"/>
    </w:pPr>
    <w:rPr>
      <w:rFonts w:ascii="Tahoma" w:hAnsi="Tahoma" w:eastAsia="仿宋_GB2312"/>
      <w:sz w:val="24"/>
      <w:szCs w:val="20"/>
    </w:rPr>
  </w:style>
  <w:style w:type="paragraph" w:customStyle="1" w:styleId="683">
    <w:name w:val="项目编号1级"/>
    <w:basedOn w:val="637"/>
    <w:qFormat/>
    <w:uiPriority w:val="0"/>
    <w:pPr>
      <w:tabs>
        <w:tab w:val="left" w:pos="840"/>
      </w:tabs>
      <w:ind w:left="840" w:hanging="420" w:firstLineChars="0"/>
    </w:pPr>
    <w:rPr>
      <w:rFonts w:ascii="Verdana" w:hAnsi="Verdana"/>
      <w:color w:val="000000"/>
      <w:szCs w:val="21"/>
    </w:rPr>
  </w:style>
  <w:style w:type="paragraph" w:customStyle="1" w:styleId="684">
    <w:name w:val="样式 文档正文 + 宋体 加粗 倾斜 首行缩进:  0 厘米 段后: 11.7 磅"/>
    <w:basedOn w:val="495"/>
    <w:qFormat/>
    <w:uiPriority w:val="0"/>
    <w:pPr>
      <w:tabs>
        <w:tab w:val="left" w:pos="720"/>
        <w:tab w:val="left" w:pos="900"/>
      </w:tabs>
      <w:suppressAutoHyphens w:val="0"/>
      <w:adjustRightInd w:val="0"/>
      <w:spacing w:after="234"/>
      <w:ind w:firstLine="0" w:firstLineChars="200"/>
      <w:jc w:val="both"/>
      <w:textAlignment w:val="baseline"/>
    </w:pPr>
    <w:rPr>
      <w:rFonts w:ascii="宋体" w:hAnsi="宋体" w:eastAsia="宋体"/>
      <w:bCs/>
      <w:iCs/>
      <w:sz w:val="24"/>
      <w:lang w:eastAsia="zh-CN"/>
    </w:rPr>
  </w:style>
  <w:style w:type="paragraph" w:customStyle="1" w:styleId="685">
    <w:name w:val="样式4"/>
    <w:basedOn w:val="663"/>
    <w:qFormat/>
    <w:uiPriority w:val="0"/>
    <w:pPr>
      <w:ind w:left="420" w:hanging="420"/>
      <w:jc w:val="center"/>
      <w:outlineLvl w:val="0"/>
    </w:pPr>
    <w:rPr>
      <w:b/>
      <w:sz w:val="21"/>
      <w:szCs w:val="21"/>
    </w:rPr>
  </w:style>
  <w:style w:type="paragraph" w:customStyle="1" w:styleId="686">
    <w:name w:val="xl408"/>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center"/>
    </w:pPr>
    <w:rPr>
      <w:rFonts w:ascii="宋体" w:hAnsi="宋体" w:cs="宋体"/>
      <w:b/>
      <w:bCs/>
      <w:color w:val="000000"/>
      <w:kern w:val="0"/>
      <w:sz w:val="20"/>
      <w:szCs w:val="20"/>
    </w:rPr>
  </w:style>
  <w:style w:type="paragraph" w:customStyle="1" w:styleId="687">
    <w:name w:val="正文 + 首行缩进:  2 字符 Char"/>
    <w:basedOn w:val="1"/>
    <w:qFormat/>
    <w:uiPriority w:val="0"/>
    <w:pPr>
      <w:spacing w:line="360" w:lineRule="auto"/>
      <w:ind w:firstLine="480" w:firstLineChars="200"/>
    </w:pPr>
    <w:rPr>
      <w:rFonts w:cs="宋体"/>
      <w:sz w:val="24"/>
      <w:szCs w:val="20"/>
    </w:rPr>
  </w:style>
  <w:style w:type="paragraph" w:customStyle="1" w:styleId="688">
    <w:name w:val="表编号"/>
    <w:basedOn w:val="1"/>
    <w:qFormat/>
    <w:uiPriority w:val="0"/>
    <w:pPr>
      <w:tabs>
        <w:tab w:val="left" w:pos="240"/>
      </w:tabs>
      <w:spacing w:line="360" w:lineRule="auto"/>
      <w:jc w:val="center"/>
    </w:pPr>
    <w:rPr>
      <w:b/>
    </w:rPr>
  </w:style>
  <w:style w:type="paragraph" w:customStyle="1" w:styleId="689">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color w:val="FF0000"/>
      <w:kern w:val="0"/>
      <w:sz w:val="20"/>
      <w:szCs w:val="20"/>
    </w:rPr>
  </w:style>
  <w:style w:type="paragraph" w:customStyle="1" w:styleId="690">
    <w:name w:val="font1"/>
    <w:basedOn w:val="1"/>
    <w:qFormat/>
    <w:uiPriority w:val="0"/>
    <w:pPr>
      <w:widowControl/>
      <w:spacing w:before="100" w:beforeAutospacing="1" w:after="100" w:afterAutospacing="1" w:line="360" w:lineRule="auto"/>
      <w:ind w:firstLine="200" w:firstLineChars="200"/>
      <w:jc w:val="left"/>
    </w:pPr>
    <w:rPr>
      <w:rFonts w:ascii="宋体" w:hAnsi="宋体" w:cs="宋体"/>
      <w:color w:val="000000"/>
      <w:kern w:val="0"/>
      <w:sz w:val="22"/>
      <w:szCs w:val="22"/>
    </w:rPr>
  </w:style>
  <w:style w:type="paragraph" w:customStyle="1" w:styleId="691">
    <w:name w:val="正文样式"/>
    <w:basedOn w:val="1"/>
    <w:qFormat/>
    <w:uiPriority w:val="0"/>
    <w:pPr>
      <w:spacing w:line="360" w:lineRule="auto"/>
      <w:ind w:firstLine="200" w:firstLineChars="200"/>
    </w:pPr>
    <w:rPr>
      <w:sz w:val="24"/>
      <w:szCs w:val="20"/>
    </w:rPr>
  </w:style>
  <w:style w:type="paragraph" w:customStyle="1" w:styleId="692">
    <w:name w:val="带编号的正文"/>
    <w:basedOn w:val="1"/>
    <w:qFormat/>
    <w:uiPriority w:val="0"/>
    <w:pPr>
      <w:tabs>
        <w:tab w:val="left" w:pos="1320"/>
      </w:tabs>
      <w:spacing w:line="360" w:lineRule="auto"/>
      <w:ind w:left="1320" w:hanging="420" w:firstLineChars="200"/>
    </w:pPr>
    <w:rPr>
      <w:rFonts w:ascii="宋体" w:hAnsi="宋体"/>
      <w:sz w:val="24"/>
    </w:rPr>
  </w:style>
  <w:style w:type="paragraph" w:customStyle="1" w:styleId="693">
    <w:name w:val="文中段落"/>
    <w:basedOn w:val="195"/>
    <w:qFormat/>
    <w:uiPriority w:val="0"/>
    <w:pPr>
      <w:ind w:firstLine="560"/>
    </w:pPr>
    <w:rPr>
      <w:rFonts w:ascii="Calibri" w:hAnsi="Calibri" w:eastAsia="仿宋_GB2312"/>
      <w:kern w:val="0"/>
      <w:sz w:val="28"/>
      <w:szCs w:val="21"/>
    </w:rPr>
  </w:style>
  <w:style w:type="paragraph" w:customStyle="1" w:styleId="694">
    <w:name w:val="样式 样式 样式 标题 2H2标题 2 CharUnderrubrik1prop2sect 1.2DO NOT USE_h2c....1"/>
    <w:basedOn w:val="1"/>
    <w:qFormat/>
    <w:uiPriority w:val="0"/>
    <w:pPr>
      <w:keepNext/>
      <w:keepLines/>
      <w:spacing w:before="156" w:afterLines="100" w:line="360" w:lineRule="auto"/>
      <w:ind w:left="4140" w:firstLine="200" w:firstLineChars="200"/>
      <w:jc w:val="center"/>
      <w:outlineLvl w:val="1"/>
    </w:pPr>
    <w:rPr>
      <w:rFonts w:ascii="Arial" w:hAnsi="Arial" w:cs="宋体"/>
      <w:b/>
      <w:bCs/>
      <w:sz w:val="36"/>
      <w:szCs w:val="20"/>
    </w:rPr>
  </w:style>
  <w:style w:type="paragraph" w:customStyle="1" w:styleId="695">
    <w:name w:val="xl414"/>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line="360" w:lineRule="auto"/>
      <w:ind w:firstLine="200" w:firstLineChars="200"/>
      <w:jc w:val="center"/>
    </w:pPr>
    <w:rPr>
      <w:rFonts w:ascii="宋体" w:hAnsi="宋体" w:cs="宋体"/>
      <w:b/>
      <w:bCs/>
      <w:color w:val="000000"/>
      <w:kern w:val="0"/>
      <w:sz w:val="20"/>
      <w:szCs w:val="20"/>
    </w:rPr>
  </w:style>
  <w:style w:type="paragraph" w:customStyle="1" w:styleId="696">
    <w:name w:val="q2"/>
    <w:basedOn w:val="4"/>
    <w:qFormat/>
    <w:uiPriority w:val="0"/>
    <w:pPr>
      <w:tabs>
        <w:tab w:val="left" w:pos="0"/>
      </w:tabs>
      <w:autoSpaceDE/>
      <w:autoSpaceDN/>
      <w:spacing w:before="0" w:beforeLines="50" w:afterLines="50" w:line="360" w:lineRule="auto"/>
      <w:jc w:val="both"/>
    </w:pPr>
    <w:rPr>
      <w:rFonts w:ascii="Times New Roman" w:hAnsi="Times New Roman" w:eastAsia="宋体"/>
      <w:bCs/>
      <w:kern w:val="2"/>
      <w:sz w:val="32"/>
      <w:szCs w:val="32"/>
    </w:rPr>
  </w:style>
  <w:style w:type="paragraph" w:customStyle="1" w:styleId="697">
    <w:name w:val="xl413"/>
    <w:basedOn w:val="1"/>
    <w:qFormat/>
    <w:uiPriority w:val="0"/>
    <w:pPr>
      <w:widowControl/>
      <w:spacing w:before="100" w:beforeAutospacing="1" w:after="100" w:afterAutospacing="1" w:line="360" w:lineRule="auto"/>
      <w:ind w:firstLine="200" w:firstLineChars="200"/>
      <w:jc w:val="left"/>
    </w:pPr>
    <w:rPr>
      <w:rFonts w:ascii="宋体" w:hAnsi="宋体" w:cs="宋体"/>
      <w:b/>
      <w:bCs/>
      <w:color w:val="000000"/>
      <w:kern w:val="0"/>
      <w:sz w:val="20"/>
      <w:szCs w:val="20"/>
    </w:rPr>
  </w:style>
  <w:style w:type="paragraph" w:customStyle="1" w:styleId="698">
    <w:name w:val="样式 左侧:  2 字符"/>
    <w:basedOn w:val="1"/>
    <w:qFormat/>
    <w:uiPriority w:val="0"/>
    <w:pPr>
      <w:tabs>
        <w:tab w:val="left" w:pos="0"/>
      </w:tabs>
      <w:spacing w:line="360" w:lineRule="auto"/>
      <w:ind w:left="900"/>
      <w:jc w:val="left"/>
    </w:pPr>
    <w:rPr>
      <w:rFonts w:ascii="宋体"/>
      <w:b/>
      <w:sz w:val="24"/>
    </w:rPr>
  </w:style>
  <w:style w:type="paragraph" w:customStyle="1" w:styleId="699">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right"/>
    </w:pPr>
    <w:rPr>
      <w:color w:val="FF0000"/>
      <w:kern w:val="0"/>
      <w:sz w:val="20"/>
      <w:szCs w:val="20"/>
    </w:rPr>
  </w:style>
  <w:style w:type="paragraph" w:customStyle="1" w:styleId="700">
    <w:name w:val="小四 行距: 1.5 倍行距"/>
    <w:basedOn w:val="1"/>
    <w:qFormat/>
    <w:uiPriority w:val="0"/>
    <w:pPr>
      <w:tabs>
        <w:tab w:val="left" w:pos="907"/>
      </w:tabs>
      <w:spacing w:line="360" w:lineRule="auto"/>
      <w:ind w:left="907" w:hanging="619" w:firstLineChars="200"/>
    </w:pPr>
    <w:rPr>
      <w:rFonts w:cs="宋体"/>
      <w:sz w:val="24"/>
      <w:szCs w:val="20"/>
    </w:rPr>
  </w:style>
  <w:style w:type="paragraph" w:customStyle="1" w:styleId="701">
    <w:name w:val="样式 标题 3h33rd levelH3一1Bold Headbh标题 3 Charl3 + 左侧:  0 厘..."/>
    <w:basedOn w:val="6"/>
    <w:qFormat/>
    <w:uiPriority w:val="0"/>
    <w:pPr>
      <w:tabs>
        <w:tab w:val="left" w:pos="0"/>
        <w:tab w:val="left" w:pos="1145"/>
      </w:tabs>
      <w:autoSpaceDE/>
      <w:autoSpaceDN/>
      <w:adjustRightInd/>
      <w:snapToGrid w:val="0"/>
      <w:spacing w:before="0" w:beforeLines="50" w:after="0" w:afterLines="50" w:line="413" w:lineRule="auto"/>
      <w:ind w:left="1145" w:hanging="720"/>
    </w:pPr>
    <w:rPr>
      <w:rFonts w:hAnsi="宋体"/>
      <w:bCs/>
      <w:kern w:val="24"/>
      <w:szCs w:val="21"/>
      <w:u w:val="none"/>
    </w:rPr>
  </w:style>
  <w:style w:type="paragraph" w:customStyle="1" w:styleId="702">
    <w:name w:val="Normal1"/>
    <w:basedOn w:val="1"/>
    <w:qFormat/>
    <w:uiPriority w:val="0"/>
    <w:pPr>
      <w:widowControl/>
      <w:overflowPunct w:val="0"/>
      <w:autoSpaceDE w:val="0"/>
      <w:autoSpaceDN w:val="0"/>
      <w:adjustRightInd w:val="0"/>
      <w:spacing w:line="360" w:lineRule="auto"/>
      <w:ind w:firstLine="200" w:firstLineChars="200"/>
      <w:textAlignment w:val="baseline"/>
    </w:pPr>
    <w:rPr>
      <w:bCs/>
      <w:kern w:val="0"/>
      <w:sz w:val="24"/>
      <w:szCs w:val="20"/>
    </w:rPr>
  </w:style>
  <w:style w:type="paragraph" w:customStyle="1" w:styleId="703">
    <w:name w:val="黑体小二中"/>
    <w:basedOn w:val="216"/>
    <w:qFormat/>
    <w:uiPriority w:val="0"/>
    <w:pPr>
      <w:tabs>
        <w:tab w:val="left" w:pos="0"/>
      </w:tabs>
      <w:spacing w:before="156" w:after="156"/>
      <w:ind w:firstLine="0" w:firstLineChars="0"/>
      <w:jc w:val="center"/>
    </w:pPr>
    <w:rPr>
      <w:rFonts w:ascii="黑体" w:hAnsi="Times New Roman" w:eastAsia="黑体"/>
      <w:sz w:val="36"/>
      <w:szCs w:val="36"/>
    </w:rPr>
  </w:style>
  <w:style w:type="paragraph" w:customStyle="1" w:styleId="704">
    <w:name w:val="xl271"/>
    <w:basedOn w:val="1"/>
    <w:qFormat/>
    <w:uiPriority w:val="0"/>
    <w:pPr>
      <w:widowControl/>
      <w:pBdr>
        <w:top w:val="single" w:color="auto" w:sz="4" w:space="0"/>
        <w:left w:val="single" w:color="auto" w:sz="4" w:space="0"/>
        <w:right w:val="single" w:color="auto" w:sz="4" w:space="0"/>
      </w:pBdr>
      <w:shd w:val="clear" w:color="000000" w:fill="C0C0C0"/>
      <w:spacing w:before="100" w:beforeAutospacing="1" w:after="100" w:afterAutospacing="1" w:line="360" w:lineRule="auto"/>
      <w:ind w:firstLine="200" w:firstLineChars="200"/>
      <w:jc w:val="center"/>
    </w:pPr>
    <w:rPr>
      <w:rFonts w:ascii="宋体" w:hAnsi="宋体" w:cs="宋体"/>
      <w:b/>
      <w:bCs/>
      <w:kern w:val="0"/>
      <w:sz w:val="18"/>
      <w:szCs w:val="18"/>
    </w:rPr>
  </w:style>
  <w:style w:type="paragraph" w:customStyle="1" w:styleId="705">
    <w:name w:val="xl36"/>
    <w:basedOn w:val="1"/>
    <w:qFormat/>
    <w:uiPriority w:val="0"/>
    <w:pPr>
      <w:widowControl/>
      <w:pBdr>
        <w:top w:val="single" w:color="auto" w:sz="4" w:space="0"/>
        <w:bottom w:val="single" w:color="auto" w:sz="4" w:space="0"/>
        <w:right w:val="single" w:color="auto" w:sz="4" w:space="0"/>
      </w:pBdr>
      <w:spacing w:before="100" w:beforeAutospacing="1" w:after="100" w:afterAutospacing="1" w:line="360" w:lineRule="auto"/>
      <w:ind w:firstLine="200" w:firstLineChars="200"/>
      <w:textAlignment w:val="top"/>
    </w:pPr>
    <w:rPr>
      <w:rFonts w:ascii="Arial Unicode MS" w:hAnsi="Arial Unicode MS" w:eastAsia="Arial Unicode MS" w:cs="Arial Unicode MS"/>
      <w:kern w:val="0"/>
      <w:sz w:val="24"/>
    </w:rPr>
  </w:style>
  <w:style w:type="paragraph" w:customStyle="1" w:styleId="706">
    <w:name w:val="样式 名称2 + 首行缩进:  1.08 厘米"/>
    <w:basedOn w:val="1"/>
    <w:qFormat/>
    <w:uiPriority w:val="0"/>
    <w:pPr>
      <w:spacing w:afterLines="50" w:line="360" w:lineRule="auto"/>
      <w:ind w:firstLine="200" w:firstLineChars="200"/>
      <w:jc w:val="center"/>
    </w:pPr>
    <w:rPr>
      <w:rFonts w:cs="宋体"/>
      <w:b/>
      <w:spacing w:val="12"/>
      <w:sz w:val="28"/>
      <w:szCs w:val="20"/>
    </w:rPr>
  </w:style>
  <w:style w:type="paragraph" w:customStyle="1" w:styleId="707">
    <w:name w:val="section list"/>
    <w:basedOn w:val="1"/>
    <w:qFormat/>
    <w:uiPriority w:val="0"/>
    <w:pPr>
      <w:widowControl/>
      <w:spacing w:line="360" w:lineRule="auto"/>
      <w:ind w:firstLine="200" w:firstLineChars="200"/>
      <w:jc w:val="left"/>
    </w:pPr>
    <w:rPr>
      <w:kern w:val="0"/>
      <w:sz w:val="24"/>
      <w:lang w:val="en-GB" w:eastAsia="en-US"/>
    </w:rPr>
  </w:style>
  <w:style w:type="paragraph" w:customStyle="1" w:styleId="70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pPr>
    <w:rPr>
      <w:rFonts w:ascii="Arial Unicode MS" w:hAnsi="Arial Unicode MS"/>
      <w:kern w:val="0"/>
      <w:sz w:val="20"/>
      <w:szCs w:val="20"/>
    </w:rPr>
  </w:style>
  <w:style w:type="paragraph" w:customStyle="1" w:styleId="709">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right"/>
      <w:textAlignment w:val="top"/>
    </w:pPr>
    <w:rPr>
      <w:rFonts w:ascii="Arial Unicode MS" w:hAnsi="Arial Unicode MS"/>
      <w:color w:val="FF0000"/>
      <w:kern w:val="0"/>
      <w:sz w:val="20"/>
      <w:szCs w:val="20"/>
    </w:rPr>
  </w:style>
  <w:style w:type="paragraph" w:customStyle="1" w:styleId="710">
    <w:name w:val="xl2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cs="宋体"/>
      <w:color w:val="000000"/>
      <w:kern w:val="0"/>
      <w:sz w:val="18"/>
      <w:szCs w:val="18"/>
    </w:rPr>
  </w:style>
  <w:style w:type="paragraph" w:customStyle="1" w:styleId="711">
    <w:name w:val="样式 正文缩进 + 首行缩进:  2 字符"/>
    <w:basedOn w:val="5"/>
    <w:qFormat/>
    <w:uiPriority w:val="0"/>
    <w:pPr>
      <w:autoSpaceDE/>
      <w:autoSpaceDN/>
      <w:adjustRightInd/>
      <w:spacing w:before="160" w:after="160" w:line="360" w:lineRule="auto"/>
      <w:ind w:firstLine="480" w:firstLineChars="200"/>
      <w:jc w:val="both"/>
    </w:pPr>
    <w:rPr>
      <w:rFonts w:hAnsi="宋体"/>
      <w:kern w:val="2"/>
      <w:szCs w:val="24"/>
    </w:rPr>
  </w:style>
  <w:style w:type="paragraph" w:customStyle="1" w:styleId="712">
    <w:name w:val="四级条标题"/>
    <w:basedOn w:val="713"/>
    <w:next w:val="412"/>
    <w:qFormat/>
    <w:uiPriority w:val="0"/>
    <w:pPr>
      <w:tabs>
        <w:tab w:val="left" w:pos="864"/>
        <w:tab w:val="left" w:pos="907"/>
        <w:tab w:val="left" w:pos="1008"/>
        <w:tab w:val="left" w:pos="1152"/>
        <w:tab w:val="left" w:pos="1680"/>
      </w:tabs>
      <w:ind w:left="1152" w:hanging="1152"/>
      <w:outlineLvl w:val="5"/>
    </w:pPr>
  </w:style>
  <w:style w:type="paragraph" w:customStyle="1" w:styleId="713">
    <w:name w:val="三级条标题"/>
    <w:basedOn w:val="714"/>
    <w:next w:val="412"/>
    <w:qFormat/>
    <w:uiPriority w:val="0"/>
    <w:pPr>
      <w:tabs>
        <w:tab w:val="left" w:pos="864"/>
        <w:tab w:val="left" w:pos="907"/>
        <w:tab w:val="left" w:pos="1008"/>
        <w:tab w:val="left" w:pos="1680"/>
      </w:tabs>
      <w:ind w:left="1008" w:hanging="1008"/>
      <w:outlineLvl w:val="4"/>
    </w:pPr>
  </w:style>
  <w:style w:type="paragraph" w:customStyle="1" w:styleId="714">
    <w:name w:val="二级条标题"/>
    <w:basedOn w:val="661"/>
    <w:next w:val="412"/>
    <w:qFormat/>
    <w:uiPriority w:val="0"/>
    <w:pPr>
      <w:tabs>
        <w:tab w:val="left" w:pos="864"/>
        <w:tab w:val="left" w:pos="907"/>
        <w:tab w:val="left" w:pos="1680"/>
      </w:tabs>
      <w:spacing w:beforeLines="50" w:afterLines="50"/>
      <w:ind w:left="864" w:hanging="864"/>
      <w:jc w:val="both"/>
      <w:outlineLvl w:val="3"/>
    </w:pPr>
    <w:rPr>
      <w:rFonts w:ascii="黑体"/>
      <w:szCs w:val="20"/>
    </w:rPr>
  </w:style>
  <w:style w:type="paragraph" w:customStyle="1" w:styleId="715">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Arial Unicode MS" w:hAnsi="Arial Unicode MS"/>
      <w:color w:val="FF0000"/>
      <w:kern w:val="0"/>
      <w:sz w:val="20"/>
      <w:szCs w:val="20"/>
    </w:rPr>
  </w:style>
  <w:style w:type="paragraph" w:customStyle="1" w:styleId="716">
    <w:name w:val="样式 小四 行距: 1.5 倍行距 首行缩进:  2 字符"/>
    <w:basedOn w:val="1"/>
    <w:qFormat/>
    <w:uiPriority w:val="0"/>
    <w:pPr>
      <w:spacing w:line="360" w:lineRule="auto"/>
      <w:ind w:firstLine="480" w:firstLineChars="200"/>
    </w:pPr>
    <w:rPr>
      <w:rFonts w:eastAsia="楷体_GB2312"/>
      <w:sz w:val="24"/>
      <w:szCs w:val="20"/>
    </w:rPr>
  </w:style>
  <w:style w:type="paragraph" w:customStyle="1" w:styleId="717">
    <w:name w:val="Bullet 1"/>
    <w:basedOn w:val="1"/>
    <w:qFormat/>
    <w:uiPriority w:val="0"/>
    <w:pPr>
      <w:widowControl/>
      <w:tabs>
        <w:tab w:val="left" w:pos="619"/>
      </w:tabs>
      <w:spacing w:before="72" w:line="360" w:lineRule="auto"/>
      <w:ind w:left="619" w:hanging="619" w:firstLineChars="200"/>
      <w:jc w:val="left"/>
    </w:pPr>
    <w:rPr>
      <w:rFonts w:ascii="Arial" w:hAnsi="Arial"/>
      <w:kern w:val="0"/>
      <w:sz w:val="20"/>
      <w:lang w:val="en-GB" w:eastAsia="en-US"/>
    </w:rPr>
  </w:style>
  <w:style w:type="paragraph" w:customStyle="1" w:styleId="718">
    <w:name w:val="xl266"/>
    <w:basedOn w:val="1"/>
    <w:qFormat/>
    <w:uiPriority w:val="0"/>
    <w:pPr>
      <w:widowControl/>
      <w:spacing w:before="100" w:beforeAutospacing="1" w:after="100" w:afterAutospacing="1" w:line="360" w:lineRule="auto"/>
      <w:ind w:firstLine="200" w:firstLineChars="200"/>
      <w:jc w:val="center"/>
    </w:pPr>
    <w:rPr>
      <w:rFonts w:ascii="宋体" w:hAnsi="宋体" w:cs="宋体"/>
      <w:color w:val="0000FF"/>
      <w:kern w:val="0"/>
      <w:sz w:val="18"/>
      <w:szCs w:val="18"/>
    </w:rPr>
  </w:style>
  <w:style w:type="paragraph" w:customStyle="1" w:styleId="719">
    <w:name w:val="xl261"/>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left"/>
    </w:pPr>
    <w:rPr>
      <w:rFonts w:ascii="宋体" w:hAnsi="宋体" w:cs="宋体"/>
      <w:b/>
      <w:bCs/>
      <w:color w:val="000000"/>
      <w:kern w:val="0"/>
      <w:sz w:val="18"/>
      <w:szCs w:val="18"/>
    </w:rPr>
  </w:style>
  <w:style w:type="paragraph" w:customStyle="1" w:styleId="720">
    <w:name w:val="xl257"/>
    <w:basedOn w:val="1"/>
    <w:qFormat/>
    <w:uiPriority w:val="0"/>
    <w:pPr>
      <w:widowControl/>
      <w:pBdr>
        <w:top w:val="single" w:color="auto" w:sz="4" w:space="0"/>
        <w:left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b/>
      <w:bCs/>
      <w:color w:val="000000"/>
      <w:kern w:val="0"/>
      <w:sz w:val="18"/>
      <w:szCs w:val="18"/>
    </w:rPr>
  </w:style>
  <w:style w:type="paragraph" w:customStyle="1" w:styleId="721">
    <w:name w:val="xl417"/>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line="360" w:lineRule="auto"/>
      <w:ind w:firstLine="200" w:firstLineChars="200"/>
      <w:jc w:val="left"/>
    </w:pPr>
    <w:rPr>
      <w:rFonts w:ascii="宋体" w:hAnsi="宋体" w:cs="宋体"/>
      <w:b/>
      <w:bCs/>
      <w:color w:val="000000"/>
      <w:kern w:val="0"/>
      <w:sz w:val="20"/>
      <w:szCs w:val="20"/>
    </w:rPr>
  </w:style>
  <w:style w:type="paragraph" w:customStyle="1" w:styleId="722">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right"/>
      <w:textAlignment w:val="top"/>
    </w:pPr>
    <w:rPr>
      <w:color w:val="FF0000"/>
      <w:kern w:val="0"/>
      <w:sz w:val="20"/>
      <w:szCs w:val="20"/>
    </w:rPr>
  </w:style>
  <w:style w:type="paragraph" w:customStyle="1" w:styleId="723">
    <w:name w:val="Char Char Char Char Char Char Char1"/>
    <w:basedOn w:val="1"/>
    <w:qFormat/>
    <w:uiPriority w:val="0"/>
    <w:pPr>
      <w:adjustRightInd w:val="0"/>
      <w:spacing w:line="360" w:lineRule="auto"/>
      <w:ind w:firstLine="200" w:firstLineChars="200"/>
    </w:pPr>
    <w:rPr>
      <w:kern w:val="0"/>
      <w:sz w:val="24"/>
      <w:szCs w:val="20"/>
    </w:rPr>
  </w:style>
  <w:style w:type="paragraph" w:customStyle="1" w:styleId="724">
    <w:name w:val="xl33"/>
    <w:basedOn w:val="1"/>
    <w:qFormat/>
    <w:uiPriority w:val="0"/>
    <w:pPr>
      <w:widowControl/>
      <w:pBdr>
        <w:top w:val="single" w:color="auto" w:sz="4" w:space="0"/>
      </w:pBdr>
      <w:spacing w:before="100" w:beforeAutospacing="1" w:after="100" w:afterAutospacing="1" w:line="360" w:lineRule="auto"/>
      <w:ind w:firstLine="200" w:firstLineChars="200"/>
    </w:pPr>
    <w:rPr>
      <w:rFonts w:ascii="Arial Unicode MS" w:hAnsi="Arial Unicode MS" w:eastAsia="Arial Unicode MS" w:cs="Arial Unicode MS"/>
      <w:kern w:val="0"/>
      <w:sz w:val="24"/>
    </w:rPr>
  </w:style>
  <w:style w:type="paragraph" w:customStyle="1" w:styleId="725">
    <w:name w:val="xl263"/>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line="360" w:lineRule="auto"/>
      <w:ind w:firstLine="200" w:firstLineChars="200"/>
      <w:jc w:val="left"/>
    </w:pPr>
    <w:rPr>
      <w:rFonts w:ascii="宋体" w:hAnsi="宋体" w:cs="宋体"/>
      <w:b/>
      <w:bCs/>
      <w:kern w:val="0"/>
      <w:sz w:val="18"/>
      <w:szCs w:val="18"/>
    </w:rPr>
  </w:style>
  <w:style w:type="paragraph" w:customStyle="1" w:styleId="726">
    <w:name w:val="样式 标题 5h5Second SubheadingH5口PIM 5标题 5 Char5l4第四层条dsd...1"/>
    <w:basedOn w:val="1"/>
    <w:qFormat/>
    <w:uiPriority w:val="0"/>
    <w:pPr>
      <w:tabs>
        <w:tab w:val="left" w:pos="900"/>
      </w:tabs>
      <w:spacing w:line="360" w:lineRule="auto"/>
      <w:ind w:left="900" w:hanging="420" w:firstLineChars="200"/>
    </w:pPr>
    <w:rPr>
      <w:rFonts w:ascii="宋体" w:hAnsi="宋体"/>
      <w:b/>
      <w:sz w:val="24"/>
    </w:rPr>
  </w:style>
  <w:style w:type="paragraph" w:customStyle="1" w:styleId="727">
    <w:name w:val="xl415"/>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line="360" w:lineRule="auto"/>
      <w:ind w:firstLine="200" w:firstLineChars="200"/>
      <w:jc w:val="left"/>
    </w:pPr>
    <w:rPr>
      <w:rFonts w:ascii="宋体" w:hAnsi="宋体" w:cs="宋体"/>
      <w:b/>
      <w:bCs/>
      <w:color w:val="000000"/>
      <w:kern w:val="0"/>
      <w:sz w:val="20"/>
      <w:szCs w:val="20"/>
    </w:rPr>
  </w:style>
  <w:style w:type="paragraph" w:customStyle="1" w:styleId="728">
    <w:name w:val="a14"/>
    <w:basedOn w:val="1"/>
    <w:qFormat/>
    <w:uiPriority w:val="0"/>
    <w:pPr>
      <w:widowControl/>
      <w:spacing w:before="100" w:beforeAutospacing="1" w:after="100" w:afterAutospacing="1" w:line="300" w:lineRule="atLeast"/>
      <w:ind w:firstLine="375" w:firstLineChars="200"/>
      <w:jc w:val="left"/>
    </w:pPr>
    <w:rPr>
      <w:rFonts w:ascii="Arial Unicode MS" w:hAnsi="Arial Unicode MS" w:eastAsia="Arial Unicode MS" w:cs="Arial Unicode MS"/>
      <w:kern w:val="0"/>
      <w:sz w:val="24"/>
      <w:szCs w:val="21"/>
    </w:rPr>
  </w:style>
  <w:style w:type="paragraph" w:customStyle="1" w:styleId="729">
    <w:name w:val="样式 正文首行缩进 + 首行缩进:  1 字符"/>
    <w:basedOn w:val="79"/>
    <w:qFormat/>
    <w:uiPriority w:val="0"/>
    <w:pPr>
      <w:tabs>
        <w:tab w:val="left" w:pos="2730"/>
      </w:tabs>
      <w:spacing w:line="360" w:lineRule="auto"/>
      <w:ind w:firstLine="480" w:firstLineChars="200"/>
    </w:pPr>
    <w:rPr>
      <w:kern w:val="2"/>
      <w:sz w:val="21"/>
      <w:szCs w:val="20"/>
    </w:rPr>
  </w:style>
  <w:style w:type="paragraph" w:customStyle="1" w:styleId="730">
    <w:name w:val="xl267"/>
    <w:basedOn w:val="1"/>
    <w:qFormat/>
    <w:uiPriority w:val="0"/>
    <w:pPr>
      <w:widowControl/>
      <w:spacing w:before="100" w:beforeAutospacing="1" w:after="100" w:afterAutospacing="1" w:line="360" w:lineRule="auto"/>
      <w:ind w:firstLine="200" w:firstLineChars="200"/>
      <w:jc w:val="left"/>
    </w:pPr>
    <w:rPr>
      <w:rFonts w:ascii="宋体" w:hAnsi="宋体" w:cs="宋体"/>
      <w:color w:val="FF0000"/>
      <w:kern w:val="0"/>
      <w:sz w:val="18"/>
      <w:szCs w:val="18"/>
    </w:rPr>
  </w:style>
  <w:style w:type="paragraph" w:customStyle="1" w:styleId="731">
    <w:name w:val="xl120"/>
    <w:basedOn w:val="1"/>
    <w:qFormat/>
    <w:uiPriority w:val="0"/>
    <w:pPr>
      <w:widowControl/>
      <w:spacing w:before="100" w:beforeAutospacing="1" w:after="100" w:afterAutospacing="1"/>
      <w:jc w:val="left"/>
    </w:pPr>
    <w:rPr>
      <w:rFonts w:ascii="宋体" w:hAnsi="宋体" w:cs="宋体"/>
      <w:kern w:val="0"/>
      <w:sz w:val="24"/>
    </w:rPr>
  </w:style>
  <w:style w:type="paragraph" w:customStyle="1" w:styleId="732">
    <w:name w:val="1）编号"/>
    <w:basedOn w:val="195"/>
    <w:qFormat/>
    <w:uiPriority w:val="0"/>
    <w:pPr>
      <w:tabs>
        <w:tab w:val="left" w:pos="360"/>
      </w:tabs>
      <w:ind w:left="200" w:leftChars="200" w:hanging="200" w:hangingChars="200"/>
    </w:pPr>
    <w:rPr>
      <w:rFonts w:ascii="Calibri" w:hAnsi="Calibri" w:eastAsia="仿宋_GB2312"/>
      <w:kern w:val="0"/>
      <w:sz w:val="28"/>
      <w:szCs w:val="21"/>
    </w:rPr>
  </w:style>
  <w:style w:type="paragraph" w:customStyle="1" w:styleId="733">
    <w:name w:val="Char1 Char Char Char Char Char1 Char1 Char Char"/>
    <w:basedOn w:val="1"/>
    <w:qFormat/>
    <w:uiPriority w:val="0"/>
    <w:rPr>
      <w:rFonts w:ascii="Tahoma" w:hAnsi="Tahoma"/>
      <w:sz w:val="24"/>
      <w:szCs w:val="20"/>
    </w:rPr>
  </w:style>
  <w:style w:type="paragraph" w:customStyle="1" w:styleId="734">
    <w:name w:val="xl151"/>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35">
    <w:name w:val="xl416"/>
    <w:basedOn w:val="1"/>
    <w:qFormat/>
    <w:uiPriority w:val="0"/>
    <w:pPr>
      <w:widowControl/>
      <w:pBdr>
        <w:top w:val="single" w:color="auto" w:sz="4" w:space="0"/>
        <w:left w:val="single" w:color="auto" w:sz="4" w:space="0"/>
        <w:bottom w:val="single" w:color="auto" w:sz="4" w:space="0"/>
        <w:right w:val="single" w:color="auto" w:sz="4" w:space="0"/>
      </w:pBdr>
      <w:shd w:val="clear" w:color="000000" w:fill="99CCFF"/>
      <w:spacing w:before="100" w:beforeAutospacing="1" w:after="100" w:afterAutospacing="1" w:line="360" w:lineRule="auto"/>
      <w:ind w:firstLine="200" w:firstLineChars="200"/>
      <w:jc w:val="center"/>
    </w:pPr>
    <w:rPr>
      <w:rFonts w:ascii="宋体" w:hAnsi="宋体" w:cs="宋体"/>
      <w:b/>
      <w:bCs/>
      <w:color w:val="000000"/>
      <w:kern w:val="0"/>
      <w:sz w:val="20"/>
      <w:szCs w:val="20"/>
    </w:rPr>
  </w:style>
  <w:style w:type="paragraph" w:customStyle="1" w:styleId="736">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b/>
      <w:bCs/>
      <w:kern w:val="0"/>
      <w:sz w:val="20"/>
      <w:szCs w:val="20"/>
    </w:rPr>
  </w:style>
  <w:style w:type="paragraph" w:customStyle="1" w:styleId="737">
    <w:name w:val="_Style 8"/>
    <w:basedOn w:val="1"/>
    <w:qFormat/>
    <w:uiPriority w:val="0"/>
    <w:rPr>
      <w:sz w:val="24"/>
      <w:szCs w:val="20"/>
    </w:rPr>
  </w:style>
  <w:style w:type="paragraph" w:customStyle="1" w:styleId="738">
    <w:name w:val="样式 首行缩进:  0.85 厘米 段前: 6 磅 段后: 6 磅"/>
    <w:basedOn w:val="216"/>
    <w:qFormat/>
    <w:uiPriority w:val="0"/>
    <w:pPr>
      <w:tabs>
        <w:tab w:val="left" w:pos="0"/>
      </w:tabs>
      <w:spacing w:before="100" w:beforeAutospacing="1" w:after="100" w:afterAutospacing="1"/>
      <w:ind w:firstLine="0" w:firstLineChars="0"/>
    </w:pPr>
    <w:rPr>
      <w:rFonts w:ascii="Times New Roman" w:hAnsi="Times New Roman"/>
      <w:szCs w:val="20"/>
    </w:rPr>
  </w:style>
  <w:style w:type="paragraph" w:customStyle="1" w:styleId="739">
    <w:name w:val="xl15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40">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kern w:val="0"/>
      <w:sz w:val="20"/>
      <w:szCs w:val="20"/>
    </w:rPr>
  </w:style>
  <w:style w:type="paragraph" w:customStyle="1" w:styleId="741">
    <w:name w:val="xl259"/>
    <w:basedOn w:val="1"/>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line="360" w:lineRule="auto"/>
      <w:ind w:firstLine="200" w:firstLineChars="200"/>
      <w:jc w:val="left"/>
    </w:pPr>
    <w:rPr>
      <w:rFonts w:ascii="宋体" w:hAnsi="宋体" w:cs="宋体"/>
      <w:b/>
      <w:bCs/>
      <w:color w:val="000000"/>
      <w:kern w:val="0"/>
      <w:sz w:val="18"/>
      <w:szCs w:val="18"/>
    </w:rPr>
  </w:style>
  <w:style w:type="paragraph" w:customStyle="1" w:styleId="742">
    <w:name w:val="ListBullet2"/>
    <w:basedOn w:val="1"/>
    <w:next w:val="1"/>
    <w:qFormat/>
    <w:uiPriority w:val="0"/>
    <w:pPr>
      <w:suppressAutoHyphens/>
      <w:jc w:val="left"/>
    </w:pPr>
    <w:rPr>
      <w:rFonts w:ascii="宋体" w:hAnsi="宋体" w:cs="Angsana New"/>
      <w:kern w:val="1"/>
      <w:sz w:val="24"/>
      <w:lang w:eastAsia="th-TH" w:bidi="th-TH"/>
    </w:rPr>
  </w:style>
  <w:style w:type="paragraph" w:customStyle="1" w:styleId="743">
    <w:name w:val="xl2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right"/>
    </w:pPr>
    <w:rPr>
      <w:rFonts w:ascii="宋体" w:hAnsi="宋体" w:cs="宋体"/>
      <w:b/>
      <w:bCs/>
      <w:color w:val="000000"/>
      <w:kern w:val="0"/>
      <w:sz w:val="18"/>
      <w:szCs w:val="18"/>
    </w:rPr>
  </w:style>
  <w:style w:type="paragraph" w:customStyle="1" w:styleId="744">
    <w:name w:val="默认段落字体 Para Char Char Char1 Char"/>
    <w:basedOn w:val="1"/>
    <w:qFormat/>
    <w:uiPriority w:val="0"/>
    <w:pPr>
      <w:tabs>
        <w:tab w:val="left" w:pos="432"/>
      </w:tabs>
      <w:ind w:left="432" w:hanging="432"/>
    </w:pPr>
    <w:rPr>
      <w:sz w:val="24"/>
      <w:szCs w:val="20"/>
    </w:rPr>
  </w:style>
  <w:style w:type="paragraph" w:customStyle="1" w:styleId="745">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746">
    <w:name w:val="xl12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747">
    <w:name w:val="xl4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textAlignment w:val="top"/>
    </w:pPr>
    <w:rPr>
      <w:kern w:val="0"/>
      <w:sz w:val="20"/>
      <w:szCs w:val="20"/>
    </w:rPr>
  </w:style>
  <w:style w:type="paragraph" w:customStyle="1" w:styleId="748">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749">
    <w:name w:val="Char Char Char Char1 Char Char Char Char Char Char Char Char Char Char Char1 Char1 Char Char2 Char Char Char Char Char Char Char Char Char Char1 Char Char"/>
    <w:basedOn w:val="1"/>
    <w:qFormat/>
    <w:uiPriority w:val="0"/>
    <w:rPr>
      <w:rFonts w:ascii="Tahoma" w:hAnsi="Tahoma"/>
      <w:sz w:val="24"/>
      <w:szCs w:val="20"/>
    </w:rPr>
  </w:style>
  <w:style w:type="paragraph" w:customStyle="1" w:styleId="750">
    <w:name w:val="规范正文"/>
    <w:basedOn w:val="47"/>
    <w:qFormat/>
    <w:uiPriority w:val="0"/>
    <w:pPr>
      <w:tabs>
        <w:tab w:val="left" w:pos="907"/>
        <w:tab w:val="left" w:pos="2730"/>
      </w:tabs>
      <w:spacing w:after="120" w:line="480" w:lineRule="auto"/>
      <w:ind w:left="907" w:hanging="619"/>
    </w:pPr>
    <w:rPr>
      <w:rFonts w:ascii="Times New Roman" w:eastAsia="宋体"/>
      <w:bCs/>
      <w:kern w:val="2"/>
      <w:sz w:val="21"/>
      <w:szCs w:val="21"/>
    </w:rPr>
  </w:style>
  <w:style w:type="paragraph" w:customStyle="1" w:styleId="751">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52">
    <w:name w:val="xl126"/>
    <w:basedOn w:val="1"/>
    <w:qFormat/>
    <w:uiPriority w:val="0"/>
    <w:pPr>
      <w:widowControl/>
      <w:pBdr>
        <w:bottom w:val="single" w:color="auto" w:sz="4" w:space="0"/>
      </w:pBdr>
      <w:spacing w:before="100" w:beforeAutospacing="1" w:after="100" w:afterAutospacing="1"/>
      <w:jc w:val="left"/>
    </w:pPr>
    <w:rPr>
      <w:rFonts w:ascii="宋体" w:hAnsi="宋体" w:cs="宋体"/>
      <w:kern w:val="0"/>
      <w:sz w:val="20"/>
      <w:szCs w:val="20"/>
    </w:rPr>
  </w:style>
  <w:style w:type="paragraph" w:customStyle="1" w:styleId="753">
    <w:name w:val="l正文"/>
    <w:qFormat/>
    <w:uiPriority w:val="0"/>
    <w:pPr>
      <w:spacing w:line="360" w:lineRule="auto"/>
      <w:ind w:firstLine="200" w:firstLineChars="200"/>
      <w:jc w:val="both"/>
    </w:pPr>
    <w:rPr>
      <w:rFonts w:ascii="楷体_GB2312" w:hAnsi="Times New Roman" w:eastAsia="楷体_GB2312" w:cs="Times New Roman"/>
      <w:sz w:val="24"/>
      <w:lang w:val="en-US" w:eastAsia="zh-CN" w:bidi="ar-SA"/>
    </w:rPr>
  </w:style>
  <w:style w:type="paragraph" w:customStyle="1" w:styleId="754">
    <w:name w:val="xl12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755">
    <w:name w:val="目录标题1"/>
    <w:basedOn w:val="1"/>
    <w:qFormat/>
    <w:uiPriority w:val="0"/>
    <w:pPr>
      <w:spacing w:line="360" w:lineRule="auto"/>
      <w:ind w:firstLine="200" w:firstLineChars="200"/>
    </w:pPr>
    <w:rPr>
      <w:rFonts w:ascii="宋体" w:hAnsi="宋体"/>
      <w:sz w:val="24"/>
    </w:rPr>
  </w:style>
  <w:style w:type="paragraph" w:customStyle="1" w:styleId="756">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textAlignment w:val="top"/>
    </w:pPr>
    <w:rPr>
      <w:rFonts w:ascii="Arial Unicode MS" w:hAnsi="Arial Unicode MS"/>
      <w:color w:val="FF0000"/>
      <w:kern w:val="0"/>
      <w:sz w:val="20"/>
      <w:szCs w:val="20"/>
    </w:rPr>
  </w:style>
  <w:style w:type="paragraph" w:customStyle="1" w:styleId="757">
    <w:name w:val="SG186正文"/>
    <w:basedOn w:val="1"/>
    <w:qFormat/>
    <w:uiPriority w:val="0"/>
    <w:pPr>
      <w:spacing w:line="360" w:lineRule="auto"/>
      <w:ind w:firstLine="480" w:firstLineChars="200"/>
      <w:jc w:val="left"/>
    </w:pPr>
    <w:rPr>
      <w:rFonts w:ascii="宋体" w:hAnsi="宋体"/>
      <w:kern w:val="0"/>
      <w:sz w:val="24"/>
      <w:szCs w:val="20"/>
    </w:rPr>
  </w:style>
  <w:style w:type="paragraph" w:customStyle="1" w:styleId="758">
    <w:name w:val="xl14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59">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b/>
      <w:bCs/>
      <w:kern w:val="0"/>
      <w:sz w:val="20"/>
      <w:szCs w:val="20"/>
    </w:rPr>
  </w:style>
  <w:style w:type="paragraph" w:customStyle="1" w:styleId="760">
    <w:name w:val="正文居中"/>
    <w:basedOn w:val="1"/>
    <w:qFormat/>
    <w:uiPriority w:val="0"/>
    <w:pPr>
      <w:spacing w:line="360" w:lineRule="auto"/>
      <w:ind w:firstLine="200" w:firstLineChars="200"/>
      <w:jc w:val="center"/>
    </w:pPr>
    <w:rPr>
      <w:rFonts w:ascii="Arial" w:hAnsi="Arial"/>
      <w:sz w:val="24"/>
    </w:rPr>
  </w:style>
  <w:style w:type="paragraph" w:customStyle="1" w:styleId="761">
    <w:name w:val="lastincell"/>
    <w:basedOn w:val="1"/>
    <w:qFormat/>
    <w:uiPriority w:val="0"/>
    <w:pPr>
      <w:widowControl/>
      <w:spacing w:before="100" w:beforeAutospacing="1" w:after="100" w:afterAutospacing="1"/>
      <w:jc w:val="left"/>
    </w:pPr>
    <w:rPr>
      <w:rFonts w:eastAsia="Batang"/>
      <w:kern w:val="0"/>
      <w:sz w:val="24"/>
      <w:lang w:eastAsia="ja-JP"/>
    </w:rPr>
  </w:style>
  <w:style w:type="paragraph" w:customStyle="1" w:styleId="762">
    <w:name w:val="xl127"/>
    <w:basedOn w:val="1"/>
    <w:qFormat/>
    <w:uiPriority w:val="0"/>
    <w:pPr>
      <w:widowControl/>
      <w:pBdr>
        <w:bottom w:val="single" w:color="auto" w:sz="4" w:space="0"/>
      </w:pBdr>
      <w:spacing w:before="100" w:beforeAutospacing="1" w:after="100" w:afterAutospacing="1"/>
      <w:jc w:val="left"/>
    </w:pPr>
    <w:rPr>
      <w:rFonts w:ascii="宋体" w:hAnsi="宋体" w:cs="宋体"/>
      <w:kern w:val="0"/>
      <w:sz w:val="20"/>
      <w:szCs w:val="20"/>
    </w:rPr>
  </w:style>
  <w:style w:type="paragraph" w:customStyle="1" w:styleId="763">
    <w:name w:val="!my（1）"/>
    <w:qFormat/>
    <w:uiPriority w:val="0"/>
    <w:pPr>
      <w:tabs>
        <w:tab w:val="left" w:pos="1335"/>
      </w:tabs>
      <w:spacing w:beforeLines="50" w:afterLines="50" w:line="360" w:lineRule="auto"/>
      <w:ind w:left="1335" w:hanging="855"/>
    </w:pPr>
    <w:rPr>
      <w:rFonts w:ascii="Times New Roman" w:hAnsi="Times New Roman" w:eastAsia="宋体" w:cs="Times New Roman"/>
      <w:kern w:val="2"/>
      <w:sz w:val="24"/>
      <w:szCs w:val="24"/>
      <w:lang w:val="en-US" w:eastAsia="zh-CN" w:bidi="ar-SA"/>
    </w:rPr>
  </w:style>
  <w:style w:type="paragraph" w:customStyle="1" w:styleId="764">
    <w:name w:val="Char Char Char Char1 Char Char Char Char Char Char Char Char Char Char Char1 Char1 Char Char2 Char Char Char Char Char Char Char Char Char Char1 Char Char Char"/>
    <w:basedOn w:val="1"/>
    <w:qFormat/>
    <w:uiPriority w:val="0"/>
    <w:rPr>
      <w:rFonts w:ascii="Tahoma" w:hAnsi="Tahoma"/>
      <w:sz w:val="24"/>
      <w:szCs w:val="20"/>
    </w:rPr>
  </w:style>
  <w:style w:type="paragraph" w:customStyle="1" w:styleId="765">
    <w:name w:val="xl129"/>
    <w:basedOn w:val="1"/>
    <w:qFormat/>
    <w:uiPriority w:val="0"/>
    <w:pPr>
      <w:widowControl/>
      <w:pBdr>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766">
    <w:name w:val="Char3"/>
    <w:basedOn w:val="1"/>
    <w:qFormat/>
    <w:uiPriority w:val="0"/>
    <w:pPr>
      <w:widowControl/>
      <w:spacing w:after="160" w:line="240" w:lineRule="exact"/>
      <w:ind w:firstLine="200" w:firstLineChars="200"/>
      <w:jc w:val="left"/>
    </w:pPr>
    <w:rPr>
      <w:rFonts w:ascii="Verdana" w:hAnsi="Verdana"/>
      <w:kern w:val="0"/>
      <w:sz w:val="20"/>
      <w:szCs w:val="20"/>
      <w:lang w:eastAsia="en-US"/>
    </w:rPr>
  </w:style>
  <w:style w:type="paragraph" w:customStyle="1" w:styleId="767">
    <w:name w:val="样式16"/>
    <w:basedOn w:val="1"/>
    <w:qFormat/>
    <w:uiPriority w:val="0"/>
    <w:pPr>
      <w:keepNext/>
      <w:widowControl/>
      <w:spacing w:before="120" w:after="60"/>
      <w:ind w:left="720" w:hanging="720"/>
      <w:jc w:val="left"/>
      <w:outlineLvl w:val="2"/>
    </w:pPr>
    <w:rPr>
      <w:rFonts w:ascii="Arial" w:hAnsi="Arial"/>
      <w:b/>
      <w:sz w:val="28"/>
      <w:szCs w:val="20"/>
    </w:rPr>
  </w:style>
  <w:style w:type="paragraph" w:customStyle="1" w:styleId="768">
    <w:name w:val="xl13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769">
    <w:name w:val="xl32"/>
    <w:basedOn w:val="1"/>
    <w:qFormat/>
    <w:uiPriority w:val="0"/>
    <w:pPr>
      <w:widowControl/>
      <w:pBdr>
        <w:left w:val="single" w:color="auto" w:sz="4" w:space="0"/>
        <w:bottom w:val="single" w:color="auto" w:sz="4" w:space="0"/>
      </w:pBdr>
      <w:spacing w:before="100" w:beforeAutospacing="1" w:after="100" w:afterAutospacing="1" w:line="360" w:lineRule="auto"/>
      <w:ind w:firstLine="200" w:firstLineChars="200"/>
    </w:pPr>
    <w:rPr>
      <w:rFonts w:ascii="Arial Unicode MS" w:hAnsi="Arial Unicode MS" w:eastAsia="Arial Unicode MS" w:cs="Arial Unicode MS"/>
      <w:kern w:val="0"/>
      <w:sz w:val="24"/>
    </w:rPr>
  </w:style>
  <w:style w:type="paragraph" w:customStyle="1" w:styleId="770">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kern w:val="0"/>
      <w:sz w:val="20"/>
      <w:szCs w:val="20"/>
    </w:rPr>
  </w:style>
  <w:style w:type="paragraph" w:customStyle="1" w:styleId="771">
    <w:name w:val="项目介绍"/>
    <w:basedOn w:val="1"/>
    <w:qFormat/>
    <w:uiPriority w:val="0"/>
    <w:pPr>
      <w:widowControl/>
      <w:tabs>
        <w:tab w:val="left" w:pos="2730"/>
        <w:tab w:val="left" w:pos="5000"/>
        <w:tab w:val="left" w:pos="5600"/>
      </w:tabs>
      <w:spacing w:line="360" w:lineRule="auto"/>
      <w:ind w:firstLine="200" w:firstLineChars="200"/>
      <w:jc w:val="left"/>
    </w:pPr>
    <w:rPr>
      <w:rFonts w:eastAsia="楷体_GB2312"/>
      <w:bCs/>
      <w:snapToGrid w:val="0"/>
      <w:kern w:val="21"/>
      <w:sz w:val="24"/>
    </w:rPr>
  </w:style>
  <w:style w:type="paragraph" w:customStyle="1" w:styleId="772">
    <w:name w:val="Char Char Char Char1 Char Char Char Char Char Char Char Char Char Char Char1 Char1"/>
    <w:basedOn w:val="1"/>
    <w:qFormat/>
    <w:uiPriority w:val="0"/>
    <w:rPr>
      <w:rFonts w:ascii="Tahoma" w:hAnsi="Tahoma"/>
      <w:sz w:val="24"/>
      <w:szCs w:val="20"/>
    </w:rPr>
  </w:style>
  <w:style w:type="paragraph" w:customStyle="1" w:styleId="773">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774">
    <w:name w:val="单位名称"/>
    <w:basedOn w:val="1"/>
    <w:qFormat/>
    <w:uiPriority w:val="0"/>
    <w:pPr>
      <w:spacing w:before="156" w:after="156" w:line="360" w:lineRule="auto"/>
      <w:ind w:firstLine="200" w:firstLineChars="200"/>
    </w:pPr>
    <w:rPr>
      <w:rFonts w:ascii="Arial Black" w:hAnsi="Arial Black" w:eastAsia="黑体" w:cs="宋体"/>
      <w:sz w:val="36"/>
      <w:szCs w:val="20"/>
    </w:rPr>
  </w:style>
  <w:style w:type="paragraph" w:customStyle="1" w:styleId="775">
    <w:name w:val="xl409"/>
    <w:basedOn w:val="1"/>
    <w:qFormat/>
    <w:uiPriority w:val="0"/>
    <w:pPr>
      <w:widowControl/>
      <w:spacing w:before="100" w:beforeAutospacing="1" w:after="100" w:afterAutospacing="1" w:line="360" w:lineRule="auto"/>
      <w:ind w:firstLine="200" w:firstLineChars="200"/>
      <w:jc w:val="center"/>
    </w:pPr>
    <w:rPr>
      <w:rFonts w:ascii="宋体" w:hAnsi="宋体" w:cs="宋体"/>
      <w:kern w:val="0"/>
      <w:sz w:val="20"/>
      <w:szCs w:val="20"/>
    </w:rPr>
  </w:style>
  <w:style w:type="paragraph" w:customStyle="1" w:styleId="776">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0"/>
      <w:szCs w:val="20"/>
    </w:rPr>
  </w:style>
  <w:style w:type="paragraph" w:customStyle="1" w:styleId="777">
    <w:name w:val="xl238"/>
    <w:basedOn w:val="1"/>
    <w:qFormat/>
    <w:uiPriority w:val="0"/>
    <w:pPr>
      <w:widowControl/>
      <w:pBdr>
        <w:top w:val="single" w:color="auto" w:sz="4" w:space="0"/>
        <w:left w:val="single" w:color="auto" w:sz="4" w:space="0"/>
        <w:bottom w:val="single" w:color="auto" w:sz="4" w:space="0"/>
        <w:right w:val="single" w:color="auto" w:sz="4" w:space="0"/>
      </w:pBdr>
      <w:shd w:val="clear" w:color="000000" w:fill="33CCCC"/>
      <w:spacing w:before="100" w:beforeAutospacing="1" w:after="100" w:afterAutospacing="1" w:line="360" w:lineRule="auto"/>
      <w:ind w:firstLine="200" w:firstLineChars="200"/>
      <w:jc w:val="left"/>
    </w:pPr>
    <w:rPr>
      <w:rFonts w:ascii="宋体" w:hAnsi="宋体" w:cs="宋体"/>
      <w:b/>
      <w:bCs/>
      <w:color w:val="000000"/>
      <w:kern w:val="0"/>
      <w:sz w:val="18"/>
      <w:szCs w:val="18"/>
    </w:rPr>
  </w:style>
  <w:style w:type="paragraph" w:customStyle="1" w:styleId="778">
    <w:name w:val="l顶头"/>
    <w:basedOn w:val="753"/>
    <w:qFormat/>
    <w:uiPriority w:val="0"/>
    <w:pPr>
      <w:ind w:firstLine="0" w:firstLineChars="0"/>
    </w:pPr>
  </w:style>
  <w:style w:type="paragraph" w:customStyle="1" w:styleId="779">
    <w:name w:val="_HP Table bullet"/>
    <w:qFormat/>
    <w:uiPriority w:val="0"/>
    <w:pPr>
      <w:tabs>
        <w:tab w:val="left" w:pos="202"/>
        <w:tab w:val="left" w:pos="418"/>
      </w:tabs>
      <w:spacing w:before="60" w:after="60"/>
      <w:ind w:left="202" w:hanging="144"/>
    </w:pPr>
    <w:rPr>
      <w:rFonts w:ascii="Futura Bk" w:hAnsi="Futura Bk" w:eastAsia="宋体" w:cs="Times New Roman"/>
      <w:sz w:val="16"/>
      <w:lang w:val="en-US" w:eastAsia="ja-JP" w:bidi="ar-SA"/>
    </w:rPr>
  </w:style>
  <w:style w:type="paragraph" w:customStyle="1" w:styleId="780">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20"/>
      <w:szCs w:val="20"/>
    </w:rPr>
  </w:style>
  <w:style w:type="paragraph" w:customStyle="1" w:styleId="781">
    <w:name w:val="样式 标题 5 + 仿宋_GB2312"/>
    <w:basedOn w:val="1"/>
    <w:qFormat/>
    <w:uiPriority w:val="0"/>
    <w:pPr>
      <w:tabs>
        <w:tab w:val="left" w:pos="2580"/>
      </w:tabs>
      <w:spacing w:line="360" w:lineRule="auto"/>
      <w:ind w:left="2580" w:hanging="420" w:firstLineChars="200"/>
    </w:pPr>
    <w:rPr>
      <w:rFonts w:ascii="仿宋_GB2312" w:hAnsi="仿宋_GB2312"/>
      <w:sz w:val="24"/>
    </w:rPr>
  </w:style>
  <w:style w:type="paragraph" w:customStyle="1" w:styleId="78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textAlignment w:val="top"/>
    </w:pPr>
    <w:rPr>
      <w:color w:val="FF0000"/>
      <w:kern w:val="0"/>
      <w:sz w:val="20"/>
      <w:szCs w:val="20"/>
    </w:rPr>
  </w:style>
  <w:style w:type="paragraph" w:customStyle="1" w:styleId="783">
    <w:name w:val="Char1 Char Char Char Char Char1 Char1 Char Char Char Char Char Char Char Char1"/>
    <w:basedOn w:val="1"/>
    <w:qFormat/>
    <w:uiPriority w:val="0"/>
    <w:pPr>
      <w:adjustRightInd w:val="0"/>
      <w:spacing w:line="360" w:lineRule="auto"/>
    </w:pPr>
    <w:rPr>
      <w:kern w:val="0"/>
      <w:sz w:val="24"/>
    </w:rPr>
  </w:style>
  <w:style w:type="paragraph" w:customStyle="1" w:styleId="784">
    <w:name w:val="xl139"/>
    <w:basedOn w:val="1"/>
    <w:qFormat/>
    <w:uiPriority w:val="0"/>
    <w:pPr>
      <w:widowControl/>
      <w:pBdr>
        <w:bottom w:val="single" w:color="auto" w:sz="4" w:space="0"/>
      </w:pBdr>
      <w:spacing w:before="100" w:beforeAutospacing="1" w:after="100" w:afterAutospacing="1"/>
      <w:jc w:val="left"/>
    </w:pPr>
    <w:rPr>
      <w:rFonts w:ascii="宋体" w:hAnsi="宋体" w:cs="宋体"/>
      <w:kern w:val="0"/>
      <w:sz w:val="20"/>
      <w:szCs w:val="20"/>
    </w:rPr>
  </w:style>
  <w:style w:type="paragraph" w:customStyle="1" w:styleId="785">
    <w:name w:val="font9"/>
    <w:basedOn w:val="1"/>
    <w:qFormat/>
    <w:uiPriority w:val="0"/>
    <w:pPr>
      <w:widowControl/>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786">
    <w:name w:val="表格栏头"/>
    <w:basedOn w:val="787"/>
    <w:next w:val="787"/>
    <w:qFormat/>
    <w:uiPriority w:val="0"/>
    <w:rPr>
      <w:b/>
    </w:rPr>
  </w:style>
  <w:style w:type="paragraph" w:customStyle="1" w:styleId="787">
    <w:name w:val="表格正文"/>
    <w:basedOn w:val="1"/>
    <w:qFormat/>
    <w:uiPriority w:val="0"/>
    <w:pPr>
      <w:widowControl/>
      <w:overflowPunct w:val="0"/>
      <w:autoSpaceDE w:val="0"/>
      <w:autoSpaceDN w:val="0"/>
      <w:adjustRightInd w:val="0"/>
      <w:spacing w:before="60" w:after="60"/>
      <w:jc w:val="left"/>
      <w:textAlignment w:val="baseline"/>
    </w:pPr>
    <w:rPr>
      <w:rFonts w:eastAsia="楷体_GB2312"/>
      <w:bCs/>
      <w:kern w:val="0"/>
      <w:sz w:val="24"/>
      <w:szCs w:val="20"/>
    </w:rPr>
  </w:style>
  <w:style w:type="paragraph" w:customStyle="1" w:styleId="788">
    <w:name w:val="正文缩排"/>
    <w:basedOn w:val="1"/>
    <w:qFormat/>
    <w:uiPriority w:val="0"/>
    <w:pPr>
      <w:tabs>
        <w:tab w:val="left" w:pos="2730"/>
      </w:tabs>
      <w:autoSpaceDE w:val="0"/>
      <w:autoSpaceDN w:val="0"/>
      <w:adjustRightInd w:val="0"/>
      <w:spacing w:line="600" w:lineRule="exact"/>
      <w:ind w:firstLine="200" w:firstLineChars="200"/>
      <w:jc w:val="left"/>
      <w:textAlignment w:val="baseline"/>
    </w:pPr>
    <w:rPr>
      <w:rFonts w:ascii="Arial" w:hAnsi="Arial"/>
      <w:bCs/>
      <w:kern w:val="44"/>
      <w:sz w:val="24"/>
    </w:rPr>
  </w:style>
  <w:style w:type="paragraph" w:customStyle="1" w:styleId="789">
    <w:name w:val="名称2"/>
    <w:basedOn w:val="1"/>
    <w:qFormat/>
    <w:uiPriority w:val="0"/>
    <w:pPr>
      <w:tabs>
        <w:tab w:val="left" w:pos="2730"/>
      </w:tabs>
      <w:spacing w:before="156" w:after="120" w:line="360" w:lineRule="auto"/>
      <w:ind w:firstLine="200" w:firstLineChars="200"/>
      <w:jc w:val="center"/>
    </w:pPr>
    <w:rPr>
      <w:b/>
      <w:spacing w:val="12"/>
      <w:sz w:val="28"/>
      <w:szCs w:val="28"/>
    </w:rPr>
  </w:style>
  <w:style w:type="paragraph" w:customStyle="1" w:styleId="790">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791">
    <w:name w:val="DOT Text"/>
    <w:basedOn w:val="612"/>
    <w:qFormat/>
    <w:uiPriority w:val="0"/>
    <w:pPr>
      <w:tabs>
        <w:tab w:val="left" w:pos="1680"/>
        <w:tab w:val="clear" w:pos="420"/>
        <w:tab w:val="clear" w:pos="840"/>
        <w:tab w:val="clear" w:pos="1260"/>
      </w:tabs>
      <w:spacing w:beforeLines="25" w:afterLines="25"/>
      <w:ind w:left="840" w:hanging="420" w:firstLineChars="0"/>
    </w:pPr>
  </w:style>
  <w:style w:type="paragraph" w:customStyle="1" w:styleId="792">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793">
    <w:name w:val="xl247"/>
    <w:basedOn w:val="1"/>
    <w:qFormat/>
    <w:uiPriority w:val="0"/>
    <w:pPr>
      <w:widowControl/>
      <w:pBdr>
        <w:top w:val="single" w:color="auto" w:sz="4" w:space="0"/>
        <w:left w:val="single" w:color="auto" w:sz="4" w:space="0"/>
        <w:bottom w:val="single" w:color="auto" w:sz="4" w:space="0"/>
        <w:right w:val="single" w:color="auto" w:sz="4" w:space="0"/>
      </w:pBdr>
      <w:shd w:val="clear" w:color="000000" w:fill="33CCCC"/>
      <w:spacing w:before="100" w:beforeAutospacing="1" w:after="100" w:afterAutospacing="1" w:line="360" w:lineRule="auto"/>
      <w:ind w:firstLine="200" w:firstLineChars="200"/>
      <w:jc w:val="center"/>
    </w:pPr>
    <w:rPr>
      <w:rFonts w:ascii="宋体" w:hAnsi="宋体" w:cs="宋体"/>
      <w:b/>
      <w:bCs/>
      <w:color w:val="000000"/>
      <w:kern w:val="0"/>
      <w:sz w:val="18"/>
      <w:szCs w:val="18"/>
    </w:rPr>
  </w:style>
  <w:style w:type="paragraph" w:customStyle="1" w:styleId="794">
    <w:name w:val="自定义正文"/>
    <w:basedOn w:val="1"/>
    <w:qFormat/>
    <w:uiPriority w:val="0"/>
    <w:pPr>
      <w:spacing w:line="360" w:lineRule="auto"/>
      <w:ind w:firstLine="200" w:firstLineChars="200"/>
    </w:pPr>
    <w:rPr>
      <w:sz w:val="24"/>
    </w:rPr>
  </w:style>
  <w:style w:type="paragraph" w:customStyle="1" w:styleId="795">
    <w:name w:val="xl1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96">
    <w:name w:val="xl2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center"/>
    </w:pPr>
    <w:rPr>
      <w:rFonts w:ascii="宋体" w:hAnsi="宋体" w:cs="宋体"/>
      <w:b/>
      <w:bCs/>
      <w:color w:val="000000"/>
      <w:kern w:val="0"/>
      <w:sz w:val="18"/>
      <w:szCs w:val="18"/>
    </w:rPr>
  </w:style>
  <w:style w:type="paragraph" w:customStyle="1" w:styleId="797">
    <w:name w:val="首行不缩进"/>
    <w:basedOn w:val="1"/>
    <w:qFormat/>
    <w:uiPriority w:val="0"/>
    <w:pPr>
      <w:spacing w:line="360" w:lineRule="auto"/>
    </w:pPr>
    <w:rPr>
      <w:sz w:val="24"/>
    </w:rPr>
  </w:style>
  <w:style w:type="paragraph" w:customStyle="1" w:styleId="798">
    <w:name w:val="xl240"/>
    <w:basedOn w:val="1"/>
    <w:qFormat/>
    <w:uiPriority w:val="0"/>
    <w:pPr>
      <w:widowControl/>
      <w:pBdr>
        <w:top w:val="single" w:color="auto" w:sz="4" w:space="0"/>
        <w:left w:val="single" w:color="auto" w:sz="4" w:space="0"/>
        <w:bottom w:val="single" w:color="auto" w:sz="4" w:space="0"/>
        <w:right w:val="single" w:color="auto" w:sz="4" w:space="0"/>
      </w:pBdr>
      <w:shd w:val="clear" w:color="000000" w:fill="33CCCC"/>
      <w:spacing w:before="100" w:beforeAutospacing="1" w:after="100" w:afterAutospacing="1" w:line="360" w:lineRule="auto"/>
      <w:ind w:firstLine="200" w:firstLineChars="200"/>
      <w:jc w:val="right"/>
    </w:pPr>
    <w:rPr>
      <w:rFonts w:ascii="宋体" w:hAnsi="宋体" w:cs="宋体"/>
      <w:b/>
      <w:bCs/>
      <w:color w:val="000000"/>
      <w:kern w:val="0"/>
      <w:sz w:val="18"/>
      <w:szCs w:val="18"/>
    </w:rPr>
  </w:style>
  <w:style w:type="paragraph" w:customStyle="1" w:styleId="799">
    <w:name w:val="表格文字2"/>
    <w:basedOn w:val="24"/>
    <w:qFormat/>
    <w:uiPriority w:val="0"/>
    <w:pPr>
      <w:tabs>
        <w:tab w:val="clear" w:pos="567"/>
      </w:tabs>
      <w:spacing w:before="0" w:line="360" w:lineRule="auto"/>
      <w:jc w:val="left"/>
    </w:pPr>
    <w:rPr>
      <w:rFonts w:ascii="Times New Roman" w:hAnsi="Times New Roman"/>
      <w:kern w:val="2"/>
    </w:rPr>
  </w:style>
  <w:style w:type="paragraph" w:customStyle="1" w:styleId="800">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b/>
      <w:bCs/>
      <w:kern w:val="0"/>
      <w:sz w:val="20"/>
      <w:szCs w:val="20"/>
    </w:rPr>
  </w:style>
  <w:style w:type="paragraph" w:customStyle="1" w:styleId="801">
    <w:name w:val="xl4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360" w:lineRule="auto"/>
      <w:ind w:firstLine="200" w:firstLineChars="200"/>
      <w:jc w:val="left"/>
    </w:pPr>
    <w:rPr>
      <w:rFonts w:ascii="宋体" w:hAnsi="宋体" w:cs="宋体"/>
      <w:b/>
      <w:bCs/>
      <w:color w:val="000000"/>
      <w:kern w:val="0"/>
      <w:sz w:val="20"/>
      <w:szCs w:val="20"/>
    </w:rPr>
  </w:style>
  <w:style w:type="paragraph" w:customStyle="1" w:styleId="802">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803">
    <w:name w:val="样式 标题 2h22nd levelTitre2l22Header 2Head 2H2节List level..."/>
    <w:basedOn w:val="4"/>
    <w:qFormat/>
    <w:uiPriority w:val="0"/>
    <w:pPr>
      <w:tabs>
        <w:tab w:val="left" w:pos="0"/>
      </w:tabs>
      <w:autoSpaceDE/>
      <w:autoSpaceDN/>
      <w:spacing w:before="0" w:beforeLines="50" w:afterLines="50" w:line="360" w:lineRule="auto"/>
      <w:jc w:val="both"/>
    </w:pPr>
    <w:rPr>
      <w:rFonts w:ascii="Times New Roman" w:hAnsi="Times New Roman" w:eastAsia="宋体" w:cs="宋体"/>
      <w:b w:val="0"/>
      <w:bCs/>
      <w:kern w:val="2"/>
      <w:sz w:val="36"/>
    </w:rPr>
  </w:style>
  <w:style w:type="paragraph" w:customStyle="1" w:styleId="804">
    <w:name w:val="默认段落字体 Para Char Char Char Char"/>
    <w:basedOn w:val="1"/>
    <w:qFormat/>
    <w:uiPriority w:val="0"/>
    <w:pPr>
      <w:adjustRightInd w:val="0"/>
      <w:spacing w:line="360" w:lineRule="auto"/>
    </w:pPr>
    <w:rPr>
      <w:kern w:val="0"/>
      <w:szCs w:val="20"/>
    </w:rPr>
  </w:style>
  <w:style w:type="paragraph" w:customStyle="1" w:styleId="805">
    <w:name w:val="xl1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06">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07">
    <w:name w:val="xl15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08">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kern w:val="0"/>
      <w:sz w:val="20"/>
      <w:szCs w:val="20"/>
    </w:rPr>
  </w:style>
  <w:style w:type="paragraph" w:customStyle="1" w:styleId="809">
    <w:name w:val="xl15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10">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811">
    <w:name w:val="xl101"/>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12">
    <w:name w:val="正文重要标记"/>
    <w:basedOn w:val="1"/>
    <w:next w:val="1"/>
    <w:qFormat/>
    <w:uiPriority w:val="0"/>
    <w:pPr>
      <w:widowControl/>
      <w:spacing w:afterLines="50" w:line="360" w:lineRule="auto"/>
      <w:jc w:val="left"/>
    </w:pPr>
    <w:rPr>
      <w:b/>
      <w:kern w:val="0"/>
      <w:sz w:val="24"/>
      <w:szCs w:val="20"/>
    </w:rPr>
  </w:style>
  <w:style w:type="paragraph" w:customStyle="1" w:styleId="813">
    <w:name w:val="自建标题4"/>
    <w:basedOn w:val="7"/>
    <w:semiHidden/>
    <w:qFormat/>
    <w:uiPriority w:val="0"/>
    <w:pPr>
      <w:keepNext w:val="0"/>
      <w:keepLines w:val="0"/>
      <w:spacing w:before="0" w:beforeLines="50" w:after="163" w:line="240" w:lineRule="auto"/>
      <w:ind w:left="810"/>
      <w:jc w:val="center"/>
      <w:outlineLvl w:val="9"/>
    </w:pPr>
    <w:rPr>
      <w:rFonts w:ascii="宋体" w:hAnsi="宋体" w:eastAsia="宋体"/>
      <w:bCs w:val="0"/>
      <w:color w:val="365F91"/>
      <w:kern w:val="2"/>
      <w:sz w:val="24"/>
      <w:szCs w:val="24"/>
    </w:rPr>
  </w:style>
  <w:style w:type="paragraph" w:customStyle="1" w:styleId="814">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15">
    <w:name w:val="Char Char Char Char Char Char Char Char Char Char Char Char Char Char Char Char Char Char Char Char Char1 Char Char Char Char Char1 Char Char Char Char Char Char Char"/>
    <w:basedOn w:val="1"/>
    <w:qFormat/>
    <w:uiPriority w:val="0"/>
    <w:pPr>
      <w:widowControl/>
      <w:spacing w:after="160" w:line="240" w:lineRule="exact"/>
      <w:jc w:val="center"/>
    </w:pPr>
    <w:rPr>
      <w:kern w:val="0"/>
      <w:sz w:val="20"/>
      <w:szCs w:val="20"/>
    </w:rPr>
  </w:style>
  <w:style w:type="paragraph" w:customStyle="1" w:styleId="816">
    <w:name w:val="图号"/>
    <w:basedOn w:val="1"/>
    <w:semiHidden/>
    <w:qFormat/>
    <w:uiPriority w:val="0"/>
    <w:pPr>
      <w:tabs>
        <w:tab w:val="left" w:pos="8160"/>
      </w:tabs>
      <w:adjustRightInd w:val="0"/>
      <w:snapToGrid w:val="0"/>
      <w:spacing w:line="320" w:lineRule="exact"/>
      <w:ind w:left="210" w:leftChars="100"/>
      <w:jc w:val="center"/>
      <w:textAlignment w:val="baseline"/>
    </w:pPr>
    <w:rPr>
      <w:rFonts w:ascii="宋体"/>
      <w:spacing w:val="6"/>
      <w:kern w:val="0"/>
      <w:szCs w:val="20"/>
    </w:rPr>
  </w:style>
  <w:style w:type="paragraph" w:customStyle="1" w:styleId="817">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18">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9">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20">
    <w:name w:val="样式 标题 2 + 右侧:  6.98 字符"/>
    <w:basedOn w:val="4"/>
    <w:qFormat/>
    <w:uiPriority w:val="0"/>
    <w:pPr>
      <w:pBdr>
        <w:bottom w:val="single" w:color="808080" w:sz="12" w:space="1"/>
      </w:pBdr>
      <w:autoSpaceDE/>
      <w:autoSpaceDN/>
      <w:snapToGrid w:val="0"/>
      <w:spacing w:before="0" w:beforeLines="50" w:afterLines="50" w:line="240" w:lineRule="auto"/>
      <w:ind w:left="936" w:right="698" w:rightChars="698" w:hanging="576"/>
      <w:jc w:val="both"/>
    </w:pPr>
    <w:rPr>
      <w:rFonts w:ascii="Tahoma" w:hAnsi="Tahoma"/>
      <w:color w:val="333399"/>
      <w:kern w:val="2"/>
    </w:rPr>
  </w:style>
  <w:style w:type="paragraph" w:customStyle="1" w:styleId="821">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822">
    <w:name w:val="font11"/>
    <w:basedOn w:val="1"/>
    <w:qFormat/>
    <w:uiPriority w:val="0"/>
    <w:pPr>
      <w:widowControl/>
      <w:spacing w:before="100" w:beforeAutospacing="1" w:after="100" w:afterAutospacing="1"/>
      <w:jc w:val="left"/>
    </w:pPr>
    <w:rPr>
      <w:kern w:val="0"/>
      <w:sz w:val="20"/>
      <w:szCs w:val="20"/>
    </w:rPr>
  </w:style>
  <w:style w:type="paragraph" w:customStyle="1" w:styleId="823">
    <w:name w:val="xl108"/>
    <w:basedOn w:val="1"/>
    <w:qFormat/>
    <w:uiPriority w:val="0"/>
    <w:pPr>
      <w:widowControl/>
      <w:spacing w:before="100" w:beforeAutospacing="1" w:after="100" w:afterAutospacing="1"/>
      <w:jc w:val="left"/>
    </w:pPr>
    <w:rPr>
      <w:rFonts w:ascii="宋体" w:hAnsi="宋体" w:cs="宋体"/>
      <w:b/>
      <w:bCs/>
      <w:kern w:val="0"/>
      <w:sz w:val="20"/>
      <w:szCs w:val="20"/>
    </w:rPr>
  </w:style>
  <w:style w:type="paragraph" w:customStyle="1" w:styleId="824">
    <w:name w:val="突出"/>
    <w:basedOn w:val="1"/>
    <w:qFormat/>
    <w:uiPriority w:val="0"/>
    <w:pPr>
      <w:tabs>
        <w:tab w:val="left" w:pos="1270"/>
      </w:tabs>
      <w:ind w:left="840" w:hanging="420"/>
    </w:pPr>
    <w:rPr>
      <w:szCs w:val="20"/>
    </w:rPr>
  </w:style>
  <w:style w:type="paragraph" w:customStyle="1" w:styleId="825">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826">
    <w:name w:val="样式 标题 1 + 段前: 5 磅 段后: 5 磅"/>
    <w:basedOn w:val="3"/>
    <w:qFormat/>
    <w:uiPriority w:val="0"/>
    <w:pPr>
      <w:widowControl/>
      <w:autoSpaceDE/>
      <w:autoSpaceDN/>
      <w:adjustRightInd/>
      <w:spacing w:before="0" w:after="0" w:line="576" w:lineRule="auto"/>
      <w:jc w:val="left"/>
    </w:pPr>
    <w:rPr>
      <w:rFonts w:ascii="Times New Roman"/>
      <w:sz w:val="44"/>
    </w:rPr>
  </w:style>
  <w:style w:type="paragraph" w:customStyle="1" w:styleId="827">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828">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b/>
      <w:bCs/>
      <w:kern w:val="0"/>
      <w:sz w:val="20"/>
      <w:szCs w:val="20"/>
    </w:rPr>
  </w:style>
  <w:style w:type="paragraph" w:customStyle="1" w:styleId="829">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b/>
      <w:bCs/>
      <w:kern w:val="0"/>
      <w:sz w:val="20"/>
      <w:szCs w:val="20"/>
    </w:rPr>
  </w:style>
  <w:style w:type="paragraph" w:customStyle="1" w:styleId="830">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1">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32">
    <w:name w:val="5 Char Char Char Char"/>
    <w:basedOn w:val="1"/>
    <w:qFormat/>
    <w:uiPriority w:val="0"/>
    <w:rPr>
      <w:szCs w:val="20"/>
    </w:rPr>
  </w:style>
  <w:style w:type="paragraph" w:customStyle="1" w:styleId="833">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34">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35">
    <w:name w:val="ListBullet3"/>
    <w:basedOn w:val="1"/>
    <w:next w:val="1"/>
    <w:qFormat/>
    <w:uiPriority w:val="0"/>
    <w:pPr>
      <w:tabs>
        <w:tab w:val="left" w:pos="1667"/>
      </w:tabs>
      <w:spacing w:before="240" w:after="120" w:line="288" w:lineRule="auto"/>
      <w:ind w:left="840" w:hanging="420"/>
      <w:jc w:val="left"/>
    </w:pPr>
    <w:rPr>
      <w:szCs w:val="20"/>
    </w:rPr>
  </w:style>
  <w:style w:type="paragraph" w:customStyle="1" w:styleId="836">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7">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38">
    <w:name w:val="Char Char1 Char Char Char Char Char Char Char Char Char Char Char Char Char Char Char Char Char Char Char1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839">
    <w:name w:val="xl119"/>
    <w:basedOn w:val="1"/>
    <w:qFormat/>
    <w:uiPriority w:val="0"/>
    <w:pPr>
      <w:widowControl/>
      <w:spacing w:before="100" w:beforeAutospacing="1" w:after="100" w:afterAutospacing="1"/>
      <w:jc w:val="center"/>
    </w:pPr>
    <w:rPr>
      <w:rFonts w:ascii="宋体" w:hAnsi="宋体" w:cs="宋体"/>
      <w:kern w:val="0"/>
      <w:sz w:val="24"/>
    </w:rPr>
  </w:style>
  <w:style w:type="paragraph" w:customStyle="1" w:styleId="840">
    <w:name w:val="xl12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841">
    <w:name w:val="Char Char1 Char Char Char1 Char"/>
    <w:basedOn w:val="1"/>
    <w:qFormat/>
    <w:uiPriority w:val="0"/>
    <w:pPr>
      <w:adjustRightInd w:val="0"/>
      <w:spacing w:line="360" w:lineRule="auto"/>
    </w:pPr>
    <w:rPr>
      <w:kern w:val="0"/>
      <w:sz w:val="24"/>
    </w:rPr>
  </w:style>
  <w:style w:type="paragraph" w:customStyle="1" w:styleId="842">
    <w:name w:val="xl12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843">
    <w:name w:val="xl125"/>
    <w:basedOn w:val="1"/>
    <w:qFormat/>
    <w:uiPriority w:val="0"/>
    <w:pPr>
      <w:widowControl/>
      <w:pBdr>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4">
    <w:name w:val="xl128"/>
    <w:basedOn w:val="1"/>
    <w:qFormat/>
    <w:uiPriority w:val="0"/>
    <w:pPr>
      <w:widowControl/>
      <w:pBdr>
        <w:bottom w:val="single" w:color="auto" w:sz="4" w:space="0"/>
      </w:pBdr>
      <w:spacing w:before="100" w:beforeAutospacing="1" w:after="100" w:afterAutospacing="1"/>
      <w:jc w:val="right"/>
    </w:pPr>
    <w:rPr>
      <w:rFonts w:ascii="宋体" w:hAnsi="宋体" w:cs="宋体"/>
      <w:b/>
      <w:bCs/>
      <w:kern w:val="0"/>
      <w:sz w:val="20"/>
      <w:szCs w:val="20"/>
    </w:rPr>
  </w:style>
  <w:style w:type="paragraph" w:customStyle="1" w:styleId="845">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846">
    <w:name w:val="_HP Table Head 8 pt"/>
    <w:basedOn w:val="847"/>
    <w:qFormat/>
    <w:uiPriority w:val="0"/>
  </w:style>
  <w:style w:type="paragraph" w:customStyle="1" w:styleId="847">
    <w:name w:val="_HP Table Body 8 pt"/>
    <w:basedOn w:val="1"/>
    <w:qFormat/>
    <w:uiPriority w:val="0"/>
    <w:pPr>
      <w:widowControl/>
      <w:spacing w:before="80" w:after="80"/>
      <w:ind w:left="58" w:right="58"/>
      <w:jc w:val="left"/>
    </w:pPr>
    <w:rPr>
      <w:rFonts w:ascii="Futura Bk" w:hAnsi="Futura Bk"/>
      <w:kern w:val="0"/>
      <w:sz w:val="16"/>
      <w:szCs w:val="20"/>
      <w:lang w:eastAsia="en-US"/>
    </w:rPr>
  </w:style>
  <w:style w:type="paragraph" w:customStyle="1" w:styleId="848">
    <w:name w:val="xl135"/>
    <w:basedOn w:val="1"/>
    <w:qFormat/>
    <w:uiPriority w:val="0"/>
    <w:pPr>
      <w:widowControl/>
      <w:spacing w:before="100" w:beforeAutospacing="1" w:after="100" w:afterAutospacing="1"/>
      <w:jc w:val="center"/>
    </w:pPr>
    <w:rPr>
      <w:rFonts w:ascii="宋体" w:hAnsi="宋体" w:cs="宋体"/>
      <w:kern w:val="0"/>
      <w:sz w:val="24"/>
    </w:rPr>
  </w:style>
  <w:style w:type="paragraph" w:customStyle="1" w:styleId="849">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0">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851">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852">
    <w:name w:val="xl146"/>
    <w:basedOn w:val="1"/>
    <w:qFormat/>
    <w:uiPriority w:val="0"/>
    <w:pPr>
      <w:widowControl/>
      <w:pBdr>
        <w:bottom w:val="single" w:color="auto" w:sz="4" w:space="0"/>
      </w:pBdr>
      <w:spacing w:before="100" w:beforeAutospacing="1" w:after="100" w:afterAutospacing="1"/>
      <w:jc w:val="right"/>
    </w:pPr>
    <w:rPr>
      <w:rFonts w:ascii="宋体" w:hAnsi="宋体" w:cs="宋体"/>
      <w:b/>
      <w:bCs/>
      <w:kern w:val="0"/>
      <w:sz w:val="20"/>
      <w:szCs w:val="20"/>
    </w:rPr>
  </w:style>
  <w:style w:type="paragraph" w:customStyle="1" w:styleId="853">
    <w:name w:val="表格栏目标题"/>
    <w:basedOn w:val="1"/>
    <w:next w:val="537"/>
    <w:qFormat/>
    <w:uiPriority w:val="0"/>
    <w:pPr>
      <w:jc w:val="center"/>
    </w:pPr>
  </w:style>
  <w:style w:type="paragraph" w:customStyle="1" w:styleId="854">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b/>
      <w:bCs/>
      <w:kern w:val="0"/>
      <w:sz w:val="20"/>
      <w:szCs w:val="20"/>
    </w:rPr>
  </w:style>
  <w:style w:type="paragraph" w:customStyle="1" w:styleId="855">
    <w:name w:val="List Bullet1"/>
    <w:basedOn w:val="1"/>
    <w:qFormat/>
    <w:uiPriority w:val="0"/>
    <w:pPr>
      <w:widowControl/>
      <w:tabs>
        <w:tab w:val="left" w:pos="360"/>
      </w:tabs>
      <w:spacing w:before="240" w:after="120" w:line="288" w:lineRule="auto"/>
      <w:ind w:left="378" w:right="57" w:hanging="432"/>
      <w:jc w:val="left"/>
    </w:pPr>
    <w:rPr>
      <w:kern w:val="0"/>
      <w:szCs w:val="20"/>
    </w:rPr>
  </w:style>
  <w:style w:type="paragraph" w:customStyle="1" w:styleId="856">
    <w:name w:val="xl154"/>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57">
    <w:name w:val="xl156"/>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58">
    <w:name w:val="附录 Heading 1"/>
    <w:basedOn w:val="3"/>
    <w:qFormat/>
    <w:uiPriority w:val="0"/>
    <w:pPr>
      <w:keepLines w:val="0"/>
      <w:widowControl/>
      <w:tabs>
        <w:tab w:val="left" w:pos="418"/>
      </w:tabs>
      <w:autoSpaceDE/>
      <w:autoSpaceDN/>
      <w:adjustRightInd/>
      <w:spacing w:before="0" w:after="0" w:line="480" w:lineRule="auto"/>
      <w:ind w:left="202" w:right="778" w:rightChars="778" w:hanging="144"/>
      <w:jc w:val="left"/>
    </w:pPr>
    <w:rPr>
      <w:rFonts w:ascii="Microsoft Sans Serif" w:hAnsi="Microsoft Sans Serif" w:eastAsia="仿宋_GB2312"/>
      <w:kern w:val="32"/>
      <w:sz w:val="40"/>
    </w:rPr>
  </w:style>
  <w:style w:type="paragraph" w:customStyle="1" w:styleId="859">
    <w:name w:val="xl15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60">
    <w:name w:val="Char6 Char Char Char"/>
    <w:basedOn w:val="1"/>
    <w:qFormat/>
    <w:uiPriority w:val="0"/>
    <w:rPr>
      <w:szCs w:val="20"/>
    </w:rPr>
  </w:style>
  <w:style w:type="paragraph" w:customStyle="1" w:styleId="861">
    <w:name w:val="正文2"/>
    <w:basedOn w:val="1"/>
    <w:qFormat/>
    <w:uiPriority w:val="0"/>
    <w:pPr>
      <w:adjustRightInd w:val="0"/>
      <w:snapToGrid w:val="0"/>
      <w:spacing w:line="360" w:lineRule="auto"/>
      <w:ind w:firstLine="540" w:firstLineChars="225"/>
    </w:pPr>
    <w:rPr>
      <w:rFonts w:ascii="宋体" w:hAnsi="宋体"/>
      <w:sz w:val="24"/>
    </w:rPr>
  </w:style>
  <w:style w:type="paragraph" w:customStyle="1" w:styleId="862">
    <w:name w:val="样式 标题 5第四层条第四层条1第四层条2第四层条3第四层条11第五层第四层条4第四层条5第四层条6第四层条..."/>
    <w:basedOn w:val="8"/>
    <w:qFormat/>
    <w:uiPriority w:val="0"/>
    <w:pPr>
      <w:keepNext w:val="0"/>
      <w:keepLines w:val="0"/>
      <w:widowControl/>
      <w:tabs>
        <w:tab w:val="left" w:pos="720"/>
        <w:tab w:val="clear" w:pos="360"/>
      </w:tabs>
      <w:suppressAutoHyphens w:val="0"/>
      <w:snapToGrid w:val="0"/>
      <w:spacing w:beforeLines="50" w:afterLines="50" w:line="300" w:lineRule="auto"/>
      <w:ind w:left="720" w:firstLine="200" w:firstLineChars="200"/>
      <w:jc w:val="left"/>
      <w:textAlignment w:val="baseline"/>
    </w:pPr>
    <w:rPr>
      <w:rFonts w:ascii="黑体" w:hAnsi="Times New Roman" w:eastAsia="黑体" w:cs="宋体"/>
      <w:b w:val="0"/>
      <w:bCs w:val="0"/>
      <w:color w:val="000000"/>
      <w:sz w:val="24"/>
      <w:szCs w:val="24"/>
      <w:lang w:eastAsia="zh-CN"/>
    </w:rPr>
  </w:style>
  <w:style w:type="paragraph" w:customStyle="1" w:styleId="863">
    <w:name w:val="Char1 Char Char Char Char Char Char Char Char3 Char Char Char Char Char Char Char"/>
    <w:basedOn w:val="1"/>
    <w:qFormat/>
    <w:uiPriority w:val="0"/>
    <w:pPr>
      <w:spacing w:before="240" w:after="120" w:line="288" w:lineRule="auto"/>
      <w:ind w:firstLine="200" w:firstLineChars="200"/>
      <w:jc w:val="left"/>
    </w:pPr>
    <w:rPr>
      <w:rFonts w:ascii="Tahoma" w:hAnsi="Tahoma"/>
      <w:sz w:val="24"/>
      <w:szCs w:val="20"/>
    </w:rPr>
  </w:style>
  <w:style w:type="paragraph" w:customStyle="1" w:styleId="864">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65">
    <w:name w:val="font13"/>
    <w:basedOn w:val="1"/>
    <w:qFormat/>
    <w:uiPriority w:val="0"/>
    <w:pPr>
      <w:widowControl/>
      <w:spacing w:before="100" w:beforeAutospacing="1" w:after="100" w:afterAutospacing="1"/>
      <w:jc w:val="left"/>
    </w:pPr>
    <w:rPr>
      <w:rFonts w:ascii="宋体" w:hAnsi="宋体" w:cs="宋体"/>
      <w:b/>
      <w:bCs/>
      <w:kern w:val="0"/>
      <w:sz w:val="20"/>
      <w:szCs w:val="20"/>
    </w:rPr>
  </w:style>
  <w:style w:type="paragraph" w:customStyle="1" w:styleId="866">
    <w:name w:val="xl158"/>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b/>
      <w:bCs/>
      <w:kern w:val="0"/>
      <w:sz w:val="20"/>
      <w:szCs w:val="20"/>
    </w:rPr>
  </w:style>
  <w:style w:type="paragraph" w:customStyle="1" w:styleId="867">
    <w:name w:val="xl159"/>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b/>
      <w:bCs/>
      <w:kern w:val="0"/>
      <w:sz w:val="20"/>
      <w:szCs w:val="20"/>
    </w:rPr>
  </w:style>
  <w:style w:type="paragraph" w:customStyle="1" w:styleId="868">
    <w:name w:val="xl16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b/>
      <w:bCs/>
      <w:kern w:val="0"/>
      <w:sz w:val="20"/>
      <w:szCs w:val="20"/>
    </w:rPr>
  </w:style>
  <w:style w:type="paragraph" w:customStyle="1" w:styleId="869">
    <w:name w:val="xl16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top"/>
    </w:pPr>
    <w:rPr>
      <w:kern w:val="0"/>
      <w:sz w:val="20"/>
      <w:szCs w:val="20"/>
    </w:rPr>
  </w:style>
  <w:style w:type="paragraph" w:customStyle="1" w:styleId="870">
    <w:name w:val="xl162"/>
    <w:basedOn w:val="1"/>
    <w:qFormat/>
    <w:uiPriority w:val="0"/>
    <w:pPr>
      <w:widowControl/>
      <w:pBdr>
        <w:left w:val="single" w:color="auto" w:sz="4" w:space="0"/>
        <w:right w:val="single" w:color="auto" w:sz="4" w:space="0"/>
      </w:pBdr>
      <w:spacing w:before="100" w:beforeAutospacing="1" w:after="100" w:afterAutospacing="1"/>
      <w:jc w:val="left"/>
      <w:textAlignment w:val="top"/>
    </w:pPr>
    <w:rPr>
      <w:kern w:val="0"/>
      <w:sz w:val="20"/>
      <w:szCs w:val="20"/>
    </w:rPr>
  </w:style>
  <w:style w:type="paragraph" w:customStyle="1" w:styleId="871">
    <w:name w:val="xl16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top"/>
    </w:pPr>
    <w:rPr>
      <w:kern w:val="0"/>
      <w:sz w:val="20"/>
      <w:szCs w:val="20"/>
    </w:rPr>
  </w:style>
  <w:style w:type="paragraph" w:customStyle="1" w:styleId="872">
    <w:name w:val="xl16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 w:val="20"/>
      <w:szCs w:val="20"/>
    </w:rPr>
  </w:style>
  <w:style w:type="paragraph" w:customStyle="1" w:styleId="873">
    <w:name w:val="xl165"/>
    <w:basedOn w:val="1"/>
    <w:qFormat/>
    <w:uiPriority w:val="0"/>
    <w:pPr>
      <w:widowControl/>
      <w:pBdr>
        <w:top w:val="single" w:color="auto" w:sz="4" w:space="0"/>
        <w:bottom w:val="single" w:color="auto" w:sz="4" w:space="0"/>
      </w:pBdr>
      <w:spacing w:before="100" w:beforeAutospacing="1" w:after="100" w:afterAutospacing="1"/>
      <w:jc w:val="center"/>
    </w:pPr>
    <w:rPr>
      <w:kern w:val="0"/>
      <w:sz w:val="20"/>
      <w:szCs w:val="20"/>
    </w:rPr>
  </w:style>
  <w:style w:type="paragraph" w:customStyle="1" w:styleId="874">
    <w:name w:val="xl16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875">
    <w:name w:val="xl167"/>
    <w:basedOn w:val="1"/>
    <w:qFormat/>
    <w:uiPriority w:val="0"/>
    <w:pPr>
      <w:widowControl/>
      <w:pBdr>
        <w:top w:val="single" w:color="auto" w:sz="4" w:space="0"/>
        <w:left w:val="single" w:color="auto" w:sz="4" w:space="0"/>
      </w:pBdr>
      <w:spacing w:before="100" w:beforeAutospacing="1" w:after="100" w:afterAutospacing="1"/>
      <w:jc w:val="center"/>
    </w:pPr>
    <w:rPr>
      <w:b/>
      <w:bCs/>
      <w:kern w:val="0"/>
      <w:sz w:val="20"/>
      <w:szCs w:val="20"/>
    </w:rPr>
  </w:style>
  <w:style w:type="paragraph" w:customStyle="1" w:styleId="876">
    <w:name w:val="xl168"/>
    <w:basedOn w:val="1"/>
    <w:qFormat/>
    <w:uiPriority w:val="0"/>
    <w:pPr>
      <w:widowControl/>
      <w:pBdr>
        <w:top w:val="single" w:color="auto" w:sz="4" w:space="0"/>
      </w:pBdr>
      <w:spacing w:before="100" w:beforeAutospacing="1" w:after="100" w:afterAutospacing="1"/>
      <w:jc w:val="center"/>
    </w:pPr>
    <w:rPr>
      <w:b/>
      <w:bCs/>
      <w:kern w:val="0"/>
      <w:sz w:val="20"/>
      <w:szCs w:val="20"/>
    </w:rPr>
  </w:style>
  <w:style w:type="paragraph" w:customStyle="1" w:styleId="877">
    <w:name w:val="xl169"/>
    <w:basedOn w:val="1"/>
    <w:qFormat/>
    <w:uiPriority w:val="0"/>
    <w:pPr>
      <w:widowControl/>
      <w:pBdr>
        <w:top w:val="single" w:color="auto" w:sz="4" w:space="0"/>
        <w:right w:val="single" w:color="auto" w:sz="4" w:space="0"/>
      </w:pBdr>
      <w:spacing w:before="100" w:beforeAutospacing="1" w:after="100" w:afterAutospacing="1"/>
      <w:jc w:val="center"/>
    </w:pPr>
    <w:rPr>
      <w:b/>
      <w:bCs/>
      <w:kern w:val="0"/>
      <w:sz w:val="20"/>
      <w:szCs w:val="20"/>
    </w:rPr>
  </w:style>
  <w:style w:type="paragraph" w:customStyle="1" w:styleId="878">
    <w:name w:val="xl1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0"/>
      <w:szCs w:val="20"/>
    </w:rPr>
  </w:style>
  <w:style w:type="paragraph" w:customStyle="1" w:styleId="879">
    <w:name w:val="font14"/>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80">
    <w:name w:val="xl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0"/>
      <w:szCs w:val="20"/>
    </w:rPr>
  </w:style>
  <w:style w:type="paragraph" w:customStyle="1" w:styleId="881">
    <w:name w:val="xl1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882">
    <w:name w:val="xl1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0"/>
      <w:szCs w:val="20"/>
    </w:rPr>
  </w:style>
  <w:style w:type="paragraph" w:customStyle="1" w:styleId="883">
    <w:name w:val="xl174"/>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884">
    <w:name w:val="xl17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85">
    <w:name w:val="font15"/>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86">
    <w:name w:val="编号1"/>
    <w:basedOn w:val="1"/>
    <w:qFormat/>
    <w:uiPriority w:val="0"/>
    <w:pPr>
      <w:adjustRightInd w:val="0"/>
      <w:spacing w:line="360" w:lineRule="auto"/>
      <w:ind w:left="420"/>
      <w:jc w:val="left"/>
    </w:pPr>
    <w:rPr>
      <w:rFonts w:ascii="Calibri" w:hAnsi="Calibri"/>
      <w:sz w:val="24"/>
    </w:rPr>
  </w:style>
  <w:style w:type="paragraph" w:customStyle="1" w:styleId="887">
    <w:name w:val="编号2"/>
    <w:basedOn w:val="1"/>
    <w:qFormat/>
    <w:uiPriority w:val="0"/>
    <w:pPr>
      <w:wordWrap w:val="0"/>
      <w:adjustRightInd w:val="0"/>
      <w:spacing w:line="360" w:lineRule="auto"/>
      <w:ind w:left="720"/>
      <w:jc w:val="left"/>
    </w:pPr>
    <w:rPr>
      <w:rFonts w:ascii="Calibri" w:hAnsi="Calibri"/>
      <w:sz w:val="24"/>
    </w:rPr>
  </w:style>
  <w:style w:type="paragraph" w:customStyle="1" w:styleId="888">
    <w:name w:val="编号3"/>
    <w:basedOn w:val="1"/>
    <w:qFormat/>
    <w:uiPriority w:val="0"/>
    <w:pPr>
      <w:adjustRightInd w:val="0"/>
      <w:spacing w:line="360" w:lineRule="auto"/>
      <w:ind w:left="820"/>
      <w:jc w:val="left"/>
    </w:pPr>
    <w:rPr>
      <w:rFonts w:ascii="Calibri" w:hAnsi="Calibri"/>
      <w:sz w:val="24"/>
    </w:rPr>
  </w:style>
  <w:style w:type="paragraph" w:customStyle="1" w:styleId="889">
    <w:name w:val="编号4"/>
    <w:basedOn w:val="1"/>
    <w:qFormat/>
    <w:uiPriority w:val="0"/>
    <w:pPr>
      <w:wordWrap w:val="0"/>
      <w:adjustRightInd w:val="0"/>
      <w:spacing w:line="360" w:lineRule="auto"/>
      <w:ind w:left="1223"/>
      <w:jc w:val="left"/>
    </w:pPr>
    <w:rPr>
      <w:rFonts w:ascii="Calibri" w:hAnsi="Calibri"/>
      <w:sz w:val="24"/>
    </w:rPr>
  </w:style>
  <w:style w:type="paragraph" w:customStyle="1" w:styleId="890">
    <w:name w:val="样式 缩进正文 + 首行缩进:  2 字符"/>
    <w:basedOn w:val="329"/>
    <w:qFormat/>
    <w:uiPriority w:val="0"/>
    <w:rPr>
      <w:rFonts w:cs="宋体"/>
      <w:szCs w:val="20"/>
    </w:rPr>
  </w:style>
  <w:style w:type="paragraph" w:customStyle="1" w:styleId="891">
    <w:name w:val="题注居中"/>
    <w:basedOn w:val="1"/>
    <w:qFormat/>
    <w:uiPriority w:val="0"/>
    <w:pPr>
      <w:adjustRightInd w:val="0"/>
      <w:spacing w:line="360" w:lineRule="auto"/>
      <w:jc w:val="center"/>
    </w:pPr>
    <w:rPr>
      <w:rFonts w:ascii="Calibri" w:hAnsi="Calibri"/>
      <w:szCs w:val="44"/>
    </w:rPr>
  </w:style>
  <w:style w:type="paragraph" w:customStyle="1" w:styleId="892">
    <w:name w:val="封面居中1"/>
    <w:basedOn w:val="1"/>
    <w:qFormat/>
    <w:uiPriority w:val="0"/>
    <w:pPr>
      <w:adjustRightInd w:val="0"/>
      <w:spacing w:line="360" w:lineRule="auto"/>
      <w:jc w:val="center"/>
    </w:pPr>
    <w:rPr>
      <w:rFonts w:ascii="Calibri" w:hAnsi="Calibri" w:eastAsia="黑体"/>
      <w:b/>
      <w:sz w:val="44"/>
    </w:rPr>
  </w:style>
  <w:style w:type="paragraph" w:customStyle="1" w:styleId="893">
    <w:name w:val="封面居中2"/>
    <w:basedOn w:val="892"/>
    <w:qFormat/>
    <w:uiPriority w:val="0"/>
    <w:rPr>
      <w:sz w:val="32"/>
    </w:rPr>
  </w:style>
  <w:style w:type="paragraph" w:customStyle="1" w:styleId="894">
    <w:name w:val="样式 缩进正文 + 首行缩进:  2 字符1"/>
    <w:basedOn w:val="329"/>
    <w:qFormat/>
    <w:uiPriority w:val="0"/>
    <w:rPr>
      <w:rFonts w:cs="宋体"/>
      <w:sz w:val="21"/>
      <w:szCs w:val="20"/>
    </w:rPr>
  </w:style>
  <w:style w:type="paragraph" w:customStyle="1" w:styleId="895">
    <w:name w:val="样式 样式 缩进正文 + 首行缩进:  2 字符1 + 首行缩进:  2 字符"/>
    <w:basedOn w:val="894"/>
    <w:qFormat/>
    <w:uiPriority w:val="0"/>
    <w:pPr>
      <w:ind w:firstLine="420"/>
    </w:pPr>
  </w:style>
  <w:style w:type="paragraph" w:customStyle="1" w:styleId="896">
    <w:name w:val="居右"/>
    <w:basedOn w:val="1"/>
    <w:qFormat/>
    <w:uiPriority w:val="0"/>
    <w:pPr>
      <w:spacing w:line="360" w:lineRule="auto"/>
      <w:jc w:val="right"/>
    </w:pPr>
    <w:rPr>
      <w:rFonts w:ascii="Calibri" w:hAnsi="Calibri"/>
      <w:b/>
      <w:sz w:val="24"/>
    </w:rPr>
  </w:style>
  <w:style w:type="paragraph" w:customStyle="1" w:styleId="897">
    <w:name w:val="表正文黑体"/>
    <w:basedOn w:val="1"/>
    <w:qFormat/>
    <w:uiPriority w:val="0"/>
    <w:pPr>
      <w:jc w:val="left"/>
    </w:pPr>
    <w:rPr>
      <w:rFonts w:ascii="Calibri" w:hAnsi="Calibri" w:eastAsia="黑体"/>
    </w:rPr>
  </w:style>
  <w:style w:type="paragraph" w:customStyle="1" w:styleId="898">
    <w:name w:val="表格标题黑体"/>
    <w:basedOn w:val="1"/>
    <w:qFormat/>
    <w:uiPriority w:val="0"/>
    <w:pPr>
      <w:jc w:val="center"/>
    </w:pPr>
    <w:rPr>
      <w:rFonts w:ascii="Calibri" w:hAnsi="Calibri" w:eastAsia="黑体"/>
      <w:b/>
      <w:kern w:val="0"/>
    </w:rPr>
  </w:style>
  <w:style w:type="paragraph" w:customStyle="1" w:styleId="899">
    <w:name w:val="表格标题居左黑体"/>
    <w:basedOn w:val="898"/>
    <w:qFormat/>
    <w:uiPriority w:val="0"/>
    <w:pPr>
      <w:jc w:val="left"/>
    </w:pPr>
    <w:rPr>
      <w:b w:val="0"/>
    </w:rPr>
  </w:style>
  <w:style w:type="paragraph" w:customStyle="1" w:styleId="900">
    <w:name w:val="居中"/>
    <w:basedOn w:val="1"/>
    <w:qFormat/>
    <w:uiPriority w:val="0"/>
    <w:pPr>
      <w:adjustRightInd w:val="0"/>
      <w:spacing w:line="360" w:lineRule="auto"/>
      <w:jc w:val="center"/>
    </w:pPr>
    <w:rPr>
      <w:rFonts w:ascii="Calibri" w:hAnsi="Calibri"/>
      <w:sz w:val="24"/>
    </w:rPr>
  </w:style>
  <w:style w:type="paragraph" w:customStyle="1" w:styleId="901">
    <w:name w:val="正文缩进加粗"/>
    <w:basedOn w:val="329"/>
    <w:qFormat/>
    <w:uiPriority w:val="0"/>
    <w:rPr>
      <w:b/>
    </w:rPr>
  </w:style>
  <w:style w:type="paragraph" w:customStyle="1" w:styleId="902">
    <w:name w:val="正文不缩进加粗"/>
    <w:basedOn w:val="1"/>
    <w:next w:val="1"/>
    <w:qFormat/>
    <w:uiPriority w:val="0"/>
    <w:pPr>
      <w:spacing w:line="360" w:lineRule="auto"/>
    </w:pPr>
    <w:rPr>
      <w:rFonts w:ascii="Calibri" w:hAnsi="Calibri"/>
      <w:b/>
      <w:sz w:val="24"/>
    </w:rPr>
  </w:style>
  <w:style w:type="paragraph" w:customStyle="1" w:styleId="903">
    <w:name w:val="图表题目"/>
    <w:basedOn w:val="898"/>
    <w:qFormat/>
    <w:uiPriority w:val="0"/>
    <w:pPr>
      <w:spacing w:line="360" w:lineRule="auto"/>
    </w:pPr>
  </w:style>
  <w:style w:type="paragraph" w:customStyle="1" w:styleId="904">
    <w:name w:val="图表题目居左"/>
    <w:basedOn w:val="903"/>
    <w:qFormat/>
    <w:uiPriority w:val="0"/>
    <w:pPr>
      <w:jc w:val="left"/>
    </w:pPr>
  </w:style>
  <w:style w:type="paragraph" w:customStyle="1" w:styleId="905">
    <w:name w:val="标点正文"/>
    <w:basedOn w:val="1"/>
    <w:qFormat/>
    <w:uiPriority w:val="0"/>
    <w:pPr>
      <w:tabs>
        <w:tab w:val="left" w:pos="1120"/>
      </w:tabs>
      <w:spacing w:line="360" w:lineRule="auto"/>
      <w:ind w:left="1133" w:leftChars="250" w:hanging="608" w:hangingChars="217"/>
    </w:pPr>
    <w:rPr>
      <w:sz w:val="28"/>
      <w:szCs w:val="28"/>
    </w:rPr>
  </w:style>
  <w:style w:type="paragraph" w:customStyle="1" w:styleId="906">
    <w:name w:val="样式 题注题注(图注) + 居中"/>
    <w:basedOn w:val="21"/>
    <w:qFormat/>
    <w:uiPriority w:val="0"/>
    <w:pPr>
      <w:suppressAutoHyphens w:val="0"/>
      <w:jc w:val="center"/>
    </w:pPr>
    <w:rPr>
      <w:rFonts w:cs="宋体"/>
      <w:szCs w:val="21"/>
      <w:lang w:eastAsia="zh-CN"/>
    </w:rPr>
  </w:style>
  <w:style w:type="paragraph" w:customStyle="1" w:styleId="907">
    <w:name w:val="四号正文"/>
    <w:basedOn w:val="1"/>
    <w:qFormat/>
    <w:uiPriority w:val="0"/>
    <w:pPr>
      <w:spacing w:line="360" w:lineRule="auto"/>
      <w:ind w:firstLine="560" w:firstLineChars="200"/>
    </w:pPr>
    <w:rPr>
      <w:sz w:val="28"/>
      <w:szCs w:val="28"/>
    </w:rPr>
  </w:style>
  <w:style w:type="paragraph" w:customStyle="1" w:styleId="908">
    <w:name w:val="第二级标题（节）"/>
    <w:basedOn w:val="4"/>
    <w:qFormat/>
    <w:uiPriority w:val="0"/>
    <w:pPr>
      <w:tabs>
        <w:tab w:val="left" w:pos="0"/>
        <w:tab w:val="left" w:pos="420"/>
      </w:tabs>
      <w:autoSpaceDE/>
      <w:autoSpaceDN/>
      <w:spacing w:before="0" w:beforeLines="50" w:afterLines="50" w:line="360" w:lineRule="auto"/>
      <w:ind w:left="1505" w:hanging="425"/>
      <w:jc w:val="both"/>
      <w:outlineLvl w:val="0"/>
    </w:pPr>
    <w:rPr>
      <w:rFonts w:ascii="黑体" w:hAnsi="黑体"/>
      <w:kern w:val="2"/>
      <w:sz w:val="32"/>
      <w:szCs w:val="32"/>
    </w:rPr>
  </w:style>
  <w:style w:type="paragraph" w:customStyle="1" w:styleId="909">
    <w:name w:val="a乌鲁木齐图名"/>
    <w:qFormat/>
    <w:uiPriority w:val="0"/>
    <w:pPr>
      <w:keepNext/>
      <w:spacing w:beforeLines="50" w:afterLines="50" w:line="360" w:lineRule="auto"/>
      <w:ind w:left="210" w:hanging="210" w:hangingChars="100"/>
      <w:jc w:val="center"/>
    </w:pPr>
    <w:rPr>
      <w:rFonts w:ascii="黑体" w:hAnsi="Arial" w:eastAsia="黑体" w:cs="Arial"/>
      <w:bCs/>
      <w:kern w:val="2"/>
      <w:sz w:val="21"/>
      <w:szCs w:val="32"/>
      <w:lang w:val="en-US" w:eastAsia="zh-CN" w:bidi="ar-SA"/>
    </w:rPr>
  </w:style>
  <w:style w:type="paragraph" w:customStyle="1" w:styleId="910">
    <w:name w:val="a乌鲁木齐表名"/>
    <w:qFormat/>
    <w:uiPriority w:val="0"/>
    <w:pPr>
      <w:spacing w:beforeLines="50" w:afterLines="50" w:line="360" w:lineRule="auto"/>
      <w:ind w:firstLine="200" w:firstLineChars="200"/>
      <w:jc w:val="center"/>
    </w:pPr>
    <w:rPr>
      <w:rFonts w:ascii="Arial" w:hAnsi="Arial" w:eastAsia="黑体" w:cs="Times New Roman"/>
      <w:bCs/>
      <w:kern w:val="2"/>
      <w:sz w:val="21"/>
      <w:szCs w:val="32"/>
      <w:lang w:val="en-US" w:eastAsia="zh-CN" w:bidi="ar-SA"/>
    </w:rPr>
  </w:style>
  <w:style w:type="paragraph" w:customStyle="1" w:styleId="911">
    <w:name w:val="项目排序"/>
    <w:basedOn w:val="24"/>
    <w:next w:val="24"/>
    <w:qFormat/>
    <w:uiPriority w:val="0"/>
    <w:pPr>
      <w:tabs>
        <w:tab w:val="clear" w:pos="567"/>
      </w:tabs>
      <w:spacing w:before="0" w:beforeLines="50" w:afterLines="50" w:line="360" w:lineRule="auto"/>
      <w:ind w:left="4532"/>
    </w:pPr>
    <w:rPr>
      <w:rFonts w:ascii="Times New Roman" w:hAnsi="Times New Roman"/>
      <w:b/>
      <w:sz w:val="28"/>
      <w:szCs w:val="32"/>
    </w:rPr>
  </w:style>
  <w:style w:type="paragraph" w:customStyle="1" w:styleId="912">
    <w:name w:val="小节"/>
    <w:basedOn w:val="8"/>
    <w:next w:val="1"/>
    <w:qFormat/>
    <w:uiPriority w:val="0"/>
    <w:pPr>
      <w:keepNext w:val="0"/>
      <w:keepLines w:val="0"/>
      <w:tabs>
        <w:tab w:val="clear" w:pos="360"/>
      </w:tabs>
      <w:suppressAutoHyphens w:val="0"/>
      <w:snapToGrid w:val="0"/>
      <w:spacing w:beforeLines="50" w:afterLines="50" w:line="360" w:lineRule="auto"/>
      <w:ind w:left="0" w:firstLine="200" w:firstLineChars="200"/>
      <w:jc w:val="left"/>
    </w:pPr>
    <w:rPr>
      <w:rFonts w:ascii="Times New Roman" w:hAnsi="Times New Roman"/>
      <w:bCs w:val="0"/>
      <w:color w:val="000000"/>
      <w:sz w:val="24"/>
      <w:lang w:eastAsia="zh-CN"/>
    </w:rPr>
  </w:style>
  <w:style w:type="paragraph" w:customStyle="1" w:styleId="913">
    <w:name w:val="样式 标题 1 + 黑体 小二"/>
    <w:basedOn w:val="3"/>
    <w:qFormat/>
    <w:uiPriority w:val="0"/>
    <w:pPr>
      <w:autoSpaceDE/>
      <w:autoSpaceDN/>
      <w:adjustRightInd/>
      <w:spacing w:before="0" w:after="0" w:line="576" w:lineRule="auto"/>
      <w:jc w:val="both"/>
    </w:pPr>
    <w:rPr>
      <w:rFonts w:ascii="黑体" w:hAnsi="黑体" w:eastAsia="黑体"/>
      <w:bCs/>
      <w:sz w:val="36"/>
      <w:szCs w:val="44"/>
    </w:rPr>
  </w:style>
  <w:style w:type="paragraph" w:customStyle="1" w:styleId="914">
    <w:name w:val="TEXT 10"/>
    <w:qFormat/>
    <w:uiPriority w:val="0"/>
    <w:pPr>
      <w:spacing w:line="360" w:lineRule="auto"/>
      <w:jc w:val="both"/>
    </w:pPr>
    <w:rPr>
      <w:rFonts w:ascii="Arial" w:hAnsi="Arial" w:eastAsia="宋体" w:cs="Times New Roman"/>
      <w:lang w:val="en-AU" w:eastAsia="zh-CN" w:bidi="ar-SA"/>
    </w:rPr>
  </w:style>
  <w:style w:type="paragraph" w:customStyle="1" w:styleId="915">
    <w:name w:val="章"/>
    <w:basedOn w:val="1"/>
    <w:qFormat/>
    <w:uiPriority w:val="0"/>
    <w:pPr>
      <w:jc w:val="center"/>
      <w:outlineLvl w:val="0"/>
    </w:pPr>
    <w:rPr>
      <w:rFonts w:ascii="宋体" w:hAnsi="宋体"/>
      <w:sz w:val="36"/>
      <w:szCs w:val="36"/>
    </w:rPr>
  </w:style>
  <w:style w:type="paragraph" w:customStyle="1" w:styleId="916">
    <w:name w:val="列表（符号二级）（绿盟科技）"/>
    <w:basedOn w:val="355"/>
    <w:qFormat/>
    <w:uiPriority w:val="0"/>
    <w:pPr>
      <w:tabs>
        <w:tab w:val="left" w:pos="360"/>
        <w:tab w:val="left" w:pos="718"/>
      </w:tabs>
      <w:ind w:left="1260" w:hanging="576"/>
    </w:pPr>
  </w:style>
  <w:style w:type="paragraph" w:customStyle="1" w:styleId="917">
    <w:name w:val="6级标题"/>
    <w:basedOn w:val="362"/>
    <w:next w:val="1"/>
    <w:qFormat/>
    <w:uiPriority w:val="0"/>
    <w:pPr>
      <w:ind w:left="2100" w:hanging="420"/>
      <w:outlineLvl w:val="5"/>
    </w:pPr>
  </w:style>
  <w:style w:type="paragraph" w:customStyle="1" w:styleId="918">
    <w:name w:val="样式 标题 1Section HeadH1Header1h1PIM 1Level 1 Topic Headingl...2"/>
    <w:basedOn w:val="3"/>
    <w:qFormat/>
    <w:uiPriority w:val="0"/>
    <w:pPr>
      <w:tabs>
        <w:tab w:val="left" w:pos="360"/>
      </w:tabs>
      <w:autoSpaceDE/>
      <w:autoSpaceDN/>
      <w:spacing w:before="0" w:after="0" w:line="400" w:lineRule="exact"/>
      <w:ind w:left="113" w:firstLine="200" w:firstLineChars="200"/>
      <w:jc w:val="both"/>
      <w:textAlignment w:val="top"/>
    </w:pPr>
    <w:rPr>
      <w:rFonts w:hAnsi="宋体" w:eastAsia="仿宋" w:cs="宋体"/>
      <w:bCs/>
      <w:kern w:val="52"/>
      <w:sz w:val="52"/>
    </w:rPr>
  </w:style>
  <w:style w:type="paragraph" w:customStyle="1" w:styleId="919">
    <w:name w:val="缩进"/>
    <w:basedOn w:val="1"/>
    <w:qFormat/>
    <w:uiPriority w:val="0"/>
    <w:pPr>
      <w:adjustRightInd w:val="0"/>
      <w:snapToGrid w:val="0"/>
      <w:spacing w:beforeLines="50" w:afterLines="50" w:line="360" w:lineRule="auto"/>
      <w:ind w:firstLine="480" w:firstLineChars="200"/>
    </w:pPr>
    <w:rPr>
      <w:rFonts w:ascii="Verdana" w:hAnsi="Verdana"/>
      <w:sz w:val="24"/>
    </w:rPr>
  </w:style>
  <w:style w:type="paragraph" w:customStyle="1" w:styleId="920">
    <w:name w:val="Char1 Char Char Char Char Char1 Char1 Char Char Char Char Char Char"/>
    <w:basedOn w:val="1"/>
    <w:qFormat/>
    <w:uiPriority w:val="0"/>
    <w:pPr>
      <w:adjustRightInd w:val="0"/>
      <w:spacing w:line="360" w:lineRule="auto"/>
    </w:pPr>
    <w:rPr>
      <w:kern w:val="0"/>
      <w:sz w:val="24"/>
    </w:rPr>
  </w:style>
  <w:style w:type="paragraph" w:customStyle="1" w:styleId="921">
    <w:name w:val="Char1 Char Char Char Char Char1 Char"/>
    <w:basedOn w:val="1"/>
    <w:qFormat/>
    <w:uiPriority w:val="0"/>
    <w:rPr>
      <w:rFonts w:ascii="Tahoma" w:hAnsi="Tahoma"/>
      <w:sz w:val="24"/>
      <w:szCs w:val="20"/>
    </w:rPr>
  </w:style>
  <w:style w:type="paragraph" w:customStyle="1" w:styleId="922">
    <w:name w:val="文章标题"/>
    <w:basedOn w:val="1"/>
    <w:next w:val="1"/>
    <w:qFormat/>
    <w:uiPriority w:val="0"/>
    <w:pPr>
      <w:spacing w:beforeLines="150" w:afterLines="250"/>
      <w:jc w:val="center"/>
    </w:pPr>
    <w:rPr>
      <w:rFonts w:ascii="Tahoma" w:hAnsi="Tahoma" w:eastAsia="黑体" w:cs="Tahoma"/>
      <w:sz w:val="48"/>
      <w:szCs w:val="44"/>
    </w:rPr>
  </w:style>
  <w:style w:type="paragraph" w:customStyle="1" w:styleId="923">
    <w:name w:val="项目 1"/>
    <w:basedOn w:val="1"/>
    <w:qFormat/>
    <w:uiPriority w:val="0"/>
    <w:pPr>
      <w:tabs>
        <w:tab w:val="left" w:pos="958"/>
      </w:tabs>
      <w:adjustRightInd w:val="0"/>
      <w:snapToGrid w:val="0"/>
      <w:spacing w:afterLines="50"/>
      <w:ind w:left="958" w:hanging="448"/>
    </w:pPr>
    <w:rPr>
      <w:rFonts w:ascii="Verdana" w:hAnsi="Verdana"/>
      <w:sz w:val="24"/>
    </w:rPr>
  </w:style>
  <w:style w:type="paragraph" w:customStyle="1" w:styleId="924">
    <w:name w:val="项目 2"/>
    <w:basedOn w:val="1"/>
    <w:qFormat/>
    <w:uiPriority w:val="0"/>
    <w:pPr>
      <w:tabs>
        <w:tab w:val="left" w:pos="1446"/>
      </w:tabs>
      <w:adjustRightInd w:val="0"/>
      <w:snapToGrid w:val="0"/>
      <w:spacing w:afterLines="50"/>
      <w:ind w:left="1446" w:hanging="488"/>
    </w:pPr>
    <w:rPr>
      <w:rFonts w:ascii="Verdana" w:hAnsi="Verdana"/>
      <w:sz w:val="24"/>
    </w:rPr>
  </w:style>
  <w:style w:type="paragraph" w:customStyle="1" w:styleId="925">
    <w:name w:val="终端显示"/>
    <w:basedOn w:val="1"/>
    <w:qFormat/>
    <w:uiPriority w:val="0"/>
    <w:pPr>
      <w:snapToGrid w:val="0"/>
      <w:ind w:left="200" w:leftChars="200"/>
      <w:jc w:val="left"/>
    </w:pPr>
    <w:rPr>
      <w:rFonts w:ascii="Courier New" w:hAnsi="Courier New" w:eastAsia="仿宋_GB2312"/>
    </w:rPr>
  </w:style>
  <w:style w:type="paragraph" w:customStyle="1" w:styleId="926">
    <w:name w:val="注释"/>
    <w:basedOn w:val="1"/>
    <w:qFormat/>
    <w:uiPriority w:val="0"/>
    <w:pPr>
      <w:shd w:val="clear" w:color="auto" w:fill="E0E0E0"/>
      <w:spacing w:beforeLines="50" w:afterLines="50"/>
    </w:pPr>
    <w:rPr>
      <w:rFonts w:ascii="Arial" w:hAnsi="Arial" w:eastAsia="仿宋_GB2312"/>
    </w:rPr>
  </w:style>
  <w:style w:type="paragraph" w:customStyle="1" w:styleId="927">
    <w:name w:val="次要显示"/>
    <w:basedOn w:val="925"/>
    <w:qFormat/>
    <w:uiPriority w:val="0"/>
  </w:style>
  <w:style w:type="paragraph" w:customStyle="1" w:styleId="928">
    <w:name w:val="终端次要显示"/>
    <w:basedOn w:val="925"/>
    <w:qFormat/>
    <w:uiPriority w:val="0"/>
  </w:style>
  <w:style w:type="paragraph" w:customStyle="1" w:styleId="929">
    <w:name w:val="注释函数"/>
    <w:basedOn w:val="926"/>
    <w:qFormat/>
    <w:uiPriority w:val="0"/>
  </w:style>
  <w:style w:type="paragraph" w:customStyle="1" w:styleId="930">
    <w:name w:val="注释提示"/>
    <w:basedOn w:val="926"/>
    <w:qFormat/>
    <w:uiPriority w:val="0"/>
  </w:style>
  <w:style w:type="paragraph" w:customStyle="1" w:styleId="931">
    <w:name w:val="终端突出显示"/>
    <w:basedOn w:val="925"/>
    <w:qFormat/>
    <w:uiPriority w:val="0"/>
  </w:style>
  <w:style w:type="paragraph" w:customStyle="1" w:styleId="932">
    <w:name w:val="文章目录"/>
    <w:basedOn w:val="1"/>
    <w:qFormat/>
    <w:uiPriority w:val="0"/>
    <w:pPr>
      <w:adjustRightInd w:val="0"/>
      <w:snapToGrid w:val="0"/>
      <w:spacing w:beforeLines="100" w:afterLines="100"/>
      <w:jc w:val="center"/>
    </w:pPr>
    <w:rPr>
      <w:b/>
      <w:sz w:val="24"/>
    </w:rPr>
  </w:style>
  <w:style w:type="paragraph" w:customStyle="1" w:styleId="933">
    <w:name w:val="封面横线"/>
    <w:basedOn w:val="1"/>
    <w:next w:val="1"/>
    <w:qFormat/>
    <w:uiPriority w:val="0"/>
    <w:pPr>
      <w:pBdr>
        <w:bottom w:val="single" w:color="auto" w:sz="12" w:space="1"/>
      </w:pBdr>
    </w:pPr>
    <w:rPr>
      <w:rFonts w:cs="宋体"/>
      <w:szCs w:val="20"/>
    </w:rPr>
  </w:style>
  <w:style w:type="paragraph" w:customStyle="1" w:styleId="934">
    <w:name w:val="封面作者"/>
    <w:basedOn w:val="1"/>
    <w:next w:val="1"/>
    <w:qFormat/>
    <w:uiPriority w:val="0"/>
    <w:pPr>
      <w:jc w:val="right"/>
    </w:pPr>
    <w:rPr>
      <w:rFonts w:ascii="Arial" w:hAnsi="Arial"/>
      <w:b/>
      <w:sz w:val="32"/>
    </w:rPr>
  </w:style>
  <w:style w:type="paragraph" w:customStyle="1" w:styleId="935">
    <w:name w:val="封面版本日期"/>
    <w:basedOn w:val="1"/>
    <w:next w:val="1"/>
    <w:qFormat/>
    <w:uiPriority w:val="0"/>
    <w:pPr>
      <w:jc w:val="right"/>
    </w:pPr>
    <w:rPr>
      <w:rFonts w:ascii="Tahoma" w:hAnsi="Tahoma" w:eastAsia="黑体"/>
      <w:sz w:val="24"/>
    </w:rPr>
  </w:style>
  <w:style w:type="paragraph" w:customStyle="1" w:styleId="936">
    <w:name w:val="封面保密"/>
    <w:basedOn w:val="1"/>
    <w:next w:val="1"/>
    <w:qFormat/>
    <w:uiPriority w:val="0"/>
    <w:rPr>
      <w:rFonts w:ascii="Tahoma" w:hAnsi="Tahoma"/>
      <w:i/>
    </w:rPr>
  </w:style>
  <w:style w:type="paragraph" w:customStyle="1" w:styleId="937">
    <w:name w:val="作者注"/>
    <w:basedOn w:val="1"/>
    <w:qFormat/>
    <w:uiPriority w:val="0"/>
    <w:pPr>
      <w:adjustRightInd w:val="0"/>
      <w:snapToGrid w:val="0"/>
    </w:pPr>
    <w:rPr>
      <w:rFonts w:ascii="Comic Sans MS" w:hAnsi="Comic Sans MS" w:eastAsia="仿宋_GB2312"/>
      <w:vanish/>
      <w:color w:val="0000FF"/>
      <w:szCs w:val="18"/>
    </w:rPr>
  </w:style>
  <w:style w:type="paragraph" w:customStyle="1" w:styleId="938">
    <w:name w:val="版本号"/>
    <w:basedOn w:val="922"/>
    <w:next w:val="1"/>
    <w:qFormat/>
    <w:uiPriority w:val="0"/>
    <w:pPr>
      <w:spacing w:beforeLines="50" w:afterLines="50"/>
    </w:pPr>
    <w:rPr>
      <w:sz w:val="30"/>
    </w:rPr>
  </w:style>
  <w:style w:type="paragraph" w:customStyle="1" w:styleId="939">
    <w:name w:val="表标题"/>
    <w:basedOn w:val="1"/>
    <w:next w:val="466"/>
    <w:qFormat/>
    <w:uiPriority w:val="0"/>
    <w:pPr>
      <w:keepNext/>
      <w:tabs>
        <w:tab w:val="left" w:pos="567"/>
      </w:tabs>
      <w:adjustRightInd w:val="0"/>
      <w:snapToGrid w:val="0"/>
      <w:spacing w:beforeLines="100" w:afterLines="50"/>
    </w:pPr>
    <w:rPr>
      <w:rFonts w:ascii="Tahoma" w:hAnsi="Tahoma" w:eastAsia="黑体"/>
      <w:b/>
    </w:rPr>
  </w:style>
  <w:style w:type="paragraph" w:customStyle="1" w:styleId="940">
    <w:name w:val="配置"/>
    <w:basedOn w:val="1"/>
    <w:qFormat/>
    <w:uiPriority w:val="0"/>
    <w:pPr>
      <w:pBdr>
        <w:top w:val="single" w:color="auto" w:sz="4" w:space="1"/>
        <w:left w:val="single" w:color="auto" w:sz="4" w:space="4"/>
        <w:bottom w:val="single" w:color="auto" w:sz="4" w:space="1"/>
        <w:right w:val="single" w:color="auto" w:sz="4" w:space="4"/>
      </w:pBdr>
      <w:shd w:val="clear" w:color="auto" w:fill="FFFF99"/>
      <w:adjustRightInd w:val="0"/>
      <w:snapToGrid w:val="0"/>
      <w:ind w:left="1260" w:leftChars="400" w:hanging="420" w:hangingChars="200"/>
    </w:pPr>
    <w:rPr>
      <w:rFonts w:ascii="Courier New" w:hAnsi="Courier New" w:eastAsia="仿宋_GB2312"/>
    </w:rPr>
  </w:style>
  <w:style w:type="paragraph" w:customStyle="1" w:styleId="941">
    <w:name w:val="附件 1"/>
    <w:basedOn w:val="1"/>
    <w:next w:val="919"/>
    <w:qFormat/>
    <w:uiPriority w:val="0"/>
    <w:pPr>
      <w:keepLines/>
      <w:pageBreakBefore/>
      <w:pBdr>
        <w:bottom w:val="single" w:color="808080" w:sz="24" w:space="1"/>
      </w:pBdr>
      <w:spacing w:line="360" w:lineRule="auto"/>
      <w:ind w:left="432" w:hanging="432"/>
    </w:pPr>
    <w:rPr>
      <w:rFonts w:ascii="Tahoma" w:hAnsi="Tahoma" w:eastAsia="黑体"/>
      <w:b/>
      <w:color w:val="000080"/>
      <w:sz w:val="48"/>
    </w:rPr>
  </w:style>
  <w:style w:type="paragraph" w:customStyle="1" w:styleId="942">
    <w:name w:val="项目1缩进"/>
    <w:basedOn w:val="1"/>
    <w:next w:val="923"/>
    <w:qFormat/>
    <w:uiPriority w:val="0"/>
    <w:pPr>
      <w:adjustRightInd w:val="0"/>
      <w:snapToGrid w:val="0"/>
      <w:spacing w:beforeLines="50" w:line="360" w:lineRule="auto"/>
      <w:ind w:left="958"/>
    </w:pPr>
    <w:rPr>
      <w:rFonts w:ascii="Verdana" w:hAnsi="Verdana"/>
      <w:sz w:val="24"/>
    </w:rPr>
  </w:style>
  <w:style w:type="paragraph" w:customStyle="1" w:styleId="943">
    <w:name w:val="Table Header"/>
    <w:basedOn w:val="1"/>
    <w:qFormat/>
    <w:uiPriority w:val="0"/>
    <w:pPr>
      <w:widowControl/>
      <w:overflowPunct w:val="0"/>
      <w:autoSpaceDE w:val="0"/>
      <w:autoSpaceDN w:val="0"/>
      <w:adjustRightInd w:val="0"/>
      <w:spacing w:after="100"/>
      <w:jc w:val="center"/>
      <w:textAlignment w:val="baseline"/>
    </w:pPr>
    <w:rPr>
      <w:rFonts w:ascii="Arial" w:hAnsi="Arial"/>
      <w:b/>
      <w:kern w:val="0"/>
      <w:sz w:val="20"/>
      <w:szCs w:val="20"/>
    </w:rPr>
  </w:style>
  <w:style w:type="paragraph" w:customStyle="1" w:styleId="944">
    <w:name w:val="附件一"/>
    <w:basedOn w:val="1"/>
    <w:next w:val="919"/>
    <w:qFormat/>
    <w:uiPriority w:val="0"/>
    <w:pPr>
      <w:keepNext/>
      <w:keepLines/>
      <w:pageBreakBefore/>
      <w:tabs>
        <w:tab w:val="left" w:pos="360"/>
      </w:tabs>
      <w:spacing w:beforeLines="200" w:afterLines="100" w:line="360" w:lineRule="auto"/>
    </w:pPr>
    <w:rPr>
      <w:rFonts w:ascii="Verdana" w:hAnsi="Verdana"/>
      <w:b/>
      <w:sz w:val="32"/>
    </w:rPr>
  </w:style>
  <w:style w:type="paragraph" w:customStyle="1" w:styleId="945">
    <w:name w:val="附件二"/>
    <w:basedOn w:val="1"/>
    <w:next w:val="919"/>
    <w:qFormat/>
    <w:uiPriority w:val="0"/>
    <w:pPr>
      <w:tabs>
        <w:tab w:val="left" w:pos="360"/>
      </w:tabs>
      <w:spacing w:beforeLines="50" w:afterLines="50" w:line="360" w:lineRule="auto"/>
    </w:pPr>
    <w:rPr>
      <w:rFonts w:ascii="Verdana" w:hAnsi="Verdana"/>
      <w:b/>
      <w:sz w:val="30"/>
    </w:rPr>
  </w:style>
  <w:style w:type="paragraph" w:customStyle="1" w:styleId="946">
    <w:name w:val="样式 样式 宋体 小四 黑色 两端对齐 段前: 1.2 磅 段后: 1.2 磅 行距: 1.5 倍行距 + 首行缩进:  2 字符"/>
    <w:basedOn w:val="1"/>
    <w:qFormat/>
    <w:uiPriority w:val="0"/>
    <w:pPr>
      <w:widowControl/>
      <w:overflowPunct w:val="0"/>
      <w:autoSpaceDE w:val="0"/>
      <w:autoSpaceDN w:val="0"/>
      <w:adjustRightInd w:val="0"/>
      <w:spacing w:after="120" w:line="400" w:lineRule="exact"/>
      <w:ind w:firstLine="480" w:firstLineChars="200"/>
      <w:textAlignment w:val="baseline"/>
    </w:pPr>
    <w:rPr>
      <w:rFonts w:ascii="Arial" w:hAnsi="Arial" w:cs="宋体"/>
      <w:kern w:val="0"/>
      <w:sz w:val="24"/>
      <w:lang w:val="en-GB"/>
    </w:rPr>
  </w:style>
  <w:style w:type="paragraph" w:customStyle="1" w:styleId="947">
    <w:name w:val="Char1 Char Char"/>
    <w:basedOn w:val="1"/>
    <w:qFormat/>
    <w:uiPriority w:val="0"/>
    <w:rPr>
      <w:rFonts w:ascii="Tahoma" w:hAnsi="Tahoma"/>
      <w:sz w:val="24"/>
      <w:szCs w:val="20"/>
    </w:rPr>
  </w:style>
  <w:style w:type="paragraph" w:customStyle="1" w:styleId="948">
    <w:name w:val="Char2 Char Char Char Char Char"/>
    <w:basedOn w:val="1"/>
    <w:qFormat/>
    <w:uiPriority w:val="0"/>
    <w:rPr>
      <w:rFonts w:ascii="Tahoma" w:hAnsi="Tahoma"/>
      <w:sz w:val="24"/>
      <w:szCs w:val="20"/>
    </w:rPr>
  </w:style>
  <w:style w:type="paragraph" w:customStyle="1" w:styleId="949">
    <w:name w:val="Editor's comments"/>
    <w:basedOn w:val="1"/>
    <w:qFormat/>
    <w:uiPriority w:val="0"/>
    <w:pPr>
      <w:widowControl/>
      <w:overflowPunct w:val="0"/>
      <w:autoSpaceDE w:val="0"/>
      <w:autoSpaceDN w:val="0"/>
      <w:adjustRightInd w:val="0"/>
      <w:spacing w:after="120"/>
      <w:jc w:val="left"/>
      <w:textAlignment w:val="baseline"/>
    </w:pPr>
    <w:rPr>
      <w:rFonts w:ascii="Arial" w:hAnsi="Arial"/>
      <w:b/>
      <w:bCs/>
      <w:color w:val="FF0000"/>
      <w:kern w:val="0"/>
      <w:sz w:val="20"/>
      <w:szCs w:val="20"/>
      <w:lang w:eastAsia="en-US"/>
    </w:rPr>
  </w:style>
  <w:style w:type="paragraph" w:customStyle="1" w:styleId="950">
    <w:name w:val="Reader's comments"/>
    <w:basedOn w:val="1"/>
    <w:qFormat/>
    <w:uiPriority w:val="0"/>
    <w:pPr>
      <w:widowControl/>
      <w:overflowPunct w:val="0"/>
      <w:autoSpaceDE w:val="0"/>
      <w:autoSpaceDN w:val="0"/>
      <w:adjustRightInd w:val="0"/>
      <w:spacing w:after="120"/>
      <w:jc w:val="left"/>
      <w:textAlignment w:val="baseline"/>
    </w:pPr>
    <w:rPr>
      <w:rFonts w:ascii="Arial" w:hAnsi="Arial"/>
      <w:i/>
      <w:iCs/>
      <w:color w:val="CC00CC"/>
      <w:kern w:val="0"/>
      <w:sz w:val="20"/>
      <w:szCs w:val="20"/>
      <w:lang w:eastAsia="en-US"/>
    </w:rPr>
  </w:style>
  <w:style w:type="paragraph" w:customStyle="1" w:styleId="951">
    <w:name w:val="Char Char Char Char1 Char Char Char Char Char Char Char Char Char Char Char1 Char Char Char1 Char Char Char1 Char"/>
    <w:basedOn w:val="1"/>
    <w:qFormat/>
    <w:uiPriority w:val="0"/>
    <w:rPr>
      <w:rFonts w:ascii="Tahoma" w:hAnsi="Tahoma"/>
      <w:sz w:val="24"/>
      <w:szCs w:val="20"/>
    </w:rPr>
  </w:style>
  <w:style w:type="paragraph" w:customStyle="1" w:styleId="952">
    <w:name w:val="Table Heading"/>
    <w:basedOn w:val="665"/>
    <w:qFormat/>
    <w:uiPriority w:val="0"/>
  </w:style>
  <w:style w:type="paragraph" w:customStyle="1" w:styleId="953">
    <w:name w:val="Char Char Char Char1 Char Char Char Char Char Char Char Char Char Char Char1 Char1 Char Char2 Char Char Char Char Char Char Char Char Char Char1"/>
    <w:basedOn w:val="1"/>
    <w:qFormat/>
    <w:uiPriority w:val="0"/>
    <w:rPr>
      <w:rFonts w:ascii="Tahoma" w:hAnsi="Tahoma"/>
      <w:sz w:val="24"/>
      <w:szCs w:val="20"/>
    </w:rPr>
  </w:style>
  <w:style w:type="paragraph" w:customStyle="1" w:styleId="954">
    <w:name w:val="Char1 Char Char Char Char Char1 Char1 Char Char Char Char"/>
    <w:basedOn w:val="1"/>
    <w:qFormat/>
    <w:uiPriority w:val="0"/>
    <w:rPr>
      <w:rFonts w:ascii="Tahoma" w:hAnsi="Tahoma"/>
      <w:sz w:val="24"/>
      <w:szCs w:val="20"/>
    </w:rPr>
  </w:style>
  <w:style w:type="paragraph" w:customStyle="1" w:styleId="955">
    <w:name w:val="1.1.1.1四级标题 Char Char"/>
    <w:basedOn w:val="1"/>
    <w:qFormat/>
    <w:uiPriority w:val="0"/>
    <w:pPr>
      <w:widowControl/>
      <w:spacing w:after="160" w:line="240" w:lineRule="exact"/>
      <w:jc w:val="center"/>
    </w:pPr>
    <w:rPr>
      <w:rFonts w:ascii="Tahoma" w:hAnsi="Tahoma"/>
      <w:sz w:val="24"/>
    </w:rPr>
  </w:style>
  <w:style w:type="paragraph" w:customStyle="1" w:styleId="956">
    <w:name w:val="Char1 Char Char Char Char Char1 Char1"/>
    <w:basedOn w:val="1"/>
    <w:qFormat/>
    <w:uiPriority w:val="0"/>
    <w:rPr>
      <w:rFonts w:ascii="Tahoma" w:hAnsi="Tahoma"/>
      <w:sz w:val="24"/>
      <w:szCs w:val="20"/>
    </w:rPr>
  </w:style>
  <w:style w:type="paragraph" w:customStyle="1" w:styleId="957">
    <w:name w:val="项目1"/>
    <w:basedOn w:val="1"/>
    <w:qFormat/>
    <w:uiPriority w:val="0"/>
    <w:pPr>
      <w:tabs>
        <w:tab w:val="left" w:pos="709"/>
      </w:tabs>
      <w:spacing w:line="360" w:lineRule="auto"/>
      <w:ind w:left="822" w:hanging="340"/>
    </w:pPr>
    <w:rPr>
      <w:sz w:val="24"/>
    </w:rPr>
  </w:style>
  <w:style w:type="paragraph" w:customStyle="1" w:styleId="958">
    <w:name w:val="Char1 Char Char Char Char Char1 Char1 Char Char Char Char Char Char Char Char"/>
    <w:basedOn w:val="1"/>
    <w:qFormat/>
    <w:uiPriority w:val="0"/>
    <w:pPr>
      <w:adjustRightInd w:val="0"/>
      <w:spacing w:line="360" w:lineRule="auto"/>
    </w:pPr>
    <w:rPr>
      <w:kern w:val="0"/>
      <w:sz w:val="24"/>
    </w:rPr>
  </w:style>
  <w:style w:type="paragraph" w:customStyle="1" w:styleId="959">
    <w:name w:val="标题1"/>
    <w:basedOn w:val="3"/>
    <w:qFormat/>
    <w:uiPriority w:val="0"/>
    <w:pPr>
      <w:tabs>
        <w:tab w:val="left" w:pos="360"/>
      </w:tabs>
      <w:autoSpaceDE/>
      <w:autoSpaceDN/>
      <w:adjustRightInd/>
      <w:snapToGrid w:val="0"/>
      <w:spacing w:before="0" w:after="0" w:line="240" w:lineRule="auto"/>
      <w:ind w:left="432" w:hanging="432"/>
      <w:jc w:val="left"/>
    </w:pPr>
    <w:rPr>
      <w:rFonts w:ascii="黑体" w:hAnsi="Arial"/>
      <w:szCs w:val="44"/>
    </w:rPr>
  </w:style>
  <w:style w:type="paragraph" w:customStyle="1" w:styleId="960">
    <w:name w:val="figurecaption"/>
    <w:basedOn w:val="1"/>
    <w:qFormat/>
    <w:uiPriority w:val="0"/>
    <w:pPr>
      <w:widowControl/>
      <w:spacing w:before="100" w:beforeAutospacing="1" w:after="100" w:afterAutospacing="1"/>
      <w:jc w:val="left"/>
    </w:pPr>
    <w:rPr>
      <w:rFonts w:eastAsia="Batang"/>
      <w:kern w:val="0"/>
      <w:sz w:val="24"/>
      <w:lang w:eastAsia="ja-JP"/>
    </w:rPr>
  </w:style>
  <w:style w:type="paragraph" w:customStyle="1" w:styleId="961">
    <w:name w:val="样式17"/>
    <w:basedOn w:val="1"/>
    <w:qFormat/>
    <w:uiPriority w:val="0"/>
    <w:pPr>
      <w:keepNext/>
      <w:widowControl/>
      <w:spacing w:before="240" w:after="60"/>
      <w:ind w:left="576" w:hanging="576"/>
      <w:jc w:val="left"/>
      <w:outlineLvl w:val="1"/>
    </w:pPr>
    <w:rPr>
      <w:rFonts w:ascii="Arial" w:hAnsi="Arial"/>
      <w:b/>
      <w:sz w:val="32"/>
      <w:szCs w:val="20"/>
    </w:rPr>
  </w:style>
  <w:style w:type="paragraph" w:customStyle="1" w:styleId="962">
    <w:name w:val="TableofContents"/>
    <w:basedOn w:val="1"/>
    <w:qFormat/>
    <w:uiPriority w:val="0"/>
    <w:pPr>
      <w:keepNext/>
      <w:pBdr>
        <w:bottom w:val="single" w:color="C0C0C0" w:sz="24" w:space="1"/>
      </w:pBdr>
      <w:shd w:val="solid" w:color="FFFFFF" w:fill="FFFFFF"/>
      <w:spacing w:before="500" w:after="300"/>
      <w:jc w:val="left"/>
      <w:outlineLvl w:val="0"/>
    </w:pPr>
    <w:rPr>
      <w:rFonts w:ascii="Arial" w:hAnsi="Arial"/>
      <w:b/>
      <w:kern w:val="0"/>
      <w:sz w:val="44"/>
      <w:szCs w:val="20"/>
      <w:shd w:val="solid" w:color="FFFFFF" w:fill="FFFFFF"/>
      <w:lang w:eastAsia="en-US"/>
    </w:rPr>
  </w:style>
  <w:style w:type="paragraph" w:customStyle="1" w:styleId="963">
    <w:name w:val="Char1 Char Char Char Char Char1 Char1 Char Char Char Char Char Char Char Char2"/>
    <w:basedOn w:val="1"/>
    <w:qFormat/>
    <w:uiPriority w:val="0"/>
    <w:pPr>
      <w:adjustRightInd w:val="0"/>
      <w:spacing w:line="360" w:lineRule="auto"/>
    </w:pPr>
    <w:rPr>
      <w:kern w:val="0"/>
      <w:sz w:val="24"/>
    </w:rPr>
  </w:style>
  <w:style w:type="paragraph" w:customStyle="1" w:styleId="964">
    <w:name w:val="p16"/>
    <w:basedOn w:val="1"/>
    <w:qFormat/>
    <w:uiPriority w:val="0"/>
    <w:pPr>
      <w:widowControl/>
      <w:spacing w:line="360" w:lineRule="auto"/>
      <w:ind w:firstLine="420"/>
    </w:pPr>
    <w:rPr>
      <w:rFonts w:ascii="宋体" w:hAnsi="宋体" w:cs="宋体"/>
      <w:kern w:val="0"/>
      <w:szCs w:val="21"/>
    </w:rPr>
  </w:style>
  <w:style w:type="paragraph" w:customStyle="1" w:styleId="965">
    <w:name w:val="Comment"/>
    <w:basedOn w:val="1"/>
    <w:qFormat/>
    <w:uiPriority w:val="0"/>
    <w:pPr>
      <w:widowControl/>
      <w:overflowPunct w:val="0"/>
      <w:autoSpaceDE w:val="0"/>
      <w:autoSpaceDN w:val="0"/>
      <w:adjustRightInd w:val="0"/>
      <w:spacing w:after="100"/>
      <w:jc w:val="left"/>
      <w:textAlignment w:val="baseline"/>
    </w:pPr>
    <w:rPr>
      <w:rFonts w:ascii="Arial" w:hAnsi="Arial"/>
      <w:color w:val="0000FF"/>
      <w:kern w:val="0"/>
      <w:sz w:val="20"/>
      <w:szCs w:val="20"/>
    </w:rPr>
  </w:style>
  <w:style w:type="paragraph" w:customStyle="1" w:styleId="966">
    <w:name w:val="_Style 72"/>
    <w:basedOn w:val="1"/>
    <w:qFormat/>
    <w:uiPriority w:val="0"/>
    <w:rPr>
      <w:szCs w:val="20"/>
    </w:rPr>
  </w:style>
  <w:style w:type="paragraph" w:customStyle="1" w:styleId="967">
    <w:name w:val="Char 字元 Char Char Char Char Char Char Char Char Char Char Char"/>
    <w:basedOn w:val="1"/>
    <w:qFormat/>
    <w:uiPriority w:val="0"/>
    <w:pPr>
      <w:widowControl/>
      <w:spacing w:after="160" w:line="240" w:lineRule="exact"/>
      <w:jc w:val="left"/>
    </w:pPr>
    <w:rPr>
      <w:rFonts w:ascii="Verdana" w:hAnsi="Verdana"/>
      <w:kern w:val="0"/>
      <w:sz w:val="28"/>
      <w:szCs w:val="20"/>
      <w:lang w:eastAsia="en-US"/>
    </w:rPr>
  </w:style>
  <w:style w:type="paragraph" w:customStyle="1" w:styleId="968">
    <w:name w:val="样式 标题 2 + 左侧:  0 厘米 首行缩进:  0 厘米"/>
    <w:basedOn w:val="4"/>
    <w:qFormat/>
    <w:uiPriority w:val="0"/>
    <w:pPr>
      <w:tabs>
        <w:tab w:val="left" w:pos="0"/>
        <w:tab w:val="left" w:pos="992"/>
      </w:tabs>
      <w:autoSpaceDE/>
      <w:autoSpaceDN/>
      <w:spacing w:before="0" w:beforeLines="50" w:afterLines="50" w:line="413" w:lineRule="auto"/>
      <w:ind w:left="576" w:hanging="576"/>
      <w:jc w:val="both"/>
    </w:pPr>
    <w:rPr>
      <w:kern w:val="2"/>
      <w:sz w:val="32"/>
    </w:rPr>
  </w:style>
  <w:style w:type="paragraph" w:customStyle="1" w:styleId="969">
    <w:name w:val="附录 Heading 2"/>
    <w:basedOn w:val="4"/>
    <w:qFormat/>
    <w:uiPriority w:val="0"/>
    <w:pPr>
      <w:tabs>
        <w:tab w:val="left" w:pos="0"/>
        <w:tab w:val="left" w:pos="900"/>
      </w:tabs>
      <w:autoSpaceDE/>
      <w:autoSpaceDN/>
      <w:spacing w:before="0" w:beforeLines="50" w:afterLines="50" w:line="413" w:lineRule="auto"/>
      <w:ind w:left="1260" w:hanging="420"/>
      <w:jc w:val="left"/>
    </w:pPr>
    <w:rPr>
      <w:rFonts w:ascii="Times New Roman" w:hAnsi="Times New Roman" w:eastAsia="宋体"/>
      <w:sz w:val="32"/>
    </w:rPr>
  </w:style>
  <w:style w:type="paragraph" w:customStyle="1" w:styleId="970">
    <w:name w:val="Char Char Char Char Char Char Char Char Char Char Char Char Char Char Char Char Char Char Char Char Char1 Char Char Char Char Char1 Char Char Char Char Char Char Char Char Char Char"/>
    <w:basedOn w:val="1"/>
    <w:qFormat/>
    <w:uiPriority w:val="0"/>
    <w:pPr>
      <w:widowControl/>
      <w:spacing w:after="160" w:line="240" w:lineRule="exact"/>
      <w:jc w:val="center"/>
    </w:pPr>
    <w:rPr>
      <w:kern w:val="0"/>
      <w:sz w:val="20"/>
      <w:szCs w:val="20"/>
    </w:rPr>
  </w:style>
  <w:style w:type="paragraph" w:customStyle="1" w:styleId="971">
    <w:name w:val="Char Char Char Char Char Char Char Char Char1 Char Char Char1"/>
    <w:basedOn w:val="1"/>
    <w:qFormat/>
    <w:uiPriority w:val="0"/>
    <w:pPr>
      <w:widowControl/>
      <w:spacing w:after="160" w:line="240" w:lineRule="exact"/>
      <w:jc w:val="left"/>
    </w:pPr>
    <w:rPr>
      <w:szCs w:val="20"/>
    </w:rPr>
  </w:style>
  <w:style w:type="paragraph" w:customStyle="1" w:styleId="972">
    <w:name w:val="Char Char Char Char Char Char2 Char Char Char1 Char Char Char Char Char Char Char"/>
    <w:basedOn w:val="26"/>
    <w:qFormat/>
    <w:uiPriority w:val="0"/>
    <w:pPr>
      <w:shd w:val="clear" w:color="auto" w:fill="auto"/>
      <w:spacing w:line="360" w:lineRule="auto"/>
      <w:ind w:firstLine="200" w:firstLineChars="200"/>
    </w:pPr>
    <w:rPr>
      <w:rFonts w:ascii="宋体"/>
      <w:sz w:val="18"/>
      <w:szCs w:val="18"/>
    </w:rPr>
  </w:style>
  <w:style w:type="paragraph" w:customStyle="1" w:styleId="973">
    <w:name w:val="Char Char Char Char Char Char Char Char Char Char Char Char Char1 Char"/>
    <w:basedOn w:val="26"/>
    <w:qFormat/>
    <w:uiPriority w:val="0"/>
    <w:pPr>
      <w:shd w:val="clear" w:color="auto" w:fill="auto"/>
      <w:spacing w:line="360" w:lineRule="auto"/>
      <w:ind w:firstLine="200" w:firstLineChars="200"/>
    </w:pPr>
    <w:rPr>
      <w:rFonts w:ascii="宋体"/>
      <w:sz w:val="18"/>
      <w:szCs w:val="18"/>
    </w:rPr>
  </w:style>
  <w:style w:type="paragraph" w:customStyle="1" w:styleId="974">
    <w:name w:val="正文缩两字"/>
    <w:basedOn w:val="1"/>
    <w:next w:val="1"/>
    <w:qFormat/>
    <w:uiPriority w:val="0"/>
    <w:pPr>
      <w:widowControl/>
      <w:tabs>
        <w:tab w:val="left" w:pos="1260"/>
      </w:tabs>
      <w:spacing w:afterLines="50" w:line="360" w:lineRule="auto"/>
      <w:ind w:left="840" w:hanging="420"/>
      <w:jc w:val="left"/>
    </w:pPr>
    <w:rPr>
      <w:rFonts w:hAnsi="宋体"/>
      <w:kern w:val="0"/>
      <w:sz w:val="24"/>
      <w:szCs w:val="20"/>
    </w:rPr>
  </w:style>
  <w:style w:type="paragraph" w:customStyle="1" w:styleId="975">
    <w:name w:val="SubText"/>
    <w:basedOn w:val="1"/>
    <w:qFormat/>
    <w:uiPriority w:val="0"/>
    <w:pPr>
      <w:widowControl/>
      <w:tabs>
        <w:tab w:val="left" w:pos="855"/>
      </w:tabs>
      <w:spacing w:before="72" w:line="360" w:lineRule="auto"/>
      <w:ind w:left="855"/>
      <w:jc w:val="left"/>
    </w:pPr>
    <w:rPr>
      <w:rFonts w:ascii="宋体" w:hAnsi="宋体"/>
      <w:snapToGrid w:val="0"/>
      <w:kern w:val="0"/>
      <w:sz w:val="24"/>
      <w:szCs w:val="20"/>
      <w:lang w:val="en-GB" w:eastAsia="en-US"/>
    </w:rPr>
  </w:style>
  <w:style w:type="paragraph" w:customStyle="1" w:styleId="976">
    <w:name w:val="样式 标题 2 + 左侧:  0 厘米 首行缩进:  0 厘米1"/>
    <w:basedOn w:val="4"/>
    <w:qFormat/>
    <w:uiPriority w:val="0"/>
    <w:pPr>
      <w:widowControl/>
      <w:tabs>
        <w:tab w:val="left" w:pos="0"/>
        <w:tab w:val="left" w:pos="1260"/>
      </w:tabs>
      <w:autoSpaceDE/>
      <w:autoSpaceDN/>
      <w:spacing w:before="0" w:beforeLines="50" w:afterLines="50" w:line="413" w:lineRule="auto"/>
      <w:ind w:left="1260" w:hanging="420"/>
      <w:jc w:val="left"/>
    </w:pPr>
    <w:rPr>
      <w:sz w:val="32"/>
    </w:rPr>
  </w:style>
  <w:style w:type="paragraph" w:customStyle="1" w:styleId="977">
    <w:name w:val="Normal Cenered"/>
    <w:basedOn w:val="1"/>
    <w:qFormat/>
    <w:uiPriority w:val="0"/>
    <w:pPr>
      <w:widowControl/>
      <w:tabs>
        <w:tab w:val="left" w:pos="6660"/>
      </w:tabs>
      <w:spacing w:before="240" w:after="120" w:line="288" w:lineRule="auto"/>
      <w:jc w:val="center"/>
    </w:pPr>
    <w:rPr>
      <w:kern w:val="0"/>
      <w:szCs w:val="20"/>
    </w:rPr>
  </w:style>
  <w:style w:type="paragraph" w:customStyle="1" w:styleId="978">
    <w:name w:val="SOW bullet"/>
    <w:basedOn w:val="1"/>
    <w:qFormat/>
    <w:uiPriority w:val="0"/>
    <w:pPr>
      <w:snapToGrid w:val="0"/>
      <w:spacing w:line="400" w:lineRule="exact"/>
    </w:pPr>
    <w:rPr>
      <w:snapToGrid w:val="0"/>
      <w:sz w:val="24"/>
      <w:szCs w:val="20"/>
    </w:rPr>
  </w:style>
  <w:style w:type="paragraph" w:customStyle="1" w:styleId="979">
    <w:name w:val="Char Char Char Char Char Char Char Char Char Char Char Char Char"/>
    <w:basedOn w:val="1"/>
    <w:qFormat/>
    <w:uiPriority w:val="0"/>
    <w:pPr>
      <w:tabs>
        <w:tab w:val="left" w:pos="432"/>
      </w:tabs>
      <w:ind w:left="432" w:hanging="432"/>
    </w:pPr>
    <w:rPr>
      <w:sz w:val="24"/>
      <w:szCs w:val="20"/>
    </w:rPr>
  </w:style>
  <w:style w:type="paragraph" w:customStyle="1" w:styleId="980">
    <w:name w:val="Char6"/>
    <w:basedOn w:val="1"/>
    <w:qFormat/>
    <w:uiPriority w:val="0"/>
    <w:rPr>
      <w:szCs w:val="20"/>
    </w:rPr>
  </w:style>
  <w:style w:type="paragraph" w:customStyle="1" w:styleId="981">
    <w:name w:val="缩进 Char Char"/>
    <w:basedOn w:val="1"/>
    <w:qFormat/>
    <w:uiPriority w:val="0"/>
    <w:pPr>
      <w:adjustRightInd w:val="0"/>
      <w:snapToGrid w:val="0"/>
      <w:spacing w:beforeLines="50" w:afterLines="50" w:line="360" w:lineRule="auto"/>
      <w:ind w:firstLine="480" w:firstLineChars="200"/>
    </w:pPr>
    <w:rPr>
      <w:rFonts w:ascii="Verdana" w:hAnsi="Verdana"/>
      <w:sz w:val="24"/>
      <w:szCs w:val="20"/>
    </w:rPr>
  </w:style>
  <w:style w:type="paragraph" w:customStyle="1" w:styleId="982">
    <w:name w:val="Char 字元 Char Char Char Char Char Char Char Char Char"/>
    <w:basedOn w:val="1"/>
    <w:qFormat/>
    <w:uiPriority w:val="0"/>
    <w:pPr>
      <w:widowControl/>
      <w:spacing w:after="160" w:line="240" w:lineRule="exact"/>
      <w:jc w:val="left"/>
    </w:pPr>
    <w:rPr>
      <w:rFonts w:ascii="Verdana" w:hAnsi="Verdana"/>
      <w:kern w:val="0"/>
      <w:sz w:val="28"/>
      <w:szCs w:val="20"/>
      <w:lang w:eastAsia="en-US"/>
    </w:rPr>
  </w:style>
  <w:style w:type="paragraph" w:customStyle="1" w:styleId="983">
    <w:name w:val="Char Char Char Char Char Char1 Char Char Char Char Char"/>
    <w:basedOn w:val="26"/>
    <w:qFormat/>
    <w:uiPriority w:val="0"/>
    <w:pPr>
      <w:shd w:val="clear" w:color="auto" w:fill="auto"/>
      <w:spacing w:line="360" w:lineRule="auto"/>
      <w:ind w:firstLine="200" w:firstLineChars="200"/>
    </w:pPr>
    <w:rPr>
      <w:rFonts w:ascii="宋体"/>
      <w:sz w:val="18"/>
      <w:szCs w:val="18"/>
    </w:rPr>
  </w:style>
  <w:style w:type="paragraph" w:customStyle="1" w:styleId="984">
    <w:name w:val="表格文字1"/>
    <w:basedOn w:val="24"/>
    <w:qFormat/>
    <w:uiPriority w:val="0"/>
    <w:pPr>
      <w:tabs>
        <w:tab w:val="clear" w:pos="567"/>
      </w:tabs>
      <w:spacing w:before="0" w:line="360" w:lineRule="auto"/>
      <w:jc w:val="center"/>
    </w:pPr>
    <w:rPr>
      <w:rFonts w:ascii="Times New Roman" w:hAnsi="Times New Roman"/>
      <w:kern w:val="2"/>
    </w:rPr>
  </w:style>
  <w:style w:type="paragraph" w:customStyle="1" w:styleId="985">
    <w:name w:val="缺省文本"/>
    <w:basedOn w:val="1"/>
    <w:qFormat/>
    <w:uiPriority w:val="0"/>
    <w:pPr>
      <w:autoSpaceDE w:val="0"/>
      <w:autoSpaceDN w:val="0"/>
      <w:adjustRightInd w:val="0"/>
      <w:jc w:val="left"/>
    </w:pPr>
    <w:rPr>
      <w:kern w:val="0"/>
      <w:sz w:val="24"/>
      <w:szCs w:val="20"/>
    </w:rPr>
  </w:style>
  <w:style w:type="paragraph" w:customStyle="1" w:styleId="986">
    <w:name w:val="lh"/>
    <w:basedOn w:val="1"/>
    <w:qFormat/>
    <w:uiPriority w:val="0"/>
    <w:pPr>
      <w:widowControl/>
      <w:spacing w:before="100" w:beforeAutospacing="1" w:after="100" w:afterAutospacing="1" w:line="255" w:lineRule="atLeast"/>
      <w:jc w:val="left"/>
    </w:pPr>
    <w:rPr>
      <w:rFonts w:ascii="宋体" w:hAnsi="宋体"/>
      <w:kern w:val="0"/>
      <w:sz w:val="24"/>
    </w:rPr>
  </w:style>
  <w:style w:type="paragraph" w:customStyle="1" w:styleId="987">
    <w:name w:val="OT_Body_Text Bullet"/>
    <w:basedOn w:val="1"/>
    <w:qFormat/>
    <w:uiPriority w:val="0"/>
    <w:pPr>
      <w:widowControl/>
      <w:ind w:left="720"/>
    </w:pPr>
    <w:rPr>
      <w:rFonts w:ascii="Arial" w:hAnsi="Arial" w:eastAsia="PMingLiU"/>
      <w:kern w:val="0"/>
      <w:sz w:val="20"/>
      <w:szCs w:val="20"/>
      <w:lang w:eastAsia="en-US"/>
    </w:rPr>
  </w:style>
  <w:style w:type="paragraph" w:customStyle="1" w:styleId="988">
    <w:name w:val="项目符号"/>
    <w:basedOn w:val="1"/>
    <w:qFormat/>
    <w:uiPriority w:val="0"/>
    <w:pPr>
      <w:ind w:left="1260" w:hanging="420"/>
    </w:pPr>
  </w:style>
  <w:style w:type="paragraph" w:customStyle="1" w:styleId="989">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990">
    <w:name w:val="表题"/>
    <w:qFormat/>
    <w:uiPriority w:val="0"/>
    <w:pPr>
      <w:keepNext/>
      <w:keepLines/>
      <w:adjustRightInd w:val="0"/>
      <w:snapToGrid w:val="0"/>
      <w:spacing w:before="80" w:line="360" w:lineRule="auto"/>
      <w:ind w:left="680"/>
      <w:jc w:val="center"/>
    </w:pPr>
    <w:rPr>
      <w:rFonts w:ascii="Arial" w:hAnsi="Arial" w:eastAsia="黑体" w:cs="Times New Roman"/>
      <w:sz w:val="16"/>
      <w:lang w:val="en-US" w:eastAsia="zh-CN" w:bidi="ar-SA"/>
    </w:rPr>
  </w:style>
  <w:style w:type="paragraph" w:customStyle="1" w:styleId="991">
    <w:name w:val="图题"/>
    <w:basedOn w:val="376"/>
    <w:qFormat/>
    <w:uiPriority w:val="0"/>
    <w:pPr>
      <w:spacing w:before="40" w:after="80"/>
      <w:jc w:val="center"/>
    </w:pPr>
    <w:rPr>
      <w:rFonts w:ascii="Arial" w:hAnsi="Arial" w:eastAsia="黑体"/>
      <w:sz w:val="16"/>
    </w:rPr>
  </w:style>
  <w:style w:type="paragraph" w:customStyle="1" w:styleId="992">
    <w:name w:val="图片（中）"/>
    <w:basedOn w:val="991"/>
    <w:next w:val="991"/>
    <w:qFormat/>
    <w:uiPriority w:val="0"/>
  </w:style>
  <w:style w:type="paragraph" w:customStyle="1" w:styleId="993">
    <w:name w:val="序号列举项"/>
    <w:basedOn w:val="376"/>
    <w:qFormat/>
    <w:uiPriority w:val="0"/>
    <w:pPr>
      <w:ind w:left="1134" w:hanging="227"/>
    </w:pPr>
  </w:style>
  <w:style w:type="paragraph" w:customStyle="1" w:styleId="994">
    <w:name w:val="圆点列举项"/>
    <w:basedOn w:val="376"/>
    <w:qFormat/>
    <w:uiPriority w:val="0"/>
    <w:pPr>
      <w:ind w:left="1134" w:hanging="227"/>
    </w:pPr>
  </w:style>
  <w:style w:type="paragraph" w:customStyle="1" w:styleId="995">
    <w:name w:val="表项"/>
    <w:next w:val="996"/>
    <w:qFormat/>
    <w:uiPriority w:val="0"/>
    <w:pPr>
      <w:adjustRightInd w:val="0"/>
      <w:snapToGrid w:val="0"/>
      <w:spacing w:line="300" w:lineRule="auto"/>
      <w:jc w:val="center"/>
    </w:pPr>
    <w:rPr>
      <w:rFonts w:ascii="Arial" w:hAnsi="Arial" w:eastAsia="黑体" w:cs="Arial"/>
      <w:iCs/>
      <w:kern w:val="2"/>
      <w:sz w:val="16"/>
      <w:lang w:val="en-US" w:eastAsia="zh-CN" w:bidi="ar-SA"/>
    </w:rPr>
  </w:style>
  <w:style w:type="paragraph" w:customStyle="1" w:styleId="996">
    <w:name w:val="表身（左）"/>
    <w:qFormat/>
    <w:uiPriority w:val="0"/>
    <w:pPr>
      <w:adjustRightInd w:val="0"/>
      <w:snapToGrid w:val="0"/>
      <w:spacing w:line="300" w:lineRule="auto"/>
      <w:textAlignment w:val="center"/>
    </w:pPr>
    <w:rPr>
      <w:rFonts w:ascii="Times New Roman" w:hAnsi="Times New Roman" w:eastAsia="宋体" w:cs="Times New Roman"/>
      <w:sz w:val="16"/>
      <w:lang w:val="en-US" w:eastAsia="zh-CN" w:bidi="ar-SA"/>
    </w:rPr>
  </w:style>
  <w:style w:type="paragraph" w:customStyle="1" w:styleId="997">
    <w:name w:val="表身（中）"/>
    <w:basedOn w:val="996"/>
    <w:qFormat/>
    <w:uiPriority w:val="0"/>
  </w:style>
  <w:style w:type="paragraph" w:customStyle="1" w:styleId="998">
    <w:name w:val="headin"/>
    <w:basedOn w:val="1"/>
    <w:next w:val="1"/>
    <w:qFormat/>
    <w:uiPriority w:val="0"/>
    <w:pPr>
      <w:keepNext/>
      <w:keepLines/>
      <w:adjustRightInd w:val="0"/>
      <w:spacing w:before="260" w:after="260" w:line="416" w:lineRule="auto"/>
      <w:textAlignment w:val="baseline"/>
    </w:pPr>
    <w:rPr>
      <w:rFonts w:ascii="Arial" w:hAnsi="Arial" w:eastAsia="黑体"/>
      <w:b/>
      <w:sz w:val="32"/>
      <w:szCs w:val="20"/>
    </w:rPr>
  </w:style>
  <w:style w:type="paragraph" w:customStyle="1" w:styleId="999">
    <w:name w:val="模板普通正文"/>
    <w:basedOn w:val="42"/>
    <w:qFormat/>
    <w:uiPriority w:val="0"/>
    <w:pPr>
      <w:spacing w:beforeLines="50" w:after="10" w:line="360" w:lineRule="auto"/>
      <w:ind w:firstLine="490" w:firstLineChars="175"/>
      <w:jc w:val="left"/>
    </w:pPr>
    <w:rPr>
      <w:rFonts w:ascii="Times New Roman" w:hAnsi="Times New Roman"/>
      <w:kern w:val="2"/>
      <w:sz w:val="24"/>
      <w:szCs w:val="24"/>
    </w:rPr>
  </w:style>
  <w:style w:type="paragraph" w:customStyle="1" w:styleId="1000">
    <w:name w:val="样式 标题一 + 段前: 0.5 行 段后: 0.5 行"/>
    <w:basedOn w:val="3"/>
    <w:next w:val="1"/>
    <w:qFormat/>
    <w:uiPriority w:val="0"/>
    <w:pPr>
      <w:keepNext w:val="0"/>
      <w:keepLines w:val="0"/>
      <w:tabs>
        <w:tab w:val="left" w:pos="420"/>
      </w:tabs>
      <w:autoSpaceDE/>
      <w:autoSpaceDN/>
      <w:adjustRightInd/>
      <w:spacing w:before="0" w:beforeLines="50" w:after="0" w:afterLines="50" w:line="240" w:lineRule="auto"/>
      <w:ind w:left="420" w:hanging="420"/>
      <w:jc w:val="both"/>
      <w:outlineLvl w:val="9"/>
    </w:pPr>
    <w:rPr>
      <w:rFonts w:ascii="Arial" w:hAnsi="Arial" w:cs="宋体"/>
      <w:bCs/>
      <w:kern w:val="2"/>
      <w:sz w:val="24"/>
    </w:rPr>
  </w:style>
  <w:style w:type="paragraph" w:customStyle="1" w:styleId="1001">
    <w:name w:val="正文字缩2字"/>
    <w:basedOn w:val="1"/>
    <w:qFormat/>
    <w:uiPriority w:val="0"/>
    <w:pPr>
      <w:tabs>
        <w:tab w:val="left" w:pos="1860"/>
      </w:tabs>
      <w:adjustRightInd w:val="0"/>
      <w:spacing w:before="60" w:after="60" w:line="360" w:lineRule="auto"/>
      <w:ind w:left="200" w:leftChars="200" w:firstLine="200" w:firstLineChars="200"/>
      <w:textAlignment w:val="baseline"/>
    </w:pPr>
    <w:rPr>
      <w:sz w:val="24"/>
    </w:rPr>
  </w:style>
  <w:style w:type="paragraph" w:customStyle="1" w:styleId="1002">
    <w:name w:val="Numbered list 2.1"/>
    <w:basedOn w:val="3"/>
    <w:next w:val="1"/>
    <w:qFormat/>
    <w:uiPriority w:val="0"/>
    <w:pPr>
      <w:keepLines w:val="0"/>
      <w:widowControl/>
      <w:tabs>
        <w:tab w:val="left" w:pos="360"/>
        <w:tab w:val="left" w:pos="720"/>
      </w:tabs>
      <w:autoSpaceDE/>
      <w:autoSpaceDN/>
      <w:adjustRightInd/>
      <w:spacing w:before="0" w:after="0" w:line="240" w:lineRule="auto"/>
      <w:ind w:left="360" w:hanging="360"/>
      <w:jc w:val="left"/>
    </w:pPr>
    <w:rPr>
      <w:rFonts w:ascii="Futura Bk" w:hAnsi="Futura Bk"/>
      <w:kern w:val="28"/>
      <w:sz w:val="28"/>
      <w:lang w:eastAsia="en-US"/>
    </w:rPr>
  </w:style>
  <w:style w:type="paragraph" w:customStyle="1" w:styleId="1003">
    <w:name w:val="Numbered list 2.2"/>
    <w:basedOn w:val="4"/>
    <w:next w:val="1"/>
    <w:qFormat/>
    <w:uiPriority w:val="0"/>
    <w:pPr>
      <w:keepLines w:val="0"/>
      <w:widowControl/>
      <w:tabs>
        <w:tab w:val="left" w:pos="0"/>
        <w:tab w:val="left" w:pos="720"/>
        <w:tab w:val="left" w:pos="984"/>
      </w:tabs>
      <w:autoSpaceDE/>
      <w:autoSpaceDN/>
      <w:spacing w:before="0" w:beforeLines="50" w:afterLines="50" w:line="240" w:lineRule="auto"/>
      <w:ind w:left="624" w:hanging="360"/>
      <w:jc w:val="left"/>
    </w:pPr>
    <w:rPr>
      <w:rFonts w:ascii="Futura Bk" w:hAnsi="Futura Bk" w:eastAsia="宋体"/>
      <w:sz w:val="24"/>
      <w:lang w:eastAsia="en-US"/>
    </w:rPr>
  </w:style>
  <w:style w:type="paragraph" w:customStyle="1" w:styleId="1004">
    <w:name w:val="Numbered list 2.3"/>
    <w:basedOn w:val="6"/>
    <w:next w:val="1"/>
    <w:qFormat/>
    <w:uiPriority w:val="0"/>
    <w:pPr>
      <w:keepLines w:val="0"/>
      <w:widowControl/>
      <w:tabs>
        <w:tab w:val="left" w:pos="0"/>
        <w:tab w:val="left" w:pos="1080"/>
        <w:tab w:val="left" w:pos="1440"/>
      </w:tabs>
      <w:autoSpaceDE/>
      <w:autoSpaceDN/>
      <w:adjustRightInd/>
      <w:spacing w:before="0" w:after="0"/>
      <w:ind w:left="1080" w:hanging="360"/>
    </w:pPr>
    <w:rPr>
      <w:rFonts w:ascii="Futura Bk" w:hAnsi="Futura Bk"/>
      <w:sz w:val="22"/>
      <w:u w:val="none"/>
      <w:lang w:eastAsia="en-US"/>
    </w:rPr>
  </w:style>
  <w:style w:type="paragraph" w:customStyle="1" w:styleId="1005">
    <w:name w:val="Numbered list 2.4"/>
    <w:basedOn w:val="7"/>
    <w:next w:val="1"/>
    <w:qFormat/>
    <w:uiPriority w:val="0"/>
    <w:pPr>
      <w:keepLines w:val="0"/>
      <w:widowControl/>
      <w:tabs>
        <w:tab w:val="left" w:pos="1080"/>
        <w:tab w:val="left" w:pos="1440"/>
        <w:tab w:val="left" w:pos="1800"/>
        <w:tab w:val="left" w:pos="2880"/>
      </w:tabs>
      <w:spacing w:before="0" w:after="60" w:line="240" w:lineRule="auto"/>
      <w:ind w:left="2160" w:hanging="360"/>
      <w:jc w:val="left"/>
    </w:pPr>
    <w:rPr>
      <w:rFonts w:ascii="Futura Bk" w:hAnsi="Futura Bk" w:eastAsia="宋体"/>
      <w:bCs w:val="0"/>
      <w:color w:val="365F91"/>
      <w:sz w:val="20"/>
      <w:szCs w:val="20"/>
      <w:lang w:eastAsia="en-US"/>
    </w:rPr>
  </w:style>
  <w:style w:type="paragraph" w:customStyle="1" w:styleId="1006">
    <w:name w:val="样式 (西文) 宋体 小四 首行缩进:  0.95 厘米 段前: 5 磅 段后: 5 磅 行距: 1.5 倍行距"/>
    <w:basedOn w:val="1"/>
    <w:qFormat/>
    <w:uiPriority w:val="0"/>
    <w:pPr>
      <w:widowControl/>
      <w:spacing w:before="100" w:after="100" w:line="360" w:lineRule="auto"/>
      <w:ind w:firstLine="540"/>
      <w:jc w:val="left"/>
    </w:pPr>
    <w:rPr>
      <w:rFonts w:ascii="宋体" w:hAnsi="宋体" w:cs="宋体"/>
      <w:kern w:val="0"/>
      <w:sz w:val="24"/>
      <w:szCs w:val="20"/>
    </w:rPr>
  </w:style>
  <w:style w:type="paragraph" w:customStyle="1" w:styleId="1007">
    <w:name w:val="SOW正文"/>
    <w:basedOn w:val="1"/>
    <w:qFormat/>
    <w:uiPriority w:val="0"/>
    <w:pPr>
      <w:snapToGrid w:val="0"/>
      <w:spacing w:before="120" w:line="400" w:lineRule="exact"/>
      <w:ind w:firstLine="425"/>
    </w:pPr>
    <w:rPr>
      <w:sz w:val="24"/>
    </w:rPr>
  </w:style>
  <w:style w:type="paragraph" w:customStyle="1" w:styleId="1008">
    <w:name w:val="CM11"/>
    <w:basedOn w:val="593"/>
    <w:next w:val="593"/>
    <w:qFormat/>
    <w:uiPriority w:val="0"/>
    <w:pPr>
      <w:spacing w:line="411" w:lineRule="atLeast"/>
    </w:pPr>
    <w:rPr>
      <w:rFonts w:ascii="黑体" w:hAnsi="Times New Roman" w:eastAsia="黑体" w:cs="Times New Roman"/>
      <w:color w:val="auto"/>
    </w:rPr>
  </w:style>
  <w:style w:type="paragraph" w:customStyle="1" w:styleId="1009">
    <w:name w:val="Char Char1 Char Char Char Char Char Char Char Char1 Char Char Char Char Char Char1 Char Char"/>
    <w:basedOn w:val="1"/>
    <w:qFormat/>
    <w:uiPriority w:val="0"/>
    <w:pPr>
      <w:widowControl/>
      <w:tabs>
        <w:tab w:val="left" w:pos="1380"/>
      </w:tabs>
      <w:spacing w:after="160" w:line="240" w:lineRule="exact"/>
      <w:ind w:left="1380"/>
      <w:jc w:val="left"/>
    </w:pPr>
    <w:rPr>
      <w:rFonts w:ascii="Arial" w:hAnsi="Arial"/>
      <w:kern w:val="0"/>
      <w:sz w:val="20"/>
      <w:szCs w:val="20"/>
      <w:lang w:eastAsia="en-US"/>
    </w:rPr>
  </w:style>
  <w:style w:type="paragraph" w:customStyle="1" w:styleId="1010">
    <w:name w:val="10PT_BULLET_FACTSHEET"/>
    <w:basedOn w:val="1"/>
    <w:qFormat/>
    <w:uiPriority w:val="0"/>
    <w:pPr>
      <w:widowControl/>
      <w:tabs>
        <w:tab w:val="left" w:pos="1440"/>
      </w:tabs>
      <w:spacing w:before="120"/>
      <w:ind w:left="1440"/>
      <w:jc w:val="left"/>
    </w:pPr>
    <w:rPr>
      <w:rFonts w:ascii="Futura Bk" w:hAnsi="Futura Bk" w:eastAsia="Times"/>
      <w:snapToGrid w:val="0"/>
      <w:color w:val="000000"/>
      <w:kern w:val="0"/>
      <w:sz w:val="20"/>
      <w:szCs w:val="20"/>
      <w:lang w:eastAsia="en-US"/>
    </w:rPr>
  </w:style>
  <w:style w:type="paragraph" w:customStyle="1" w:styleId="1011">
    <w:name w:val="Char Char Char Char Char Char1 Char Char Char Char1 Char Char Char Char"/>
    <w:basedOn w:val="1"/>
    <w:qFormat/>
    <w:uiPriority w:val="0"/>
    <w:pPr>
      <w:tabs>
        <w:tab w:val="left" w:pos="1080"/>
      </w:tabs>
      <w:ind w:left="432" w:hanging="432"/>
    </w:pPr>
    <w:rPr>
      <w:rFonts w:ascii="Arial" w:hAnsi="Arial"/>
      <w:kern w:val="0"/>
      <w:sz w:val="20"/>
      <w:szCs w:val="20"/>
      <w:lang w:eastAsia="en-US"/>
    </w:rPr>
  </w:style>
  <w:style w:type="paragraph" w:customStyle="1" w:styleId="1012">
    <w:name w:val="body3"/>
    <w:basedOn w:val="1"/>
    <w:next w:val="7"/>
    <w:qFormat/>
    <w:uiPriority w:val="0"/>
    <w:pPr>
      <w:widowControl/>
      <w:overflowPunct w:val="0"/>
      <w:autoSpaceDE w:val="0"/>
      <w:autoSpaceDN w:val="0"/>
      <w:adjustRightInd w:val="0"/>
      <w:spacing w:line="0" w:lineRule="atLeast"/>
      <w:ind w:left="2610" w:right="210" w:firstLine="200" w:firstLineChars="200"/>
      <w:jc w:val="left"/>
      <w:textAlignment w:val="baseline"/>
    </w:pPr>
    <w:rPr>
      <w:rFonts w:ascii="宋体"/>
      <w:kern w:val="0"/>
      <w:sz w:val="28"/>
      <w:szCs w:val="20"/>
    </w:rPr>
  </w:style>
  <w:style w:type="paragraph" w:customStyle="1" w:styleId="1013">
    <w:name w:val="项目符号4"/>
    <w:qFormat/>
    <w:uiPriority w:val="0"/>
    <w:pPr>
      <w:tabs>
        <w:tab w:val="left" w:pos="864"/>
      </w:tabs>
      <w:spacing w:line="360" w:lineRule="auto"/>
      <w:ind w:firstLine="480"/>
    </w:pPr>
    <w:rPr>
      <w:rFonts w:ascii="宋体" w:hAnsi="宋体" w:eastAsia="宋体" w:cs="Times New Roman"/>
      <w:sz w:val="24"/>
      <w:szCs w:val="28"/>
      <w:lang w:val="en-US" w:eastAsia="zh-CN" w:bidi="ar-SA"/>
    </w:rPr>
  </w:style>
  <w:style w:type="paragraph" w:customStyle="1" w:styleId="1014">
    <w:name w:val="列举"/>
    <w:qFormat/>
    <w:uiPriority w:val="0"/>
    <w:pPr>
      <w:spacing w:before="100" w:after="200" w:line="276" w:lineRule="auto"/>
      <w:ind w:left="432"/>
    </w:pPr>
    <w:rPr>
      <w:rFonts w:ascii="仿宋" w:hAnsi="仿宋" w:eastAsia="仿宋" w:cs="Times New Roman"/>
      <w:sz w:val="24"/>
      <w:szCs w:val="24"/>
      <w:lang w:val="en-US" w:eastAsia="zh-CN" w:bidi="ar-SA"/>
    </w:rPr>
  </w:style>
  <w:style w:type="paragraph" w:customStyle="1" w:styleId="1015">
    <w:name w:val="标题 2h2sect"/>
    <w:next w:val="1"/>
    <w:qFormat/>
    <w:uiPriority w:val="0"/>
    <w:pPr>
      <w:spacing w:before="120" w:after="120" w:line="360" w:lineRule="auto"/>
      <w:ind w:left="1265" w:hanging="420"/>
      <w:jc w:val="center"/>
    </w:pPr>
    <w:rPr>
      <w:rFonts w:ascii="微软雅黑" w:hAnsi="微软雅黑" w:eastAsia="微软雅黑" w:cs="宋体"/>
      <w:b/>
      <w:bCs/>
      <w:color w:val="000000"/>
      <w:sz w:val="24"/>
      <w:szCs w:val="24"/>
      <w:lang w:val="en-US" w:eastAsia="zh-CN" w:bidi="ar-SA"/>
    </w:rPr>
  </w:style>
  <w:style w:type="paragraph" w:customStyle="1" w:styleId="1016">
    <w:name w:val="Char Char Char Char Char Char1 Char Char Char Char"/>
    <w:basedOn w:val="26"/>
    <w:qFormat/>
    <w:uiPriority w:val="0"/>
    <w:rPr>
      <w:rFonts w:ascii="Tahoma" w:hAnsi="Tahoma"/>
      <w:kern w:val="2"/>
      <w:sz w:val="24"/>
    </w:rPr>
  </w:style>
  <w:style w:type="paragraph" w:customStyle="1" w:styleId="1017">
    <w:name w:val="Char12"/>
    <w:basedOn w:val="1"/>
    <w:qFormat/>
    <w:uiPriority w:val="99"/>
    <w:rPr>
      <w:rFonts w:ascii="Tahoma" w:hAnsi="Tahoma"/>
      <w:sz w:val="24"/>
      <w:szCs w:val="20"/>
    </w:rPr>
  </w:style>
  <w:style w:type="paragraph" w:customStyle="1" w:styleId="1018">
    <w:name w:val="Char Char Char Char2"/>
    <w:basedOn w:val="1"/>
    <w:qFormat/>
    <w:uiPriority w:val="99"/>
    <w:pPr>
      <w:widowControl/>
      <w:spacing w:after="160" w:line="240" w:lineRule="exact"/>
      <w:jc w:val="left"/>
    </w:pPr>
    <w:rPr>
      <w:szCs w:val="20"/>
    </w:rPr>
  </w:style>
  <w:style w:type="paragraph" w:customStyle="1" w:styleId="1019">
    <w:name w:val="访问过的超链接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20">
    <w:name w:val="Char11"/>
    <w:basedOn w:val="1"/>
    <w:qFormat/>
    <w:uiPriority w:val="99"/>
    <w:rPr>
      <w:rFonts w:ascii="Tahoma" w:hAnsi="Tahoma"/>
      <w:sz w:val="24"/>
      <w:szCs w:val="20"/>
    </w:rPr>
  </w:style>
  <w:style w:type="paragraph" w:customStyle="1" w:styleId="1021">
    <w:name w:val="2节标题"/>
    <w:basedOn w:val="1"/>
    <w:qFormat/>
    <w:uiPriority w:val="0"/>
    <w:pPr>
      <w:widowControl/>
      <w:spacing w:before="120" w:after="120" w:line="440" w:lineRule="exact"/>
      <w:jc w:val="left"/>
      <w:outlineLvl w:val="1"/>
    </w:pPr>
    <w:rPr>
      <w:rFonts w:ascii="宋体" w:hAnsi="宋体" w:cs="宋体"/>
      <w:b/>
      <w:kern w:val="0"/>
      <w:sz w:val="30"/>
      <w:szCs w:val="32"/>
    </w:rPr>
  </w:style>
  <w:style w:type="paragraph" w:customStyle="1" w:styleId="1022">
    <w:name w:val="Table Paragraph"/>
    <w:basedOn w:val="1"/>
    <w:qFormat/>
    <w:uiPriority w:val="1"/>
    <w:rPr>
      <w:rFonts w:ascii="宋体" w:hAnsi="宋体" w:cs="宋体"/>
      <w:lang w:val="zh-CN" w:bidi="zh-CN"/>
    </w:rPr>
  </w:style>
  <w:style w:type="paragraph" w:customStyle="1" w:styleId="1023">
    <w:name w:val="彩色列表 - 强调文字颜色 12"/>
    <w:basedOn w:val="1"/>
    <w:qFormat/>
    <w:uiPriority w:val="0"/>
    <w:pPr>
      <w:ind w:firstLine="420" w:firstLineChars="200"/>
    </w:pPr>
  </w:style>
  <w:style w:type="paragraph" w:customStyle="1" w:styleId="1024">
    <w:name w:val="WW-正文（首行缩进两字）"/>
    <w:basedOn w:val="1"/>
    <w:qFormat/>
    <w:uiPriority w:val="0"/>
    <w:pPr>
      <w:suppressAutoHyphens/>
      <w:spacing w:line="360" w:lineRule="auto"/>
      <w:ind w:firstLine="480"/>
    </w:pPr>
    <w:rPr>
      <w:rFonts w:eastAsia="仿宋_GB2312"/>
      <w:color w:val="FF00FF"/>
      <w:kern w:val="1"/>
      <w:sz w:val="24"/>
    </w:rPr>
  </w:style>
  <w:style w:type="paragraph" w:customStyle="1" w:styleId="1025">
    <w:name w:val="Char Char Char Char Char Char Char Char Char Char Char Char1 Char"/>
    <w:basedOn w:val="1"/>
    <w:qFormat/>
    <w:uiPriority w:val="0"/>
    <w:pPr>
      <w:snapToGrid w:val="0"/>
      <w:spacing w:line="360" w:lineRule="auto"/>
      <w:ind w:firstLine="200" w:firstLineChars="200"/>
    </w:pPr>
    <w:rPr>
      <w:rFonts w:eastAsia="仿宋_GB2312"/>
      <w:sz w:val="24"/>
    </w:rPr>
  </w:style>
  <w:style w:type="paragraph" w:customStyle="1" w:styleId="1026">
    <w:name w:val="无间距"/>
    <w:qFormat/>
    <w:uiPriority w:val="0"/>
    <w:rPr>
      <w:rFonts w:ascii="Times New Roman" w:hAnsi="Times New Roman" w:eastAsia="宋体" w:cs="Times New Roman"/>
      <w:sz w:val="22"/>
      <w:szCs w:val="22"/>
      <w:lang w:val="en-US" w:eastAsia="zh-CN" w:bidi="ar-SA"/>
    </w:rPr>
  </w:style>
  <w:style w:type="paragraph" w:customStyle="1" w:styleId="1027">
    <w:name w:val="juzhong"/>
    <w:basedOn w:val="1"/>
    <w:qFormat/>
    <w:uiPriority w:val="0"/>
    <w:pPr>
      <w:widowControl/>
      <w:spacing w:before="100" w:beforeAutospacing="1" w:after="100" w:afterAutospacing="1"/>
      <w:jc w:val="left"/>
    </w:pPr>
    <w:rPr>
      <w:rFonts w:ascii="宋体" w:hAnsi="宋体" w:cs="宋体"/>
      <w:kern w:val="0"/>
      <w:sz w:val="24"/>
    </w:rPr>
  </w:style>
  <w:style w:type="paragraph" w:customStyle="1" w:styleId="1028">
    <w:name w:val="zw"/>
    <w:basedOn w:val="1"/>
    <w:qFormat/>
    <w:uiPriority w:val="0"/>
    <w:pPr>
      <w:adjustRightInd w:val="0"/>
      <w:spacing w:line="360" w:lineRule="auto"/>
      <w:ind w:firstLine="482"/>
      <w:textAlignment w:val="baseline"/>
    </w:pPr>
    <w:rPr>
      <w:rFonts w:ascii="Arial Narrow" w:hAnsi="Arial Narrow" w:eastAsia="楷体_GB2312"/>
      <w:kern w:val="0"/>
      <w:sz w:val="24"/>
      <w:szCs w:val="20"/>
    </w:rPr>
  </w:style>
  <w:style w:type="table" w:customStyle="1" w:styleId="1029">
    <w:name w:val="网格型1"/>
    <w:basedOn w:val="81"/>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30">
    <w:name w:val="标题 3 字符1"/>
    <w:qFormat/>
    <w:uiPriority w:val="99"/>
    <w:rPr>
      <w:rFonts w:ascii="宋体" w:hAnsi="Times New Roman" w:eastAsia="宋体" w:cs="Times New Roman"/>
      <w:b/>
      <w:kern w:val="0"/>
      <w:sz w:val="24"/>
      <w:szCs w:val="20"/>
      <w:u w:val="single"/>
    </w:rPr>
  </w:style>
  <w:style w:type="character" w:customStyle="1" w:styleId="1031">
    <w:name w:val="宏文本 Char"/>
    <w:qFormat/>
    <w:uiPriority w:val="0"/>
    <w:rPr>
      <w:rFonts w:ascii="Courier New" w:hAnsi="Courier New"/>
      <w:kern w:val="2"/>
      <w:sz w:val="24"/>
      <w:szCs w:val="24"/>
      <w:lang w:bidi="ar-SA"/>
    </w:rPr>
  </w:style>
  <w:style w:type="character" w:customStyle="1" w:styleId="1032">
    <w:name w:val="标题 1 Char"/>
    <w:qFormat/>
    <w:uiPriority w:val="99"/>
    <w:rPr>
      <w:rFonts w:ascii="宋体" w:hAnsi="Times New Roman" w:eastAsia="宋体" w:cs="Times New Roman"/>
      <w:b/>
      <w:kern w:val="44"/>
      <w:sz w:val="32"/>
      <w:szCs w:val="20"/>
    </w:rPr>
  </w:style>
  <w:style w:type="character" w:customStyle="1" w:styleId="1033">
    <w:name w:val="标题 2 Char"/>
    <w:qFormat/>
    <w:uiPriority w:val="0"/>
    <w:rPr>
      <w:rFonts w:ascii="Arial" w:hAnsi="Arial" w:eastAsia="黑体" w:cs="Times New Roman"/>
      <w:b/>
      <w:kern w:val="0"/>
      <w:sz w:val="30"/>
      <w:szCs w:val="20"/>
    </w:rPr>
  </w:style>
  <w:style w:type="character" w:customStyle="1" w:styleId="1034">
    <w:name w:val="正文缩进 Char"/>
    <w:qFormat/>
    <w:uiPriority w:val="0"/>
    <w:rPr>
      <w:rFonts w:ascii="宋体" w:hAnsi="Times New Roman" w:eastAsia="宋体" w:cs="Times New Roman"/>
      <w:kern w:val="0"/>
      <w:sz w:val="24"/>
      <w:szCs w:val="20"/>
    </w:rPr>
  </w:style>
  <w:style w:type="character" w:customStyle="1" w:styleId="1035">
    <w:name w:val="标题 3 Char2"/>
    <w:qFormat/>
    <w:uiPriority w:val="0"/>
    <w:rPr>
      <w:rFonts w:ascii="宋体" w:hAnsi="Times New Roman" w:eastAsia="宋体" w:cs="Times New Roman"/>
      <w:b/>
      <w:kern w:val="0"/>
      <w:sz w:val="24"/>
      <w:szCs w:val="20"/>
      <w:u w:val="single"/>
    </w:rPr>
  </w:style>
  <w:style w:type="character" w:customStyle="1" w:styleId="1036">
    <w:name w:val="标题 4 Char"/>
    <w:qFormat/>
    <w:uiPriority w:val="0"/>
    <w:rPr>
      <w:rFonts w:ascii="Arial" w:hAnsi="Arial" w:eastAsia="黑体" w:cs="Times New Roman"/>
      <w:b/>
      <w:bCs/>
      <w:sz w:val="28"/>
      <w:szCs w:val="28"/>
    </w:rPr>
  </w:style>
  <w:style w:type="character" w:customStyle="1" w:styleId="1037">
    <w:name w:val="标题 5 Char"/>
    <w:qFormat/>
    <w:uiPriority w:val="0"/>
    <w:rPr>
      <w:b/>
      <w:bCs/>
      <w:sz w:val="28"/>
      <w:szCs w:val="28"/>
      <w:lang w:eastAsia="ar-SA"/>
    </w:rPr>
  </w:style>
  <w:style w:type="character" w:customStyle="1" w:styleId="1038">
    <w:name w:val="标题 6 Char"/>
    <w:qFormat/>
    <w:uiPriority w:val="0"/>
    <w:rPr>
      <w:rFonts w:ascii="Arial" w:hAnsi="Arial" w:eastAsia="黑体" w:cs="Times New Roman"/>
      <w:b/>
      <w:bCs/>
      <w:sz w:val="24"/>
      <w:szCs w:val="24"/>
    </w:rPr>
  </w:style>
  <w:style w:type="character" w:customStyle="1" w:styleId="1039">
    <w:name w:val="标题 7 Char"/>
    <w:qFormat/>
    <w:uiPriority w:val="0"/>
    <w:rPr>
      <w:rFonts w:ascii="Times New Roman" w:hAnsi="Times New Roman" w:eastAsia="宋体" w:cs="Times New Roman"/>
      <w:b/>
      <w:bCs/>
      <w:sz w:val="24"/>
      <w:szCs w:val="24"/>
    </w:rPr>
  </w:style>
  <w:style w:type="character" w:customStyle="1" w:styleId="1040">
    <w:name w:val="标题 8 Char"/>
    <w:qFormat/>
    <w:uiPriority w:val="0"/>
    <w:rPr>
      <w:rFonts w:ascii="Arial" w:hAnsi="Arial" w:eastAsia="黑体"/>
      <w:sz w:val="24"/>
    </w:rPr>
  </w:style>
  <w:style w:type="character" w:customStyle="1" w:styleId="1041">
    <w:name w:val="标题 9 Char"/>
    <w:qFormat/>
    <w:uiPriority w:val="0"/>
    <w:rPr>
      <w:rFonts w:ascii="Arial" w:hAnsi="Arial" w:eastAsia="黑体"/>
      <w:sz w:val="21"/>
    </w:rPr>
  </w:style>
  <w:style w:type="paragraph" w:customStyle="1" w:styleId="1042">
    <w:name w:val="_Style 1041"/>
    <w:basedOn w:val="1"/>
    <w:next w:val="1"/>
    <w:link w:val="1072"/>
    <w:qFormat/>
    <w:uiPriority w:val="39"/>
    <w:pPr>
      <w:tabs>
        <w:tab w:val="left" w:pos="840"/>
        <w:tab w:val="right" w:leader="dot" w:pos="8280"/>
      </w:tabs>
      <w:spacing w:before="120" w:after="120"/>
      <w:jc w:val="left"/>
    </w:pPr>
    <w:rPr>
      <w:rFonts w:ascii="仿宋_GB2312" w:hAnsi="宋体" w:eastAsia="仿宋_GB2312"/>
      <w:b/>
      <w:sz w:val="24"/>
    </w:rPr>
  </w:style>
  <w:style w:type="character" w:customStyle="1" w:styleId="1043">
    <w:name w:val="注释标题 Char"/>
    <w:qFormat/>
    <w:uiPriority w:val="0"/>
    <w:rPr>
      <w:rFonts w:ascii="Times New Roman" w:hAnsi="Times New Roman"/>
      <w:kern w:val="2"/>
      <w:sz w:val="21"/>
      <w:szCs w:val="24"/>
    </w:rPr>
  </w:style>
  <w:style w:type="character" w:customStyle="1" w:styleId="1044">
    <w:name w:val="电子邮件签名 Char"/>
    <w:qFormat/>
    <w:uiPriority w:val="0"/>
    <w:rPr>
      <w:rFonts w:ascii="Times New Roman" w:hAnsi="Times New Roman"/>
      <w:kern w:val="2"/>
      <w:sz w:val="21"/>
      <w:szCs w:val="24"/>
    </w:rPr>
  </w:style>
  <w:style w:type="character" w:customStyle="1" w:styleId="1045">
    <w:name w:val="题注 Char"/>
    <w:qFormat/>
    <w:uiPriority w:val="0"/>
    <w:rPr>
      <w:rFonts w:ascii="Arial" w:hAnsi="Arial" w:eastAsia="黑体" w:cs="Arial"/>
      <w:kern w:val="2"/>
      <w:lang w:eastAsia="ar-SA"/>
    </w:rPr>
  </w:style>
  <w:style w:type="character" w:customStyle="1" w:styleId="1046">
    <w:name w:val="正文文本 Char"/>
    <w:qFormat/>
    <w:uiPriority w:val="0"/>
    <w:rPr>
      <w:rFonts w:ascii="宋体" w:hAnsi="宋体" w:eastAsia="宋体" w:cs="Times New Roman"/>
      <w:sz w:val="24"/>
      <w:szCs w:val="24"/>
    </w:rPr>
  </w:style>
  <w:style w:type="character" w:customStyle="1" w:styleId="1047">
    <w:name w:val="文档结构图 Char"/>
    <w:qFormat/>
    <w:uiPriority w:val="0"/>
    <w:rPr>
      <w:rFonts w:ascii="Times New Roman" w:hAnsi="Times New Roman" w:eastAsia="宋体" w:cs="Times New Roman"/>
      <w:szCs w:val="24"/>
      <w:shd w:val="clear" w:color="auto" w:fill="000080"/>
    </w:rPr>
  </w:style>
  <w:style w:type="character" w:customStyle="1" w:styleId="1048">
    <w:name w:val="批注文字 Char"/>
    <w:qFormat/>
    <w:uiPriority w:val="0"/>
    <w:rPr>
      <w:rFonts w:ascii="Times New Roman" w:hAnsi="Times New Roman" w:eastAsia="宋体" w:cs="Times New Roman"/>
      <w:szCs w:val="24"/>
    </w:rPr>
  </w:style>
  <w:style w:type="character" w:customStyle="1" w:styleId="1049">
    <w:name w:val="称呼 Char"/>
    <w:qFormat/>
    <w:uiPriority w:val="0"/>
    <w:rPr>
      <w:rFonts w:ascii="Times New Roman" w:hAnsi="Times New Roman"/>
      <w:bCs/>
      <w:kern w:val="2"/>
      <w:sz w:val="24"/>
      <w:szCs w:val="24"/>
    </w:rPr>
  </w:style>
  <w:style w:type="character" w:customStyle="1" w:styleId="1050">
    <w:name w:val="正文文本 3 Char"/>
    <w:qFormat/>
    <w:uiPriority w:val="0"/>
    <w:rPr>
      <w:rFonts w:ascii="宋体" w:hAnsi="宋体"/>
      <w:b/>
      <w:sz w:val="24"/>
      <w:szCs w:val="24"/>
    </w:rPr>
  </w:style>
  <w:style w:type="character" w:customStyle="1" w:styleId="1051">
    <w:name w:val="结束语 Char"/>
    <w:qFormat/>
    <w:uiPriority w:val="0"/>
    <w:rPr>
      <w:rFonts w:ascii="Times New Roman" w:hAnsi="Times New Roman"/>
      <w:kern w:val="2"/>
      <w:sz w:val="21"/>
      <w:szCs w:val="24"/>
    </w:rPr>
  </w:style>
  <w:style w:type="character" w:customStyle="1" w:styleId="1052">
    <w:name w:val="正文文本缩进 Char"/>
    <w:qFormat/>
    <w:uiPriority w:val="0"/>
    <w:rPr>
      <w:rFonts w:ascii="Times New Roman" w:hAnsi="Times New Roman" w:eastAsia="宋体" w:cs="Times New Roman"/>
      <w:sz w:val="24"/>
      <w:szCs w:val="24"/>
    </w:rPr>
  </w:style>
  <w:style w:type="character" w:customStyle="1" w:styleId="1053">
    <w:name w:val="HTML 地址 Char"/>
    <w:qFormat/>
    <w:uiPriority w:val="0"/>
    <w:rPr>
      <w:rFonts w:ascii="Times New Roman" w:hAnsi="Times New Roman"/>
      <w:i/>
      <w:iCs/>
      <w:kern w:val="2"/>
      <w:sz w:val="21"/>
      <w:szCs w:val="24"/>
    </w:rPr>
  </w:style>
  <w:style w:type="character" w:customStyle="1" w:styleId="1054">
    <w:name w:val="纯文本 Char1"/>
    <w:qFormat/>
    <w:uiPriority w:val="0"/>
    <w:rPr>
      <w:rFonts w:ascii="宋体" w:hAnsi="Courier New" w:eastAsia="宋体" w:cs="Times New Roman"/>
      <w:szCs w:val="20"/>
    </w:rPr>
  </w:style>
  <w:style w:type="character" w:customStyle="1" w:styleId="1055">
    <w:name w:val="日期 Char"/>
    <w:qFormat/>
    <w:uiPriority w:val="0"/>
    <w:rPr>
      <w:rFonts w:ascii="仿宋_GB2312" w:hAnsi="宋体" w:eastAsia="仿宋_GB2312" w:cs="Times New Roman"/>
      <w:color w:val="000000"/>
      <w:sz w:val="24"/>
      <w:szCs w:val="24"/>
    </w:rPr>
  </w:style>
  <w:style w:type="character" w:customStyle="1" w:styleId="1056">
    <w:name w:val="正文文本缩进 2 Char"/>
    <w:qFormat/>
    <w:uiPriority w:val="0"/>
    <w:rPr>
      <w:rFonts w:ascii="仿宋_GB2312" w:hAnsi="Times New Roman" w:eastAsia="仿宋_GB2312" w:cs="Times New Roman"/>
      <w:sz w:val="24"/>
      <w:szCs w:val="24"/>
    </w:rPr>
  </w:style>
  <w:style w:type="character" w:customStyle="1" w:styleId="1057">
    <w:name w:val="尾注文本 Char"/>
    <w:qFormat/>
    <w:uiPriority w:val="0"/>
    <w:rPr>
      <w:rFonts w:ascii="Times New Roman" w:hAnsi="Times New Roman"/>
      <w:kern w:val="2"/>
      <w:sz w:val="24"/>
      <w:szCs w:val="24"/>
    </w:rPr>
  </w:style>
  <w:style w:type="character" w:customStyle="1" w:styleId="1058">
    <w:name w:val="批注框文本 Char"/>
    <w:qFormat/>
    <w:uiPriority w:val="0"/>
    <w:rPr>
      <w:rFonts w:ascii="Times New Roman" w:hAnsi="Times New Roman" w:eastAsia="宋体" w:cs="Times New Roman"/>
      <w:sz w:val="18"/>
      <w:szCs w:val="18"/>
    </w:rPr>
  </w:style>
  <w:style w:type="character" w:customStyle="1" w:styleId="1059">
    <w:name w:val="页脚 Char"/>
    <w:qFormat/>
    <w:uiPriority w:val="99"/>
    <w:rPr>
      <w:sz w:val="18"/>
      <w:szCs w:val="18"/>
    </w:rPr>
  </w:style>
  <w:style w:type="character" w:customStyle="1" w:styleId="1060">
    <w:name w:val="页眉 Char"/>
    <w:qFormat/>
    <w:uiPriority w:val="99"/>
    <w:rPr>
      <w:sz w:val="18"/>
      <w:szCs w:val="18"/>
    </w:rPr>
  </w:style>
  <w:style w:type="character" w:customStyle="1" w:styleId="1061">
    <w:name w:val="签名 Char"/>
    <w:qFormat/>
    <w:uiPriority w:val="0"/>
    <w:rPr>
      <w:rFonts w:ascii="Times New Roman" w:hAnsi="Times New Roman"/>
      <w:kern w:val="2"/>
      <w:sz w:val="21"/>
      <w:szCs w:val="24"/>
    </w:rPr>
  </w:style>
  <w:style w:type="character" w:customStyle="1" w:styleId="1062">
    <w:name w:val="副标题 Char"/>
    <w:qFormat/>
    <w:uiPriority w:val="0"/>
    <w:rPr>
      <w:rFonts w:ascii="Cambria" w:hAnsi="Cambria"/>
      <w:b/>
      <w:bCs/>
      <w:kern w:val="28"/>
      <w:sz w:val="32"/>
      <w:szCs w:val="32"/>
    </w:rPr>
  </w:style>
  <w:style w:type="character" w:customStyle="1" w:styleId="1063">
    <w:name w:val="脚注文本 Char"/>
    <w:qFormat/>
    <w:uiPriority w:val="0"/>
    <w:rPr>
      <w:rFonts w:ascii="Times New Roman" w:hAnsi="Times New Roman" w:eastAsia="宋体" w:cs="Times New Roman"/>
      <w:sz w:val="18"/>
      <w:szCs w:val="18"/>
    </w:rPr>
  </w:style>
  <w:style w:type="character" w:customStyle="1" w:styleId="1064">
    <w:name w:val="正文文本缩进 3 Char"/>
    <w:qFormat/>
    <w:uiPriority w:val="0"/>
    <w:rPr>
      <w:rFonts w:ascii="宋体" w:hAnsi="Times New Roman" w:eastAsia="宋体" w:cs="Times New Roman"/>
      <w:kern w:val="0"/>
      <w:sz w:val="24"/>
      <w:szCs w:val="20"/>
    </w:rPr>
  </w:style>
  <w:style w:type="character" w:customStyle="1" w:styleId="1065">
    <w:name w:val="正文文本 2 Char"/>
    <w:qFormat/>
    <w:uiPriority w:val="0"/>
    <w:rPr>
      <w:rFonts w:ascii="Times New Roman" w:hAnsi="Times New Roman" w:eastAsia="黑体"/>
      <w:bCs/>
      <w:kern w:val="2"/>
      <w:sz w:val="72"/>
      <w:szCs w:val="24"/>
    </w:rPr>
  </w:style>
  <w:style w:type="character" w:customStyle="1" w:styleId="1066">
    <w:name w:val="信息标题 Char"/>
    <w:qFormat/>
    <w:uiPriority w:val="0"/>
    <w:rPr>
      <w:rFonts w:ascii="Arial" w:hAnsi="Arial" w:cs="Arial"/>
      <w:kern w:val="2"/>
      <w:sz w:val="24"/>
      <w:szCs w:val="24"/>
      <w:shd w:val="pct20" w:color="auto" w:fill="auto"/>
    </w:rPr>
  </w:style>
  <w:style w:type="character" w:customStyle="1" w:styleId="1067">
    <w:name w:val="HTML 预设格式 Char"/>
    <w:qFormat/>
    <w:uiPriority w:val="99"/>
    <w:rPr>
      <w:rFonts w:ascii="宋体" w:hAnsi="宋体" w:eastAsia="宋体" w:cs="宋体"/>
      <w:kern w:val="0"/>
      <w:sz w:val="24"/>
      <w:szCs w:val="24"/>
    </w:rPr>
  </w:style>
  <w:style w:type="character" w:customStyle="1" w:styleId="1068">
    <w:name w:val="标题 Char"/>
    <w:qFormat/>
    <w:uiPriority w:val="0"/>
    <w:rPr>
      <w:rFonts w:ascii="Cambria" w:hAnsi="Cambria" w:eastAsia="宋体" w:cs="Times New Roman"/>
      <w:b/>
      <w:bCs/>
      <w:sz w:val="32"/>
      <w:szCs w:val="32"/>
    </w:rPr>
  </w:style>
  <w:style w:type="character" w:customStyle="1" w:styleId="1069">
    <w:name w:val="批注主题 Char"/>
    <w:qFormat/>
    <w:uiPriority w:val="0"/>
    <w:rPr>
      <w:rFonts w:ascii="Times New Roman" w:hAnsi="Times New Roman" w:eastAsia="宋体" w:cs="Times New Roman"/>
      <w:b/>
      <w:bCs/>
      <w:szCs w:val="24"/>
    </w:rPr>
  </w:style>
  <w:style w:type="character" w:customStyle="1" w:styleId="1070">
    <w:name w:val="正文首行缩进 Char"/>
    <w:qFormat/>
    <w:uiPriority w:val="0"/>
    <w:rPr>
      <w:rFonts w:ascii="Times New Roman" w:hAnsi="Times New Roman" w:eastAsia="宋体" w:cs="Times New Roman"/>
      <w:sz w:val="24"/>
      <w:szCs w:val="24"/>
    </w:rPr>
  </w:style>
  <w:style w:type="character" w:customStyle="1" w:styleId="1071">
    <w:name w:val="正文首行缩进 2 Char"/>
    <w:qFormat/>
    <w:uiPriority w:val="0"/>
    <w:rPr>
      <w:rFonts w:ascii="Times New Roman" w:hAnsi="Times New Roman" w:eastAsia="宋体" w:cs="Times New Roman"/>
      <w:kern w:val="2"/>
      <w:sz w:val="21"/>
      <w:szCs w:val="24"/>
    </w:rPr>
  </w:style>
  <w:style w:type="character" w:customStyle="1" w:styleId="1072">
    <w:name w:val="列出段落 Char"/>
    <w:link w:val="1042"/>
    <w:qFormat/>
    <w:uiPriority w:val="34"/>
    <w:rPr>
      <w:rFonts w:ascii="仿宋_GB2312" w:hAnsi="宋体" w:eastAsia="仿宋_GB2312"/>
      <w:b/>
      <w:kern w:val="2"/>
      <w:sz w:val="24"/>
      <w:szCs w:val="24"/>
    </w:rPr>
  </w:style>
  <w:style w:type="character" w:customStyle="1" w:styleId="1073">
    <w:name w:val="明显引用 Char"/>
    <w:qFormat/>
    <w:uiPriority w:val="0"/>
    <w:rPr>
      <w:b/>
      <w:bCs/>
      <w:i/>
      <w:iCs/>
      <w:color w:val="4F81BD"/>
      <w:kern w:val="2"/>
      <w:sz w:val="21"/>
      <w:szCs w:val="22"/>
    </w:rPr>
  </w:style>
  <w:style w:type="character" w:customStyle="1" w:styleId="1074">
    <w:name w:val="引用 Char"/>
    <w:qFormat/>
    <w:uiPriority w:val="0"/>
    <w:rPr>
      <w:i/>
      <w:iCs/>
      <w:color w:val="000000"/>
      <w:kern w:val="2"/>
      <w:sz w:val="21"/>
      <w:szCs w:val="22"/>
    </w:rPr>
  </w:style>
  <w:style w:type="character" w:customStyle="1" w:styleId="1075">
    <w:name w:val="无间隔 Char"/>
    <w:qFormat/>
    <w:uiPriority w:val="0"/>
    <w:rPr>
      <w:kern w:val="2"/>
      <w:sz w:val="21"/>
      <w:szCs w:val="22"/>
      <w:lang w:bidi="ar-SA"/>
    </w:rPr>
  </w:style>
  <w:style w:type="paragraph" w:customStyle="1" w:styleId="1076">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character" w:customStyle="1" w:styleId="1077">
    <w:name w:val="标题 1 Char1"/>
    <w:qFormat/>
    <w:uiPriority w:val="0"/>
    <w:rPr>
      <w:rFonts w:ascii="Times New Roman" w:hAnsi="Times New Roman"/>
      <w:b/>
      <w:bCs/>
      <w:kern w:val="44"/>
      <w:sz w:val="32"/>
      <w:szCs w:val="44"/>
    </w:rPr>
  </w:style>
  <w:style w:type="character" w:customStyle="1" w:styleId="1078">
    <w:name w:val="标题 2 Char2"/>
    <w:qFormat/>
    <w:uiPriority w:val="0"/>
    <w:rPr>
      <w:rFonts w:ascii="Cambria" w:hAnsi="Cambria"/>
      <w:b/>
      <w:bCs/>
      <w:sz w:val="32"/>
      <w:szCs w:val="32"/>
    </w:rPr>
  </w:style>
  <w:style w:type="character" w:customStyle="1" w:styleId="1079">
    <w:name w:val="标题 4 Char2"/>
    <w:qFormat/>
    <w:uiPriority w:val="0"/>
    <w:rPr>
      <w:rFonts w:ascii="Arial" w:hAnsi="Arial" w:eastAsia="黑体"/>
      <w:b/>
      <w:kern w:val="0"/>
      <w:sz w:val="28"/>
    </w:rPr>
  </w:style>
  <w:style w:type="character" w:customStyle="1" w:styleId="1080">
    <w:name w:val="标题 5 Char1"/>
    <w:qFormat/>
    <w:uiPriority w:val="0"/>
    <w:rPr>
      <w:rFonts w:ascii="Times New Roman" w:hAnsi="Times New Roman"/>
      <w:b/>
      <w:kern w:val="0"/>
      <w:sz w:val="28"/>
    </w:rPr>
  </w:style>
  <w:style w:type="character" w:customStyle="1" w:styleId="1081">
    <w:name w:val="标题 6 Char1"/>
    <w:qFormat/>
    <w:uiPriority w:val="0"/>
    <w:rPr>
      <w:rFonts w:ascii="Arial" w:hAnsi="Arial" w:eastAsia="黑体"/>
      <w:b/>
      <w:kern w:val="0"/>
      <w:sz w:val="24"/>
    </w:rPr>
  </w:style>
  <w:style w:type="character" w:customStyle="1" w:styleId="1082">
    <w:name w:val="标题 7 Char1"/>
    <w:qFormat/>
    <w:uiPriority w:val="0"/>
    <w:rPr>
      <w:rFonts w:ascii="Times New Roman" w:hAnsi="Times New Roman"/>
      <w:b/>
      <w:kern w:val="0"/>
      <w:sz w:val="24"/>
    </w:rPr>
  </w:style>
  <w:style w:type="character" w:customStyle="1" w:styleId="1083">
    <w:name w:val="标题 8 Char1"/>
    <w:qFormat/>
    <w:uiPriority w:val="0"/>
    <w:rPr>
      <w:rFonts w:ascii="Arial" w:hAnsi="Arial" w:eastAsia="黑体"/>
      <w:kern w:val="0"/>
      <w:sz w:val="24"/>
    </w:rPr>
  </w:style>
  <w:style w:type="character" w:customStyle="1" w:styleId="1084">
    <w:name w:val="标题 9 Char1"/>
    <w:qFormat/>
    <w:uiPriority w:val="0"/>
    <w:rPr>
      <w:rFonts w:ascii="Arial" w:hAnsi="Arial" w:eastAsia="黑体"/>
      <w:kern w:val="0"/>
    </w:rPr>
  </w:style>
  <w:style w:type="paragraph" w:customStyle="1" w:styleId="1085">
    <w:name w:val="_Style 1084"/>
    <w:basedOn w:val="1"/>
    <w:next w:val="195"/>
    <w:qFormat/>
    <w:uiPriority w:val="34"/>
    <w:pPr>
      <w:ind w:firstLine="420" w:firstLineChars="200"/>
    </w:pPr>
  </w:style>
  <w:style w:type="character" w:customStyle="1" w:styleId="1086">
    <w:name w:val="正文文本 Char2"/>
    <w:qFormat/>
    <w:uiPriority w:val="0"/>
    <w:rPr>
      <w:rFonts w:ascii="Times New Roman" w:hAnsi="Times New Roman" w:eastAsia="黑体"/>
      <w:kern w:val="0"/>
      <w:sz w:val="36"/>
      <w:szCs w:val="24"/>
    </w:rPr>
  </w:style>
  <w:style w:type="character" w:customStyle="1" w:styleId="1087">
    <w:name w:val="文档结构图 Char2"/>
    <w:qFormat/>
    <w:uiPriority w:val="0"/>
    <w:rPr>
      <w:rFonts w:ascii="宋体" w:hAnsi="Times New Roman"/>
      <w:sz w:val="18"/>
      <w:szCs w:val="18"/>
    </w:rPr>
  </w:style>
  <w:style w:type="character" w:customStyle="1" w:styleId="1088">
    <w:name w:val="批注文字 Char2"/>
    <w:qFormat/>
    <w:uiPriority w:val="0"/>
    <w:rPr>
      <w:rFonts w:ascii="Times New Roman" w:hAnsi="Times New Roman"/>
      <w:kern w:val="0"/>
      <w:szCs w:val="24"/>
    </w:rPr>
  </w:style>
  <w:style w:type="character" w:customStyle="1" w:styleId="1089">
    <w:name w:val="正文文本 3 Char1"/>
    <w:qFormat/>
    <w:uiPriority w:val="0"/>
    <w:rPr>
      <w:rFonts w:ascii="Times New Roman" w:hAnsi="Times New Roman"/>
      <w:kern w:val="0"/>
      <w:sz w:val="16"/>
      <w:szCs w:val="16"/>
    </w:rPr>
  </w:style>
  <w:style w:type="character" w:customStyle="1" w:styleId="1090">
    <w:name w:val="正文文本缩进 Char2"/>
    <w:qFormat/>
    <w:uiPriority w:val="0"/>
    <w:rPr>
      <w:rFonts w:ascii="Times New Roman" w:hAnsi="Times New Roman"/>
      <w:kern w:val="0"/>
      <w:szCs w:val="24"/>
    </w:rPr>
  </w:style>
  <w:style w:type="character" w:customStyle="1" w:styleId="1091">
    <w:name w:val="纯文本 Char2"/>
    <w:qFormat/>
    <w:uiPriority w:val="0"/>
    <w:rPr>
      <w:rFonts w:ascii="宋体" w:hAnsi="Courier New"/>
      <w:kern w:val="0"/>
      <w:szCs w:val="21"/>
    </w:rPr>
  </w:style>
  <w:style w:type="character" w:customStyle="1" w:styleId="1092">
    <w:name w:val="日期 Char2"/>
    <w:qFormat/>
    <w:uiPriority w:val="0"/>
    <w:rPr>
      <w:rFonts w:ascii="宋体" w:hAnsi="Times New Roman"/>
      <w:kern w:val="0"/>
      <w:sz w:val="24"/>
    </w:rPr>
  </w:style>
  <w:style w:type="character" w:customStyle="1" w:styleId="1093">
    <w:name w:val="正文文本缩进 2 Char1"/>
    <w:qFormat/>
    <w:uiPriority w:val="0"/>
    <w:rPr>
      <w:rFonts w:ascii="Times New Roman" w:hAnsi="Times New Roman"/>
      <w:kern w:val="0"/>
      <w:szCs w:val="24"/>
    </w:rPr>
  </w:style>
  <w:style w:type="character" w:customStyle="1" w:styleId="1094">
    <w:name w:val="批注框文本 Char2"/>
    <w:qFormat/>
    <w:uiPriority w:val="0"/>
    <w:rPr>
      <w:rFonts w:ascii="Times New Roman" w:hAnsi="Times New Roman"/>
      <w:sz w:val="18"/>
      <w:szCs w:val="18"/>
    </w:rPr>
  </w:style>
  <w:style w:type="character" w:customStyle="1" w:styleId="1095">
    <w:name w:val="页脚 Char1"/>
    <w:qFormat/>
    <w:uiPriority w:val="99"/>
    <w:rPr>
      <w:rFonts w:ascii="Times New Roman" w:hAnsi="Times New Roman" w:eastAsia="宋体" w:cs="Times New Roman"/>
      <w:sz w:val="18"/>
      <w:szCs w:val="18"/>
    </w:rPr>
  </w:style>
  <w:style w:type="character" w:customStyle="1" w:styleId="1096">
    <w:name w:val="页眉 Char1"/>
    <w:qFormat/>
    <w:uiPriority w:val="99"/>
    <w:rPr>
      <w:rFonts w:ascii="Times New Roman" w:hAnsi="Times New Roman" w:eastAsia="宋体" w:cs="Times New Roman"/>
      <w:sz w:val="18"/>
      <w:szCs w:val="18"/>
    </w:rPr>
  </w:style>
  <w:style w:type="character" w:customStyle="1" w:styleId="1097">
    <w:name w:val="正文文本缩进 3 Char1"/>
    <w:qFormat/>
    <w:uiPriority w:val="0"/>
    <w:rPr>
      <w:rFonts w:ascii="Times New Roman" w:hAnsi="Times New Roman"/>
      <w:kern w:val="0"/>
      <w:sz w:val="16"/>
      <w:szCs w:val="16"/>
    </w:rPr>
  </w:style>
  <w:style w:type="character" w:customStyle="1" w:styleId="1098">
    <w:name w:val="正文文本 2 Char1"/>
    <w:qFormat/>
    <w:uiPriority w:val="0"/>
    <w:rPr>
      <w:rFonts w:ascii="Times New Roman" w:hAnsi="Times New Roman" w:eastAsia="黑体"/>
      <w:bCs/>
      <w:kern w:val="0"/>
      <w:sz w:val="72"/>
      <w:szCs w:val="24"/>
    </w:rPr>
  </w:style>
  <w:style w:type="character" w:customStyle="1" w:styleId="1099">
    <w:name w:val="普通(网站) 字符"/>
    <w:link w:val="75"/>
    <w:qFormat/>
    <w:uiPriority w:val="99"/>
    <w:rPr>
      <w:rFonts w:ascii="Times New Roman" w:hAnsi="Times New Roman"/>
      <w:kern w:val="2"/>
      <w:sz w:val="24"/>
      <w:szCs w:val="24"/>
    </w:rPr>
  </w:style>
  <w:style w:type="character" w:customStyle="1" w:styleId="1100">
    <w:name w:val="标题 Char2"/>
    <w:qFormat/>
    <w:uiPriority w:val="0"/>
    <w:rPr>
      <w:rFonts w:ascii="Times New Roman" w:hAnsi="Times New Roman"/>
      <w:b/>
      <w:kern w:val="0"/>
      <w:sz w:val="44"/>
    </w:rPr>
  </w:style>
  <w:style w:type="character" w:customStyle="1" w:styleId="1101">
    <w:name w:val="批注主题 Char2"/>
    <w:qFormat/>
    <w:uiPriority w:val="0"/>
    <w:rPr>
      <w:rFonts w:ascii="Times New Roman" w:hAnsi="Times New Roman"/>
      <w:b/>
      <w:bCs/>
      <w:kern w:val="0"/>
      <w:szCs w:val="24"/>
    </w:rPr>
  </w:style>
  <w:style w:type="character" w:customStyle="1" w:styleId="1102">
    <w:name w:val="HTML 预设格式 Char1"/>
    <w:semiHidden/>
    <w:qFormat/>
    <w:uiPriority w:val="99"/>
    <w:rPr>
      <w:rFonts w:ascii="Courier New" w:hAnsi="Courier New" w:cs="Courier New"/>
      <w:kern w:val="2"/>
    </w:rPr>
  </w:style>
  <w:style w:type="character" w:customStyle="1" w:styleId="1103">
    <w:name w:val="Char Char3"/>
    <w:qFormat/>
    <w:uiPriority w:val="0"/>
    <w:rPr>
      <w:rFonts w:ascii="Arial" w:hAnsi="Arial" w:eastAsia="黑体"/>
      <w:b/>
      <w:bCs/>
      <w:kern w:val="2"/>
      <w:sz w:val="32"/>
      <w:szCs w:val="32"/>
      <w:lang w:val="en-US" w:eastAsia="zh-CN" w:bidi="ar-SA"/>
    </w:rPr>
  </w:style>
  <w:style w:type="character" w:customStyle="1" w:styleId="1104">
    <w:name w:val="正文首行缩进 Char1"/>
    <w:semiHidden/>
    <w:qFormat/>
    <w:uiPriority w:val="99"/>
    <w:rPr>
      <w:rFonts w:ascii="Times New Roman" w:hAnsi="Times New Roman" w:eastAsia="黑体" w:cs="Times New Roman"/>
      <w:kern w:val="2"/>
      <w:sz w:val="21"/>
      <w:szCs w:val="24"/>
    </w:rPr>
  </w:style>
  <w:style w:type="character" w:customStyle="1" w:styleId="1105">
    <w:name w:val="批注文字 Char1"/>
    <w:semiHidden/>
    <w:qFormat/>
    <w:uiPriority w:val="99"/>
    <w:rPr>
      <w:rFonts w:ascii="Times New Roman" w:hAnsi="Times New Roman"/>
      <w:kern w:val="2"/>
      <w:sz w:val="21"/>
      <w:szCs w:val="24"/>
    </w:rPr>
  </w:style>
  <w:style w:type="character" w:customStyle="1" w:styleId="1106">
    <w:name w:val="Char Char Char2"/>
    <w:qFormat/>
    <w:uiPriority w:val="0"/>
    <w:rPr>
      <w:rFonts w:ascii="Arial" w:hAnsi="Arial" w:eastAsia="黑体"/>
      <w:b/>
      <w:bCs/>
      <w:kern w:val="2"/>
      <w:sz w:val="32"/>
      <w:szCs w:val="32"/>
      <w:lang w:val="en-US" w:eastAsia="zh-CN" w:bidi="ar-SA"/>
    </w:rPr>
  </w:style>
  <w:style w:type="character" w:customStyle="1" w:styleId="1107">
    <w:name w:val="标题 Char1"/>
    <w:qFormat/>
    <w:uiPriority w:val="10"/>
    <w:rPr>
      <w:rFonts w:ascii="Cambria" w:hAnsi="Cambria" w:cs="Times New Roman"/>
      <w:b/>
      <w:bCs/>
      <w:kern w:val="2"/>
      <w:sz w:val="32"/>
      <w:szCs w:val="32"/>
    </w:rPr>
  </w:style>
  <w:style w:type="character" w:customStyle="1" w:styleId="1108">
    <w:name w:val="Char Char14"/>
    <w:qFormat/>
    <w:uiPriority w:val="0"/>
    <w:rPr>
      <w:rFonts w:eastAsia="宋体"/>
      <w:kern w:val="2"/>
      <w:sz w:val="24"/>
      <w:lang w:val="en-US" w:eastAsia="zh-CN" w:bidi="ar-SA"/>
    </w:rPr>
  </w:style>
  <w:style w:type="character" w:customStyle="1" w:styleId="1109">
    <w:name w:val="Char Char131"/>
    <w:qFormat/>
    <w:uiPriority w:val="0"/>
    <w:rPr>
      <w:rFonts w:eastAsia="宋体"/>
      <w:kern w:val="2"/>
      <w:sz w:val="24"/>
      <w:lang w:val="en-US" w:eastAsia="zh-CN" w:bidi="ar-SA"/>
    </w:rPr>
  </w:style>
  <w:style w:type="character" w:customStyle="1" w:styleId="1110">
    <w:name w:val="Char Char7"/>
    <w:qFormat/>
    <w:uiPriority w:val="0"/>
    <w:rPr>
      <w:rFonts w:ascii="仿宋_GB2312" w:hAnsi="仿宋_GB2312" w:eastAsia="Cambria"/>
      <w:b/>
      <w:bCs/>
      <w:kern w:val="2"/>
      <w:sz w:val="32"/>
      <w:szCs w:val="32"/>
      <w:lang w:val="en-US" w:eastAsia="zh-CN" w:bidi="ar-SA"/>
    </w:rPr>
  </w:style>
  <w:style w:type="character" w:customStyle="1" w:styleId="1111">
    <w:name w:val="Char Char81"/>
    <w:qFormat/>
    <w:uiPriority w:val="0"/>
    <w:rPr>
      <w:rFonts w:ascii="仿宋_GB2312" w:hAnsi="仿宋_GB2312" w:eastAsia="Cambria"/>
      <w:b/>
      <w:bCs/>
      <w:kern w:val="2"/>
      <w:sz w:val="32"/>
      <w:szCs w:val="32"/>
      <w:lang w:val="en-US" w:eastAsia="zh-CN" w:bidi="ar-SA"/>
    </w:rPr>
  </w:style>
  <w:style w:type="character" w:customStyle="1" w:styleId="1112">
    <w:name w:val="Char Char22"/>
    <w:qFormat/>
    <w:uiPriority w:val="0"/>
    <w:rPr>
      <w:rFonts w:eastAsia="Cambria"/>
      <w:kern w:val="2"/>
      <w:sz w:val="21"/>
      <w:szCs w:val="24"/>
      <w:lang w:val="en-US" w:eastAsia="zh-CN" w:bidi="ar-SA"/>
    </w:rPr>
  </w:style>
  <w:style w:type="character" w:customStyle="1" w:styleId="1113">
    <w:name w:val="Body Text Char1"/>
    <w:semiHidden/>
    <w:qFormat/>
    <w:uiPriority w:val="99"/>
    <w:rPr>
      <w:kern w:val="2"/>
      <w:sz w:val="21"/>
      <w:szCs w:val="24"/>
    </w:rPr>
  </w:style>
  <w:style w:type="character" w:customStyle="1" w:styleId="1114">
    <w:name w:val="No Spacing Char"/>
    <w:link w:val="1115"/>
    <w:qFormat/>
    <w:locked/>
    <w:uiPriority w:val="0"/>
    <w:rPr>
      <w:sz w:val="22"/>
    </w:rPr>
  </w:style>
  <w:style w:type="paragraph" w:customStyle="1" w:styleId="1115">
    <w:name w:val="无间隔1"/>
    <w:link w:val="1114"/>
    <w:qFormat/>
    <w:uiPriority w:val="0"/>
    <w:rPr>
      <w:rFonts w:ascii="Calibri" w:hAnsi="Calibri" w:eastAsia="宋体" w:cs="Times New Roman"/>
      <w:sz w:val="22"/>
      <w:lang w:val="en-US" w:eastAsia="zh-CN" w:bidi="ar-SA"/>
    </w:rPr>
  </w:style>
  <w:style w:type="character" w:customStyle="1" w:styleId="1116">
    <w:name w:val="正文3"/>
    <w:qFormat/>
    <w:uiPriority w:val="0"/>
    <w:rPr>
      <w:rFonts w:cs="Times New Roman"/>
    </w:rPr>
  </w:style>
  <w:style w:type="paragraph" w:customStyle="1" w:styleId="1117">
    <w:name w:val="Char Char Char Char3"/>
    <w:basedOn w:val="1"/>
    <w:qFormat/>
    <w:uiPriority w:val="0"/>
    <w:pPr>
      <w:widowControl/>
      <w:spacing w:after="160" w:line="240" w:lineRule="exact"/>
      <w:jc w:val="left"/>
    </w:pPr>
    <w:rPr>
      <w:szCs w:val="20"/>
    </w:rPr>
  </w:style>
  <w:style w:type="paragraph" w:customStyle="1" w:styleId="1118">
    <w:name w:val="Char13"/>
    <w:basedOn w:val="1"/>
    <w:qFormat/>
    <w:uiPriority w:val="0"/>
    <w:rPr>
      <w:rFonts w:ascii="Tahoma" w:hAnsi="Tahoma"/>
      <w:sz w:val="24"/>
      <w:szCs w:val="20"/>
    </w:rPr>
  </w:style>
  <w:style w:type="paragraph" w:customStyle="1" w:styleId="1119">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1120">
    <w:name w:val="Char14"/>
    <w:basedOn w:val="1"/>
    <w:qFormat/>
    <w:uiPriority w:val="0"/>
    <w:rPr>
      <w:rFonts w:ascii="Tahoma" w:hAnsi="Tahoma"/>
      <w:sz w:val="24"/>
      <w:szCs w:val="20"/>
    </w:rPr>
  </w:style>
  <w:style w:type="paragraph" w:customStyle="1" w:styleId="1121">
    <w:name w:val="TOC 标题2"/>
    <w:basedOn w:val="3"/>
    <w:next w:val="1"/>
    <w:qFormat/>
    <w:uiPriority w:val="39"/>
    <w:pPr>
      <w:widowControl/>
      <w:autoSpaceDE/>
      <w:autoSpaceDN/>
      <w:adjustRightInd/>
      <w:spacing w:before="480" w:after="0" w:line="276" w:lineRule="auto"/>
      <w:jc w:val="left"/>
      <w:outlineLvl w:val="9"/>
    </w:pPr>
    <w:rPr>
      <w:rFonts w:ascii="Cambria" w:hAnsi="Cambria"/>
      <w:bCs/>
      <w:color w:val="365F91"/>
      <w:kern w:val="0"/>
      <w:sz w:val="28"/>
      <w:szCs w:val="28"/>
    </w:rPr>
  </w:style>
  <w:style w:type="paragraph" w:customStyle="1" w:styleId="1122">
    <w:name w:val="Char Char Char Char4"/>
    <w:basedOn w:val="1"/>
    <w:qFormat/>
    <w:uiPriority w:val="0"/>
    <w:pPr>
      <w:widowControl/>
      <w:spacing w:after="160" w:line="240" w:lineRule="exact"/>
      <w:jc w:val="left"/>
    </w:pPr>
    <w:rPr>
      <w:szCs w:val="20"/>
    </w:rPr>
  </w:style>
  <w:style w:type="paragraph" w:customStyle="1" w:styleId="1123">
    <w:name w:val="Char4"/>
    <w:basedOn w:val="1"/>
    <w:qFormat/>
    <w:uiPriority w:val="0"/>
    <w:pPr>
      <w:tabs>
        <w:tab w:val="left" w:pos="360"/>
      </w:tabs>
    </w:pPr>
    <w:rPr>
      <w:rFonts w:ascii="仿宋_GB2312" w:hAnsi="仿宋_GB2312" w:cs="仿宋_GB2312"/>
      <w:sz w:val="24"/>
    </w:rPr>
  </w:style>
  <w:style w:type="paragraph" w:customStyle="1" w:styleId="1124">
    <w:name w:val="列表段落2"/>
    <w:qFormat/>
    <w:uiPriority w:val="34"/>
    <w:pPr>
      <w:ind w:firstLine="420" w:firstLineChars="200"/>
    </w:pPr>
    <w:rPr>
      <w:rFonts w:ascii="Times New Roman" w:hAnsi="Times New Roman" w:eastAsia="宋体" w:cs="Times New Roman"/>
      <w:lang w:val="en-US" w:eastAsia="zh-CN" w:bidi="ar-SA"/>
    </w:rPr>
  </w:style>
  <w:style w:type="paragraph" w:customStyle="1" w:styleId="1125">
    <w:name w:val="p15"/>
    <w:basedOn w:val="1"/>
    <w:qFormat/>
    <w:uiPriority w:val="0"/>
    <w:pPr>
      <w:widowControl/>
    </w:pPr>
    <w:rPr>
      <w:rFonts w:ascii="仿宋_GB2312" w:hAnsi="仿宋_GB2312" w:eastAsia="Cambria" w:cs="仿宋_GB2312"/>
      <w:kern w:val="0"/>
      <w:szCs w:val="21"/>
    </w:rPr>
  </w:style>
  <w:style w:type="paragraph" w:customStyle="1" w:styleId="1126">
    <w:name w:val="Char Char Char Char Char Char1"/>
    <w:basedOn w:val="1"/>
    <w:qFormat/>
    <w:uiPriority w:val="0"/>
    <w:rPr>
      <w:rFonts w:ascii="Tahoma" w:hAnsi="Tahoma"/>
      <w:sz w:val="24"/>
      <w:szCs w:val="20"/>
    </w:rPr>
  </w:style>
  <w:style w:type="paragraph" w:customStyle="1" w:styleId="1127">
    <w:name w:val="表内居中"/>
    <w:basedOn w:val="1"/>
    <w:qFormat/>
    <w:uiPriority w:val="0"/>
    <w:pPr>
      <w:textAlignment w:val="center"/>
    </w:pPr>
    <w:rPr>
      <w:rFonts w:ascii="宋体" w:hAnsi="宋体"/>
      <w:b/>
      <w:sz w:val="24"/>
      <w:szCs w:val="21"/>
    </w:rPr>
  </w:style>
  <w:style w:type="paragraph" w:customStyle="1" w:styleId="1128">
    <w:name w:val="目录文字"/>
    <w:basedOn w:val="1"/>
    <w:qFormat/>
    <w:uiPriority w:val="0"/>
    <w:pPr>
      <w:widowControl/>
      <w:spacing w:line="480" w:lineRule="auto"/>
      <w:jc w:val="left"/>
    </w:pPr>
    <w:rPr>
      <w:rFonts w:ascii="宋体" w:hAnsi="宋体"/>
      <w:kern w:val="0"/>
      <w:sz w:val="24"/>
      <w:szCs w:val="20"/>
    </w:rPr>
  </w:style>
  <w:style w:type="paragraph" w:customStyle="1" w:styleId="1129">
    <w:name w:val="Blockquote"/>
    <w:basedOn w:val="1"/>
    <w:qFormat/>
    <w:uiPriority w:val="0"/>
    <w:pPr>
      <w:autoSpaceDE w:val="0"/>
      <w:autoSpaceDN w:val="0"/>
      <w:adjustRightInd w:val="0"/>
      <w:spacing w:before="100" w:after="100"/>
      <w:ind w:left="360" w:right="360"/>
      <w:jc w:val="left"/>
    </w:pPr>
    <w:rPr>
      <w:kern w:val="0"/>
      <w:sz w:val="24"/>
      <w:szCs w:val="20"/>
    </w:rPr>
  </w:style>
  <w:style w:type="character" w:customStyle="1" w:styleId="1130">
    <w:name w:val="批注文字 字符1"/>
    <w:qFormat/>
    <w:uiPriority w:val="0"/>
    <w:rPr>
      <w:kern w:val="2"/>
      <w:sz w:val="21"/>
      <w:szCs w:val="24"/>
    </w:rPr>
  </w:style>
  <w:style w:type="character" w:customStyle="1" w:styleId="1131">
    <w:name w:val="正文缩进 Char2"/>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10.emf"/><Relationship Id="rId36" Type="http://schemas.openxmlformats.org/officeDocument/2006/relationships/image" Target="media/image9.emf"/><Relationship Id="rId35" Type="http://schemas.openxmlformats.org/officeDocument/2006/relationships/image" Target="media/image8.emf"/><Relationship Id="rId34" Type="http://schemas.openxmlformats.org/officeDocument/2006/relationships/image" Target="media/image7.emf"/><Relationship Id="rId33" Type="http://schemas.openxmlformats.org/officeDocument/2006/relationships/image" Target="media/image6.emf"/><Relationship Id="rId32" Type="http://schemas.openxmlformats.org/officeDocument/2006/relationships/image" Target="media/image5.emf"/><Relationship Id="rId31" Type="http://schemas.openxmlformats.org/officeDocument/2006/relationships/image" Target="media/image4.emf"/><Relationship Id="rId30" Type="http://schemas.openxmlformats.org/officeDocument/2006/relationships/image" Target="media/image3.emf"/><Relationship Id="rId3" Type="http://schemas.openxmlformats.org/officeDocument/2006/relationships/header" Target="header1.xml"/><Relationship Id="rId29" Type="http://schemas.openxmlformats.org/officeDocument/2006/relationships/image" Target="media/image2.wmf"/><Relationship Id="rId28" Type="http://schemas.openxmlformats.org/officeDocument/2006/relationships/oleObject" Target="embeddings/oleObject1.bin"/><Relationship Id="rId27" Type="http://schemas.openxmlformats.org/officeDocument/2006/relationships/image" Target="media/image1.jpeg"/><Relationship Id="rId26" Type="http://schemas.openxmlformats.org/officeDocument/2006/relationships/theme" Target="theme/theme1.xml"/><Relationship Id="rId25" Type="http://schemas.openxmlformats.org/officeDocument/2006/relationships/footer" Target="footer11.xml"/><Relationship Id="rId24" Type="http://schemas.openxmlformats.org/officeDocument/2006/relationships/header" Target="header12.xml"/><Relationship Id="rId23" Type="http://schemas.openxmlformats.org/officeDocument/2006/relationships/header" Target="header11.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FD65AB-281E-46B9-8044-568BC3FC72B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165</Pages>
  <Words>87393</Words>
  <Characters>93031</Characters>
  <Lines>725</Lines>
  <Paragraphs>204</Paragraphs>
  <TotalTime>129</TotalTime>
  <ScaleCrop>false</ScaleCrop>
  <LinksUpToDate>false</LinksUpToDate>
  <CharactersWithSpaces>98641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2024-09-23T07:54:00Z</dcterms:created>
  <dc:creator>业务六部负责人(业务六部yw6b)</dc:creator>
  <cp:lastModifiedBy>曾甜</cp:lastModifiedBy>
  <cp:lastPrinted>2022-05-11T05:55:00Z</cp:lastPrinted>
  <dcterms:modified xsi:type="dcterms:W3CDTF">2024-09-24T06:41:20Z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58FE5F3992FD4B7BB9FC341B42D56580_13</vt:lpwstr>
  </property>
</Properties>
</file>